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filed with the Securities and Exchange Commission on October 7, 2025.</w:t>
      </w:r>
    </w:p>
    <w:p>
      <w:pPr>
        <w:spacing w:after="0" w:line="9" w:lineRule="exact"/>
        <w:rPr>
          <w:sz w:val="24"/>
          <w:szCs w:val="24"/>
          <w:color w:val="auto"/>
        </w:rPr>
      </w:pPr>
    </w:p>
    <w:p>
      <w:pPr>
        <w:ind w:left="9320"/>
        <w:spacing w:after="0"/>
        <w:rPr>
          <w:sz w:val="20"/>
          <w:szCs w:val="20"/>
          <w:color w:val="auto"/>
        </w:rPr>
      </w:pPr>
      <w:r>
        <w:rPr>
          <w:rFonts w:ascii="Arial" w:cs="Arial" w:eastAsia="Arial" w:hAnsi="Arial"/>
          <w:sz w:val="11"/>
          <w:szCs w:val="11"/>
          <w:b w:val="1"/>
          <w:bCs w:val="1"/>
          <w:color w:val="auto"/>
        </w:rPr>
        <w:t xml:space="preserve">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16280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64135</wp:posOffset>
            </wp:positionV>
            <wp:extent cx="71628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78105</wp:posOffset>
            </wp:positionV>
            <wp:extent cx="14992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235" cy="635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78740</wp:posOffset>
            </wp:positionV>
            <wp:extent cx="14992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235" cy="635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BILLIONTOONE,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77470</wp:posOffset>
            </wp:positionV>
            <wp:extent cx="14992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235" cy="6350"/>
                    </a:xfrm>
                    <a:prstGeom prst="rect">
                      <a:avLst/>
                    </a:prstGeom>
                    <a:noFill/>
                  </pic:spPr>
                </pic:pic>
              </a:graphicData>
            </a:graphic>
          </wp:anchor>
        </w:drawing>
      </w:r>
    </w:p>
    <w:p>
      <w:pPr>
        <w:spacing w:after="0" w:line="149" w:lineRule="exact"/>
        <w:rPr>
          <w:sz w:val="24"/>
          <w:szCs w:val="24"/>
          <w:color w:val="auto"/>
        </w:rPr>
      </w:pPr>
    </w:p>
    <w:tbl>
      <w:tblPr>
        <w:tblLayout w:type="fixed"/>
        <w:tblInd w:w="1020" w:type="dxa"/>
        <w:tblCellMar>
          <w:top w:w="0" w:type="dxa"/>
          <w:left w:w="0" w:type="dxa"/>
          <w:bottom w:w="0" w:type="dxa"/>
          <w:right w:w="0" w:type="dxa"/>
        </w:tblCellMar>
      </w:tblP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w w:val="99"/>
              </w:rPr>
              <w:t>Delaware</w:t>
            </w:r>
          </w:p>
        </w:tc>
        <w:tc>
          <w:tcPr>
            <w:tcW w:w="4100" w:type="dxa"/>
            <w:vAlign w:val="bottom"/>
            <w:gridSpan w:val="2"/>
          </w:tcPr>
          <w:p>
            <w:pPr>
              <w:jc w:val="right"/>
              <w:ind w:right="985"/>
              <w:spacing w:after="0"/>
              <w:rPr>
                <w:sz w:val="20"/>
                <w:szCs w:val="20"/>
                <w:color w:val="auto"/>
              </w:rPr>
            </w:pPr>
            <w:r>
              <w:rPr>
                <w:rFonts w:ascii="Arial" w:cs="Arial" w:eastAsia="Arial" w:hAnsi="Arial"/>
                <w:sz w:val="11"/>
                <w:szCs w:val="11"/>
                <w:b w:val="1"/>
                <w:bCs w:val="1"/>
                <w:color w:val="auto"/>
              </w:rPr>
              <w:t>8071</w:t>
            </w:r>
          </w:p>
        </w:tc>
        <w:tc>
          <w:tcPr>
            <w:tcW w:w="1800" w:type="dxa"/>
            <w:vAlign w:val="bottom"/>
          </w:tcPr>
          <w:p>
            <w:pPr>
              <w:spacing w:after="0"/>
              <w:rPr>
                <w:sz w:val="10"/>
                <w:szCs w:val="10"/>
                <w:color w:val="auto"/>
              </w:rPr>
            </w:pPr>
          </w:p>
        </w:tc>
        <w:tc>
          <w:tcPr>
            <w:tcW w:w="1580" w:type="dxa"/>
            <w:vAlign w:val="bottom"/>
          </w:tcPr>
          <w:p>
            <w:pPr>
              <w:jc w:val="right"/>
              <w:ind w:right="305"/>
              <w:spacing w:after="0"/>
              <w:rPr>
                <w:sz w:val="20"/>
                <w:szCs w:val="20"/>
                <w:color w:val="auto"/>
              </w:rPr>
            </w:pPr>
            <w:r>
              <w:rPr>
                <w:rFonts w:ascii="Arial" w:cs="Arial" w:eastAsia="Arial" w:hAnsi="Arial"/>
                <w:sz w:val="11"/>
                <w:szCs w:val="11"/>
                <w:b w:val="1"/>
                <w:bCs w:val="1"/>
                <w:color w:val="auto"/>
              </w:rPr>
              <w:t>81-1082020</w:t>
            </w:r>
          </w:p>
        </w:tc>
      </w:tr>
      <w:tr>
        <w:trPr>
          <w:trHeight w:val="105"/>
        </w:trPr>
        <w:tc>
          <w:tcPr>
            <w:tcW w:w="1700" w:type="dxa"/>
            <w:vAlign w:val="bottom"/>
          </w:tcPr>
          <w:p>
            <w:pPr>
              <w:jc w:val="center"/>
              <w:ind w:right="185"/>
              <w:spacing w:after="0" w:line="105" w:lineRule="exact"/>
              <w:rPr>
                <w:sz w:val="20"/>
                <w:szCs w:val="20"/>
                <w:color w:val="auto"/>
              </w:rPr>
            </w:pPr>
            <w:r>
              <w:rPr>
                <w:rFonts w:ascii="Arial" w:cs="Arial" w:eastAsia="Arial" w:hAnsi="Arial"/>
                <w:sz w:val="10"/>
                <w:szCs w:val="10"/>
                <w:b w:val="1"/>
                <w:bCs w:val="1"/>
                <w:color w:val="auto"/>
                <w:w w:val="97"/>
              </w:rPr>
              <w:t>(State or other jurisdiction of</w:t>
            </w:r>
          </w:p>
        </w:tc>
        <w:tc>
          <w:tcPr>
            <w:tcW w:w="1740" w:type="dxa"/>
            <w:vAlign w:val="bottom"/>
          </w:tcPr>
          <w:p>
            <w:pPr>
              <w:spacing w:after="0"/>
              <w:rPr>
                <w:sz w:val="9"/>
                <w:szCs w:val="9"/>
                <w:color w:val="auto"/>
              </w:rPr>
            </w:pPr>
          </w:p>
        </w:tc>
        <w:tc>
          <w:tcPr>
            <w:tcW w:w="4160" w:type="dxa"/>
            <w:vAlign w:val="bottom"/>
            <w:gridSpan w:val="2"/>
          </w:tcPr>
          <w:p>
            <w:pPr>
              <w:jc w:val="center"/>
              <w:ind w:right="1760"/>
              <w:spacing w:after="0" w:line="105" w:lineRule="exact"/>
              <w:rPr>
                <w:sz w:val="20"/>
                <w:szCs w:val="20"/>
                <w:color w:val="auto"/>
              </w:rPr>
            </w:pPr>
            <w:r>
              <w:rPr>
                <w:rFonts w:ascii="Arial" w:cs="Arial" w:eastAsia="Arial" w:hAnsi="Arial"/>
                <w:sz w:val="10"/>
                <w:szCs w:val="10"/>
                <w:b w:val="1"/>
                <w:bCs w:val="1"/>
                <w:color w:val="auto"/>
                <w:w w:val="98"/>
              </w:rPr>
              <w:t>(Primary Standard Industrial</w:t>
            </w:r>
          </w:p>
        </w:tc>
        <w:tc>
          <w:tcPr>
            <w:tcW w:w="1580" w:type="dxa"/>
            <w:vAlign w:val="bottom"/>
          </w:tcPr>
          <w:p>
            <w:pPr>
              <w:jc w:val="center"/>
              <w:ind w:left="205"/>
              <w:spacing w:after="0" w:line="105" w:lineRule="exact"/>
              <w:rPr>
                <w:sz w:val="20"/>
                <w:szCs w:val="20"/>
                <w:color w:val="auto"/>
              </w:rPr>
            </w:pPr>
            <w:r>
              <w:rPr>
                <w:rFonts w:ascii="Arial" w:cs="Arial" w:eastAsia="Arial" w:hAnsi="Arial"/>
                <w:sz w:val="10"/>
                <w:szCs w:val="10"/>
                <w:b w:val="1"/>
                <w:bCs w:val="1"/>
                <w:color w:val="auto"/>
                <w:w w:val="99"/>
              </w:rPr>
              <w:t>(I.R.S. Employer</w:t>
            </w:r>
          </w:p>
        </w:tc>
      </w:tr>
      <w:tr>
        <w:trPr>
          <w:trHeight w:val="135"/>
        </w:trPr>
        <w:tc>
          <w:tcPr>
            <w:tcW w:w="1700" w:type="dxa"/>
            <w:vAlign w:val="bottom"/>
          </w:tcPr>
          <w:p>
            <w:pPr>
              <w:jc w:val="center"/>
              <w:ind w:right="165"/>
              <w:spacing w:after="0"/>
              <w:rPr>
                <w:sz w:val="20"/>
                <w:szCs w:val="20"/>
                <w:color w:val="auto"/>
              </w:rPr>
            </w:pPr>
            <w:r>
              <w:rPr>
                <w:rFonts w:ascii="Arial" w:cs="Arial" w:eastAsia="Arial" w:hAnsi="Arial"/>
                <w:sz w:val="10"/>
                <w:szCs w:val="10"/>
                <w:b w:val="1"/>
                <w:bCs w:val="1"/>
                <w:color w:val="auto"/>
                <w:w w:val="98"/>
              </w:rPr>
              <w:t>incorporation or organization)</w:t>
            </w:r>
          </w:p>
        </w:tc>
        <w:tc>
          <w:tcPr>
            <w:tcW w:w="1740" w:type="dxa"/>
            <w:vAlign w:val="bottom"/>
          </w:tcPr>
          <w:p>
            <w:pPr>
              <w:spacing w:after="0"/>
              <w:rPr>
                <w:sz w:val="11"/>
                <w:szCs w:val="11"/>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0"/>
                <w:szCs w:val="10"/>
                <w:b w:val="1"/>
                <w:bCs w:val="1"/>
                <w:color w:val="auto"/>
                <w:w w:val="97"/>
              </w:rPr>
              <w:t>Classification Code Number)</w:t>
            </w:r>
          </w:p>
        </w:tc>
        <w:tc>
          <w:tcPr>
            <w:tcW w:w="1580" w:type="dxa"/>
            <w:vAlign w:val="bottom"/>
          </w:tcPr>
          <w:p>
            <w:pPr>
              <w:jc w:val="center"/>
              <w:ind w:left="205"/>
              <w:spacing w:after="0"/>
              <w:rPr>
                <w:sz w:val="20"/>
                <w:szCs w:val="20"/>
                <w:color w:val="auto"/>
              </w:rPr>
            </w:pPr>
            <w:r>
              <w:rPr>
                <w:rFonts w:ascii="Arial" w:cs="Arial" w:eastAsia="Arial" w:hAnsi="Arial"/>
                <w:sz w:val="10"/>
                <w:szCs w:val="10"/>
                <w:b w:val="1"/>
                <w:bCs w:val="1"/>
                <w:color w:val="auto"/>
                <w:w w:val="97"/>
              </w:rPr>
              <w:t>Identification Number)</w:t>
            </w:r>
          </w:p>
        </w:tc>
      </w:tr>
      <w:tr>
        <w:trPr>
          <w:trHeight w:val="147"/>
        </w:trPr>
        <w:tc>
          <w:tcPr>
            <w:tcW w:w="1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6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rPr>
              <w:t>1035 O’Brien Drive</w:t>
            </w:r>
          </w:p>
        </w:tc>
        <w:tc>
          <w:tcPr>
            <w:tcW w:w="1580" w:type="dxa"/>
            <w:vAlign w:val="bottom"/>
          </w:tcPr>
          <w:p>
            <w:pPr>
              <w:spacing w:after="0"/>
              <w:rPr>
                <w:sz w:val="12"/>
                <w:szCs w:val="12"/>
                <w:color w:val="auto"/>
              </w:rPr>
            </w:pPr>
          </w:p>
        </w:tc>
      </w:tr>
      <w:tr>
        <w:trPr>
          <w:trHeight w:val="126"/>
        </w:trPr>
        <w:tc>
          <w:tcPr>
            <w:tcW w:w="1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16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rPr>
              <w:t>Menlo Park, CA 94025</w:t>
            </w:r>
          </w:p>
        </w:tc>
        <w:tc>
          <w:tcPr>
            <w:tcW w:w="1580" w:type="dxa"/>
            <w:vAlign w:val="bottom"/>
          </w:tcPr>
          <w:p>
            <w:pPr>
              <w:spacing w:after="0"/>
              <w:rPr>
                <w:sz w:val="10"/>
                <w:szCs w:val="10"/>
                <w:color w:val="auto"/>
              </w:rPr>
            </w:pPr>
          </w:p>
        </w:tc>
      </w:tr>
      <w:tr>
        <w:trPr>
          <w:trHeight w:val="118"/>
        </w:trPr>
        <w:tc>
          <w:tcPr>
            <w:tcW w:w="1700" w:type="dxa"/>
            <w:vAlign w:val="bottom"/>
          </w:tcPr>
          <w:p>
            <w:pPr>
              <w:spacing w:after="0"/>
              <w:rPr>
                <w:sz w:val="10"/>
                <w:szCs w:val="10"/>
                <w:color w:val="auto"/>
              </w:rPr>
            </w:pPr>
          </w:p>
        </w:tc>
        <w:tc>
          <w:tcPr>
            <w:tcW w:w="4100" w:type="dxa"/>
            <w:vAlign w:val="bottom"/>
            <w:gridSpan w:val="2"/>
          </w:tcPr>
          <w:p>
            <w:pPr>
              <w:jc w:val="center"/>
              <w:ind w:left="1686"/>
              <w:spacing w:after="0" w:line="118" w:lineRule="exact"/>
              <w:rPr>
                <w:sz w:val="20"/>
                <w:szCs w:val="20"/>
                <w:color w:val="auto"/>
              </w:rPr>
            </w:pPr>
            <w:r>
              <w:rPr>
                <w:rFonts w:ascii="Arial" w:cs="Arial" w:eastAsia="Arial" w:hAnsi="Arial"/>
                <w:sz w:val="11"/>
                <w:szCs w:val="11"/>
                <w:b w:val="1"/>
                <w:bCs w:val="1"/>
                <w:color w:val="auto"/>
              </w:rPr>
              <w:t>(650) 460-2551</w:t>
            </w:r>
          </w:p>
        </w:tc>
        <w:tc>
          <w:tcPr>
            <w:tcW w:w="18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35"/>
        </w:trPr>
        <w:tc>
          <w:tcPr>
            <w:tcW w:w="1700" w:type="dxa"/>
            <w:vAlign w:val="bottom"/>
          </w:tcPr>
          <w:p>
            <w:pPr>
              <w:spacing w:after="0"/>
              <w:rPr>
                <w:sz w:val="11"/>
                <w:szCs w:val="11"/>
                <w:color w:val="auto"/>
              </w:rPr>
            </w:pPr>
          </w:p>
        </w:tc>
        <w:tc>
          <w:tcPr>
            <w:tcW w:w="59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7"/>
              </w:rPr>
              <w:t>(Address, including zip code, and telephone number, including area code, of Registrant’s principal executive offices)</w:t>
            </w:r>
          </w:p>
        </w:tc>
        <w:tc>
          <w:tcPr>
            <w:tcW w:w="1580" w:type="dxa"/>
            <w:vAlign w:val="bottom"/>
          </w:tcPr>
          <w:p>
            <w:pPr>
              <w:spacing w:after="0"/>
              <w:rPr>
                <w:sz w:val="11"/>
                <w:szCs w:val="11"/>
                <w:color w:val="auto"/>
              </w:rPr>
            </w:pPr>
          </w:p>
        </w:tc>
      </w:tr>
      <w:tr>
        <w:trPr>
          <w:trHeight w:val="100"/>
        </w:trPr>
        <w:tc>
          <w:tcPr>
            <w:tcW w:w="17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42"/>
        </w:trPr>
        <w:tc>
          <w:tcPr>
            <w:tcW w:w="1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6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rPr>
              <w:t>Oguzhan Atay</w:t>
            </w:r>
          </w:p>
        </w:tc>
        <w:tc>
          <w:tcPr>
            <w:tcW w:w="1580" w:type="dxa"/>
            <w:vAlign w:val="bottom"/>
          </w:tcPr>
          <w:p>
            <w:pPr>
              <w:spacing w:after="0"/>
              <w:rPr>
                <w:sz w:val="12"/>
                <w:szCs w:val="12"/>
                <w:color w:val="auto"/>
              </w:rPr>
            </w:pPr>
          </w:p>
        </w:tc>
      </w:tr>
      <w:tr>
        <w:trPr>
          <w:trHeight w:val="126"/>
        </w:trPr>
        <w:tc>
          <w:tcPr>
            <w:tcW w:w="1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1"/>
                <w:szCs w:val="11"/>
                <w:b w:val="1"/>
                <w:bCs w:val="1"/>
                <w:color w:val="auto"/>
              </w:rPr>
              <w:t>Chief Executive Officer</w:t>
            </w:r>
          </w:p>
        </w:tc>
        <w:tc>
          <w:tcPr>
            <w:tcW w:w="1580" w:type="dxa"/>
            <w:vAlign w:val="bottom"/>
          </w:tcPr>
          <w:p>
            <w:pPr>
              <w:spacing w:after="0"/>
              <w:rPr>
                <w:sz w:val="10"/>
                <w:szCs w:val="10"/>
                <w:color w:val="auto"/>
              </w:rPr>
            </w:pPr>
          </w:p>
        </w:tc>
      </w:tr>
      <w:tr>
        <w:trPr>
          <w:trHeight w:val="126"/>
        </w:trPr>
        <w:tc>
          <w:tcPr>
            <w:tcW w:w="1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1"/>
                <w:szCs w:val="11"/>
                <w:b w:val="1"/>
                <w:bCs w:val="1"/>
                <w:color w:val="auto"/>
              </w:rPr>
              <w:t>BillionToOne, Inc.</w:t>
            </w:r>
          </w:p>
        </w:tc>
        <w:tc>
          <w:tcPr>
            <w:tcW w:w="1580" w:type="dxa"/>
            <w:vAlign w:val="bottom"/>
          </w:tcPr>
          <w:p>
            <w:pPr>
              <w:spacing w:after="0"/>
              <w:rPr>
                <w:sz w:val="10"/>
                <w:szCs w:val="10"/>
                <w:color w:val="auto"/>
              </w:rPr>
            </w:pPr>
          </w:p>
        </w:tc>
      </w:tr>
      <w:tr>
        <w:trPr>
          <w:trHeight w:val="126"/>
        </w:trPr>
        <w:tc>
          <w:tcPr>
            <w:tcW w:w="1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16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rPr>
              <w:t>1035 O’Brien Drive</w:t>
            </w:r>
          </w:p>
        </w:tc>
        <w:tc>
          <w:tcPr>
            <w:tcW w:w="1580" w:type="dxa"/>
            <w:vAlign w:val="bottom"/>
          </w:tcPr>
          <w:p>
            <w:pPr>
              <w:spacing w:after="0"/>
              <w:rPr>
                <w:sz w:val="10"/>
                <w:szCs w:val="10"/>
                <w:color w:val="auto"/>
              </w:rPr>
            </w:pPr>
          </w:p>
        </w:tc>
      </w:tr>
      <w:tr>
        <w:trPr>
          <w:trHeight w:val="126"/>
        </w:trPr>
        <w:tc>
          <w:tcPr>
            <w:tcW w:w="1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16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rPr>
              <w:t>Menlo Park, CA 94025</w:t>
            </w:r>
          </w:p>
        </w:tc>
        <w:tc>
          <w:tcPr>
            <w:tcW w:w="1580" w:type="dxa"/>
            <w:vAlign w:val="bottom"/>
          </w:tcPr>
          <w:p>
            <w:pPr>
              <w:spacing w:after="0"/>
              <w:rPr>
                <w:sz w:val="10"/>
                <w:szCs w:val="10"/>
                <w:color w:val="auto"/>
              </w:rPr>
            </w:pPr>
          </w:p>
        </w:tc>
      </w:tr>
      <w:tr>
        <w:trPr>
          <w:trHeight w:val="118"/>
        </w:trPr>
        <w:tc>
          <w:tcPr>
            <w:tcW w:w="1700" w:type="dxa"/>
            <w:vAlign w:val="bottom"/>
          </w:tcPr>
          <w:p>
            <w:pPr>
              <w:spacing w:after="0"/>
              <w:rPr>
                <w:sz w:val="10"/>
                <w:szCs w:val="10"/>
                <w:color w:val="auto"/>
              </w:rPr>
            </w:pPr>
          </w:p>
        </w:tc>
        <w:tc>
          <w:tcPr>
            <w:tcW w:w="4100" w:type="dxa"/>
            <w:vAlign w:val="bottom"/>
            <w:gridSpan w:val="2"/>
          </w:tcPr>
          <w:p>
            <w:pPr>
              <w:jc w:val="center"/>
              <w:ind w:left="1686"/>
              <w:spacing w:after="0" w:line="118" w:lineRule="exact"/>
              <w:rPr>
                <w:sz w:val="20"/>
                <w:szCs w:val="20"/>
                <w:color w:val="auto"/>
              </w:rPr>
            </w:pPr>
            <w:r>
              <w:rPr>
                <w:rFonts w:ascii="Arial" w:cs="Arial" w:eastAsia="Arial" w:hAnsi="Arial"/>
                <w:sz w:val="11"/>
                <w:szCs w:val="11"/>
                <w:b w:val="1"/>
                <w:bCs w:val="1"/>
                <w:color w:val="auto"/>
              </w:rPr>
              <w:t>(650) 460-2552</w:t>
            </w:r>
          </w:p>
        </w:tc>
        <w:tc>
          <w:tcPr>
            <w:tcW w:w="18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35"/>
        </w:trPr>
        <w:tc>
          <w:tcPr>
            <w:tcW w:w="1700" w:type="dxa"/>
            <w:vAlign w:val="bottom"/>
          </w:tcPr>
          <w:p>
            <w:pPr>
              <w:spacing w:after="0"/>
              <w:rPr>
                <w:sz w:val="11"/>
                <w:szCs w:val="11"/>
                <w:color w:val="auto"/>
              </w:rPr>
            </w:pPr>
          </w:p>
        </w:tc>
        <w:tc>
          <w:tcPr>
            <w:tcW w:w="59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7"/>
              </w:rPr>
              <w:t>(Name, address, including zip code, and telephone number, including area code, of agent for service)</w:t>
            </w:r>
          </w:p>
        </w:tc>
        <w:tc>
          <w:tcPr>
            <w:tcW w:w="1580" w:type="dxa"/>
            <w:vAlign w:val="bottom"/>
          </w:tcPr>
          <w:p>
            <w:pPr>
              <w:spacing w:after="0"/>
              <w:rPr>
                <w:sz w:val="11"/>
                <w:szCs w:val="11"/>
                <w:color w:val="auto"/>
              </w:rPr>
            </w:pPr>
          </w:p>
        </w:tc>
      </w:tr>
      <w:tr>
        <w:trPr>
          <w:trHeight w:val="100"/>
        </w:trPr>
        <w:tc>
          <w:tcPr>
            <w:tcW w:w="17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94"/>
        </w:trPr>
        <w:tc>
          <w:tcPr>
            <w:tcW w:w="1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1"/>
                <w:szCs w:val="11"/>
                <w:b w:val="1"/>
                <w:bCs w:val="1"/>
                <w:i w:val="1"/>
                <w:iCs w:val="1"/>
                <w:color w:val="auto"/>
              </w:rPr>
              <w:t>Copies to:</w:t>
            </w:r>
          </w:p>
        </w:tc>
        <w:tc>
          <w:tcPr>
            <w:tcW w:w="1580" w:type="dxa"/>
            <w:vAlign w:val="bottom"/>
          </w:tcPr>
          <w:p>
            <w:pPr>
              <w:spacing w:after="0"/>
              <w:rPr>
                <w:sz w:val="16"/>
                <w:szCs w:val="16"/>
                <w:color w:val="auto"/>
              </w:rPr>
            </w:pPr>
          </w:p>
        </w:tc>
      </w:tr>
      <w:tr>
        <w:trPr>
          <w:trHeight w:val="126"/>
        </w:trPr>
        <w:tc>
          <w:tcPr>
            <w:tcW w:w="1700" w:type="dxa"/>
            <w:vAlign w:val="bottom"/>
          </w:tcPr>
          <w:p>
            <w:pPr>
              <w:jc w:val="center"/>
              <w:ind w:right="185"/>
              <w:spacing w:after="0"/>
              <w:rPr>
                <w:sz w:val="20"/>
                <w:szCs w:val="20"/>
                <w:color w:val="auto"/>
              </w:rPr>
            </w:pPr>
            <w:r>
              <w:rPr>
                <w:rFonts w:ascii="Arial" w:cs="Arial" w:eastAsia="Arial" w:hAnsi="Arial"/>
                <w:sz w:val="11"/>
                <w:szCs w:val="11"/>
                <w:b w:val="1"/>
                <w:bCs w:val="1"/>
                <w:color w:val="auto"/>
              </w:rPr>
              <w:t>Nicholas B. Harley</w:t>
            </w:r>
          </w:p>
        </w:tc>
        <w:tc>
          <w:tcPr>
            <w:tcW w:w="1740" w:type="dxa"/>
            <w:vAlign w:val="bottom"/>
          </w:tcPr>
          <w:p>
            <w:pPr>
              <w:spacing w:after="0"/>
              <w:rPr>
                <w:sz w:val="10"/>
                <w:szCs w:val="10"/>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1"/>
                <w:szCs w:val="11"/>
                <w:b w:val="1"/>
                <w:bCs w:val="1"/>
                <w:color w:val="auto"/>
              </w:rPr>
              <w:t>Thomas Lynch</w:t>
            </w:r>
          </w:p>
        </w:tc>
        <w:tc>
          <w:tcPr>
            <w:tcW w:w="1580" w:type="dxa"/>
            <w:vAlign w:val="bottom"/>
          </w:tcPr>
          <w:p>
            <w:pPr>
              <w:jc w:val="center"/>
              <w:ind w:left="205"/>
              <w:spacing w:after="0"/>
              <w:rPr>
                <w:sz w:val="20"/>
                <w:szCs w:val="20"/>
                <w:color w:val="auto"/>
              </w:rPr>
            </w:pPr>
            <w:r>
              <w:rPr>
                <w:rFonts w:ascii="Arial" w:cs="Arial" w:eastAsia="Arial" w:hAnsi="Arial"/>
                <w:sz w:val="11"/>
                <w:szCs w:val="11"/>
                <w:b w:val="1"/>
                <w:bCs w:val="1"/>
                <w:color w:val="auto"/>
              </w:rPr>
              <w:t>Dave Peinsipp</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Andrew D. Thorpe</w:t>
            </w:r>
          </w:p>
        </w:tc>
        <w:tc>
          <w:tcPr>
            <w:tcW w:w="1740" w:type="dxa"/>
            <w:vAlign w:val="bottom"/>
          </w:tcPr>
          <w:p>
            <w:pPr>
              <w:spacing w:after="0"/>
              <w:rPr>
                <w:sz w:val="10"/>
                <w:szCs w:val="10"/>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1"/>
                <w:szCs w:val="11"/>
                <w:b w:val="1"/>
                <w:bCs w:val="1"/>
                <w:color w:val="auto"/>
              </w:rPr>
              <w:t>General Counsel</w:t>
            </w:r>
          </w:p>
        </w:tc>
        <w:tc>
          <w:tcPr>
            <w:tcW w:w="1580" w:type="dxa"/>
            <w:vAlign w:val="bottom"/>
          </w:tcPr>
          <w:p>
            <w:pPr>
              <w:jc w:val="center"/>
              <w:ind w:left="205"/>
              <w:spacing w:after="0"/>
              <w:rPr>
                <w:sz w:val="20"/>
                <w:szCs w:val="20"/>
                <w:color w:val="auto"/>
              </w:rPr>
            </w:pPr>
            <w:r>
              <w:rPr>
                <w:rFonts w:ascii="Arial" w:cs="Arial" w:eastAsia="Arial" w:hAnsi="Arial"/>
                <w:sz w:val="11"/>
                <w:szCs w:val="11"/>
                <w:b w:val="1"/>
                <w:bCs w:val="1"/>
                <w:color w:val="auto"/>
              </w:rPr>
              <w:t>Kristin VanderPas</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Alexa Belonick</w:t>
            </w:r>
          </w:p>
        </w:tc>
        <w:tc>
          <w:tcPr>
            <w:tcW w:w="1740" w:type="dxa"/>
            <w:vAlign w:val="bottom"/>
          </w:tcPr>
          <w:p>
            <w:pPr>
              <w:spacing w:after="0"/>
              <w:rPr>
                <w:sz w:val="10"/>
                <w:szCs w:val="10"/>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1"/>
                <w:szCs w:val="11"/>
                <w:b w:val="1"/>
                <w:bCs w:val="1"/>
                <w:color w:val="auto"/>
              </w:rPr>
              <w:t>BillionToOne, Inc.</w:t>
            </w:r>
          </w:p>
        </w:tc>
        <w:tc>
          <w:tcPr>
            <w:tcW w:w="1580" w:type="dxa"/>
            <w:vAlign w:val="bottom"/>
          </w:tcPr>
          <w:p>
            <w:pPr>
              <w:jc w:val="center"/>
              <w:ind w:left="205"/>
              <w:spacing w:after="0"/>
              <w:rPr>
                <w:sz w:val="20"/>
                <w:szCs w:val="20"/>
                <w:color w:val="auto"/>
              </w:rPr>
            </w:pPr>
            <w:r>
              <w:rPr>
                <w:rFonts w:ascii="Arial" w:cs="Arial" w:eastAsia="Arial" w:hAnsi="Arial"/>
                <w:sz w:val="11"/>
                <w:szCs w:val="11"/>
                <w:b w:val="1"/>
                <w:bCs w:val="1"/>
                <w:color w:val="auto"/>
                <w:w w:val="99"/>
              </w:rPr>
              <w:t>Denny Won</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Elena M. Vespoli</w:t>
            </w:r>
          </w:p>
        </w:tc>
        <w:tc>
          <w:tcPr>
            <w:tcW w:w="1740" w:type="dxa"/>
            <w:vAlign w:val="bottom"/>
          </w:tcPr>
          <w:p>
            <w:pPr>
              <w:spacing w:after="0"/>
              <w:rPr>
                <w:sz w:val="10"/>
                <w:szCs w:val="10"/>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1"/>
                <w:szCs w:val="11"/>
                <w:b w:val="1"/>
                <w:bCs w:val="1"/>
                <w:color w:val="auto"/>
              </w:rPr>
              <w:t>1035 O’Brien Drive</w:t>
            </w:r>
          </w:p>
        </w:tc>
        <w:tc>
          <w:tcPr>
            <w:tcW w:w="1580" w:type="dxa"/>
            <w:vAlign w:val="bottom"/>
          </w:tcPr>
          <w:p>
            <w:pPr>
              <w:jc w:val="center"/>
              <w:ind w:left="185"/>
              <w:spacing w:after="0"/>
              <w:rPr>
                <w:sz w:val="20"/>
                <w:szCs w:val="20"/>
                <w:color w:val="auto"/>
              </w:rPr>
            </w:pPr>
            <w:r>
              <w:rPr>
                <w:rFonts w:ascii="Arial" w:cs="Arial" w:eastAsia="Arial" w:hAnsi="Arial"/>
                <w:sz w:val="11"/>
                <w:szCs w:val="11"/>
                <w:b w:val="1"/>
                <w:bCs w:val="1"/>
                <w:color w:val="auto"/>
              </w:rPr>
              <w:t>Mark Ballantyne</w:t>
            </w:r>
          </w:p>
        </w:tc>
      </w:tr>
      <w:tr>
        <w:trPr>
          <w:trHeight w:val="126"/>
        </w:trPr>
        <w:tc>
          <w:tcPr>
            <w:tcW w:w="1700" w:type="dxa"/>
            <w:vAlign w:val="bottom"/>
          </w:tcPr>
          <w:p>
            <w:pPr>
              <w:jc w:val="center"/>
              <w:ind w:right="185"/>
              <w:spacing w:after="0"/>
              <w:rPr>
                <w:sz w:val="20"/>
                <w:szCs w:val="20"/>
                <w:color w:val="auto"/>
              </w:rPr>
            </w:pPr>
            <w:r>
              <w:rPr>
                <w:rFonts w:ascii="Arial" w:cs="Arial" w:eastAsia="Arial" w:hAnsi="Arial"/>
                <w:sz w:val="11"/>
                <w:szCs w:val="11"/>
                <w:b w:val="1"/>
                <w:bCs w:val="1"/>
                <w:color w:val="auto"/>
              </w:rPr>
              <w:t>Gunderson Dettmer Stough</w:t>
            </w:r>
          </w:p>
        </w:tc>
        <w:tc>
          <w:tcPr>
            <w:tcW w:w="1740" w:type="dxa"/>
            <w:vAlign w:val="bottom"/>
          </w:tcPr>
          <w:p>
            <w:pPr>
              <w:spacing w:after="0"/>
              <w:rPr>
                <w:sz w:val="10"/>
                <w:szCs w:val="10"/>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1"/>
                <w:szCs w:val="11"/>
                <w:b w:val="1"/>
                <w:bCs w:val="1"/>
                <w:color w:val="auto"/>
              </w:rPr>
              <w:t>Menlo Park, CA 94025</w:t>
            </w:r>
          </w:p>
        </w:tc>
        <w:tc>
          <w:tcPr>
            <w:tcW w:w="1580" w:type="dxa"/>
            <w:vAlign w:val="bottom"/>
          </w:tcPr>
          <w:p>
            <w:pPr>
              <w:jc w:val="center"/>
              <w:ind w:left="185"/>
              <w:spacing w:after="0"/>
              <w:rPr>
                <w:sz w:val="20"/>
                <w:szCs w:val="20"/>
                <w:color w:val="auto"/>
              </w:rPr>
            </w:pPr>
            <w:r>
              <w:rPr>
                <w:rFonts w:ascii="Arial" w:cs="Arial" w:eastAsia="Arial" w:hAnsi="Arial"/>
                <w:sz w:val="11"/>
                <w:szCs w:val="11"/>
                <w:b w:val="1"/>
                <w:bCs w:val="1"/>
                <w:color w:val="auto"/>
              </w:rPr>
              <w:t>Cooley LLP</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Villeneuve Franklin &amp;</w:t>
            </w:r>
          </w:p>
        </w:tc>
        <w:tc>
          <w:tcPr>
            <w:tcW w:w="4100" w:type="dxa"/>
            <w:vAlign w:val="bottom"/>
            <w:gridSpan w:val="2"/>
          </w:tcPr>
          <w:p>
            <w:pPr>
              <w:jc w:val="right"/>
              <w:ind w:right="725"/>
              <w:spacing w:after="0"/>
              <w:rPr>
                <w:sz w:val="20"/>
                <w:szCs w:val="20"/>
                <w:color w:val="auto"/>
              </w:rPr>
            </w:pPr>
            <w:r>
              <w:rPr>
                <w:rFonts w:ascii="Arial" w:cs="Arial" w:eastAsia="Arial" w:hAnsi="Arial"/>
                <w:sz w:val="11"/>
                <w:szCs w:val="11"/>
                <w:b w:val="1"/>
                <w:bCs w:val="1"/>
                <w:color w:val="auto"/>
              </w:rPr>
              <w:t>(650) 460-2552</w:t>
            </w:r>
          </w:p>
        </w:tc>
        <w:tc>
          <w:tcPr>
            <w:tcW w:w="1800" w:type="dxa"/>
            <w:vAlign w:val="bottom"/>
          </w:tcPr>
          <w:p>
            <w:pPr>
              <w:spacing w:after="0"/>
              <w:rPr>
                <w:sz w:val="10"/>
                <w:szCs w:val="10"/>
                <w:color w:val="auto"/>
              </w:rPr>
            </w:pPr>
          </w:p>
        </w:tc>
        <w:tc>
          <w:tcPr>
            <w:tcW w:w="1580" w:type="dxa"/>
            <w:vAlign w:val="bottom"/>
          </w:tcPr>
          <w:p>
            <w:pPr>
              <w:jc w:val="center"/>
              <w:ind w:left="185"/>
              <w:spacing w:after="0"/>
              <w:rPr>
                <w:sz w:val="20"/>
                <w:szCs w:val="20"/>
                <w:color w:val="auto"/>
              </w:rPr>
            </w:pPr>
            <w:r>
              <w:rPr>
                <w:rFonts w:ascii="Arial" w:cs="Arial" w:eastAsia="Arial" w:hAnsi="Arial"/>
                <w:sz w:val="11"/>
                <w:szCs w:val="11"/>
                <w:b w:val="1"/>
                <w:bCs w:val="1"/>
                <w:color w:val="auto"/>
              </w:rPr>
              <w:t>3 Embarcadero Center,</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Hachigian, LLP</w:t>
            </w:r>
          </w:p>
        </w:tc>
        <w:tc>
          <w:tcPr>
            <w:tcW w:w="17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580" w:type="dxa"/>
            <w:vAlign w:val="bottom"/>
          </w:tcPr>
          <w:p>
            <w:pPr>
              <w:jc w:val="center"/>
              <w:ind w:left="185"/>
              <w:spacing w:after="0"/>
              <w:rPr>
                <w:sz w:val="20"/>
                <w:szCs w:val="20"/>
                <w:color w:val="auto"/>
              </w:rPr>
            </w:pPr>
            <w:r>
              <w:rPr>
                <w:rFonts w:ascii="Arial" w:cs="Arial" w:eastAsia="Arial" w:hAnsi="Arial"/>
                <w:sz w:val="11"/>
                <w:szCs w:val="11"/>
                <w:b w:val="1"/>
                <w:bCs w:val="1"/>
                <w:color w:val="auto"/>
              </w:rPr>
              <w:t>20th Floor</w:t>
            </w:r>
          </w:p>
        </w:tc>
      </w:tr>
      <w:tr>
        <w:trPr>
          <w:trHeight w:val="126"/>
        </w:trPr>
        <w:tc>
          <w:tcPr>
            <w:tcW w:w="1700" w:type="dxa"/>
            <w:vAlign w:val="bottom"/>
          </w:tcPr>
          <w:p>
            <w:pPr>
              <w:jc w:val="center"/>
              <w:ind w:right="185"/>
              <w:spacing w:after="0"/>
              <w:rPr>
                <w:sz w:val="20"/>
                <w:szCs w:val="20"/>
                <w:color w:val="auto"/>
              </w:rPr>
            </w:pPr>
            <w:r>
              <w:rPr>
                <w:rFonts w:ascii="Arial" w:cs="Arial" w:eastAsia="Arial" w:hAnsi="Arial"/>
                <w:sz w:val="11"/>
                <w:szCs w:val="11"/>
                <w:b w:val="1"/>
                <w:bCs w:val="1"/>
                <w:color w:val="auto"/>
              </w:rPr>
              <w:t>1 Bush Street #1200</w:t>
            </w:r>
          </w:p>
        </w:tc>
        <w:tc>
          <w:tcPr>
            <w:tcW w:w="17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580" w:type="dxa"/>
            <w:vAlign w:val="bottom"/>
          </w:tcPr>
          <w:p>
            <w:pPr>
              <w:jc w:val="center"/>
              <w:ind w:left="205"/>
              <w:spacing w:after="0"/>
              <w:rPr>
                <w:sz w:val="20"/>
                <w:szCs w:val="20"/>
                <w:color w:val="auto"/>
              </w:rPr>
            </w:pPr>
            <w:r>
              <w:rPr>
                <w:rFonts w:ascii="Arial" w:cs="Arial" w:eastAsia="Arial" w:hAnsi="Arial"/>
                <w:sz w:val="11"/>
                <w:szCs w:val="11"/>
                <w:b w:val="1"/>
                <w:bCs w:val="1"/>
                <w:color w:val="auto"/>
              </w:rPr>
              <w:t>San Francisco, CA 94111</w:t>
            </w:r>
          </w:p>
        </w:tc>
      </w:tr>
      <w:tr>
        <w:trPr>
          <w:trHeight w:val="126"/>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San Francisco, CA 94104</w:t>
            </w:r>
          </w:p>
        </w:tc>
        <w:tc>
          <w:tcPr>
            <w:tcW w:w="17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580" w:type="dxa"/>
            <w:vAlign w:val="bottom"/>
          </w:tcPr>
          <w:p>
            <w:pPr>
              <w:jc w:val="right"/>
              <w:ind w:right="225"/>
              <w:spacing w:after="0"/>
              <w:rPr>
                <w:sz w:val="20"/>
                <w:szCs w:val="20"/>
                <w:color w:val="auto"/>
              </w:rPr>
            </w:pPr>
            <w:r>
              <w:rPr>
                <w:rFonts w:ascii="Arial" w:cs="Arial" w:eastAsia="Arial" w:hAnsi="Arial"/>
                <w:sz w:val="11"/>
                <w:szCs w:val="11"/>
                <w:b w:val="1"/>
                <w:bCs w:val="1"/>
                <w:color w:val="auto"/>
              </w:rPr>
              <w:t>(415) 693-2000</w:t>
            </w:r>
          </w:p>
        </w:tc>
      </w:tr>
      <w:tr>
        <w:trPr>
          <w:trHeight w:val="151"/>
        </w:trPr>
        <w:tc>
          <w:tcPr>
            <w:tcW w:w="1700" w:type="dxa"/>
            <w:vAlign w:val="bottom"/>
          </w:tcPr>
          <w:p>
            <w:pPr>
              <w:jc w:val="center"/>
              <w:ind w:right="165"/>
              <w:spacing w:after="0"/>
              <w:rPr>
                <w:sz w:val="20"/>
                <w:szCs w:val="20"/>
                <w:color w:val="auto"/>
              </w:rPr>
            </w:pPr>
            <w:r>
              <w:rPr>
                <w:rFonts w:ascii="Arial" w:cs="Arial" w:eastAsia="Arial" w:hAnsi="Arial"/>
                <w:sz w:val="11"/>
                <w:szCs w:val="11"/>
                <w:b w:val="1"/>
                <w:bCs w:val="1"/>
                <w:color w:val="auto"/>
              </w:rPr>
              <w:t>(415) 978-9803</w:t>
            </w:r>
          </w:p>
        </w:tc>
        <w:tc>
          <w:tcPr>
            <w:tcW w:w="17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67945</wp:posOffset>
            </wp:positionV>
            <wp:extent cx="14992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235" cy="635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this Registration Statement is declared effective.</w:t>
      </w:r>
    </w:p>
    <w:p>
      <w:pPr>
        <w:spacing w:after="0" w:line="2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37" w:lineRule="exact"/>
        <w:rPr>
          <w:sz w:val="24"/>
          <w:szCs w:val="24"/>
          <w:color w:val="auto"/>
        </w:rPr>
      </w:pPr>
    </w:p>
    <w:p>
      <w:pPr>
        <w:ind w:right="20"/>
        <w:spacing w:after="0" w:line="144"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 w:lineRule="exact"/>
        <w:rPr>
          <w:sz w:val="24"/>
          <w:szCs w:val="24"/>
          <w:color w:val="auto"/>
        </w:rPr>
      </w:pPr>
    </w:p>
    <w:p>
      <w:pPr>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 w:lineRule="exact"/>
        <w:rPr>
          <w:sz w:val="24"/>
          <w:szCs w:val="24"/>
          <w:color w:val="auto"/>
        </w:rPr>
      </w:pPr>
    </w:p>
    <w:p>
      <w:pPr>
        <w:ind w:right="160"/>
        <w:spacing w:after="0" w:line="27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14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414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360" w:type="dxa"/>
            <w:vAlign w:val="bottom"/>
          </w:tcPr>
          <w:p>
            <w:pPr>
              <w:ind w:left="3720"/>
              <w:spacing w:after="0"/>
              <w:rPr>
                <w:sz w:val="20"/>
                <w:szCs w:val="20"/>
                <w:color w:val="auto"/>
              </w:rPr>
            </w:pPr>
            <w:r>
              <w:rPr>
                <w:rFonts w:ascii="Arial" w:cs="Arial" w:eastAsia="Arial" w:hAnsi="Arial"/>
                <w:sz w:val="11"/>
                <w:szCs w:val="1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7"/>
        </w:trPr>
        <w:tc>
          <w:tcPr>
            <w:tcW w:w="1400" w:type="dxa"/>
            <w:vAlign w:val="bottom"/>
          </w:tcPr>
          <w:p>
            <w:pPr>
              <w:spacing w:after="0"/>
              <w:rPr>
                <w:sz w:val="20"/>
                <w:szCs w:val="20"/>
                <w:color w:val="auto"/>
              </w:rPr>
            </w:pPr>
            <w:r>
              <w:rPr>
                <w:rFonts w:ascii="Arial" w:cs="Arial" w:eastAsia="Arial" w:hAnsi="Arial"/>
                <w:sz w:val="11"/>
                <w:szCs w:val="11"/>
                <w:color w:val="auto"/>
              </w:rPr>
              <w:t>Non-accelerated filer</w:t>
            </w:r>
          </w:p>
        </w:tc>
        <w:tc>
          <w:tcPr>
            <w:tcW w:w="414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360" w:type="dxa"/>
            <w:vAlign w:val="bottom"/>
          </w:tcPr>
          <w:p>
            <w:pPr>
              <w:ind w:left="3720"/>
              <w:spacing w:after="0"/>
              <w:rPr>
                <w:sz w:val="20"/>
                <w:szCs w:val="20"/>
                <w:color w:val="auto"/>
              </w:rPr>
            </w:pPr>
            <w:r>
              <w:rPr>
                <w:rFonts w:ascii="Arial" w:cs="Arial" w:eastAsia="Arial" w:hAnsi="Arial"/>
                <w:sz w:val="11"/>
                <w:szCs w:val="1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4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360" w:type="dxa"/>
            <w:vAlign w:val="bottom"/>
          </w:tcPr>
          <w:p>
            <w:pPr>
              <w:ind w:left="3720"/>
              <w:spacing w:after="0"/>
              <w:rPr>
                <w:sz w:val="20"/>
                <w:szCs w:val="20"/>
                <w:color w:val="auto"/>
              </w:rPr>
            </w:pPr>
            <w:r>
              <w:rPr>
                <w:rFonts w:ascii="Arial" w:cs="Arial" w:eastAsia="Arial" w:hAnsi="Arial"/>
                <w:sz w:val="11"/>
                <w:szCs w:val="1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w:t>
      </w:r>
    </w:p>
    <w:p>
      <w:pPr>
        <w:spacing w:after="0" w:line="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78740</wp:posOffset>
            </wp:positionV>
            <wp:extent cx="14992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9235" cy="6350"/>
                    </a:xfrm>
                    <a:prstGeom prst="rect">
                      <a:avLst/>
                    </a:prstGeom>
                    <a:noFill/>
                  </pic:spPr>
                </pic:pic>
              </a:graphicData>
            </a:graphic>
          </wp:anchor>
        </w:drawing>
      </w:r>
    </w:p>
    <w:p>
      <w:pPr>
        <w:spacing w:after="0" w:line="140" w:lineRule="exact"/>
        <w:rPr>
          <w:sz w:val="24"/>
          <w:szCs w:val="24"/>
          <w:color w:val="auto"/>
        </w:rPr>
      </w:pPr>
    </w:p>
    <w:p>
      <w:pPr>
        <w:ind w:right="100"/>
        <w:spacing w:after="0" w:line="26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628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71628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40"/>
        <w:spacing w:after="0" w:line="258" w:lineRule="auto"/>
        <w:rPr>
          <w:sz w:val="20"/>
          <w:szCs w:val="20"/>
          <w:color w:val="auto"/>
        </w:rPr>
      </w:pPr>
      <w:r>
        <w:rPr>
          <w:rFonts w:ascii="Arial" w:cs="Arial" w:eastAsia="Arial" w:hAnsi="Arial"/>
          <w:sz w:val="14"/>
          <w:szCs w:val="14"/>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CC062A"/>
        </w:rPr>
        <w:t>Subject to Completion, dated         , 2025</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89535</wp:posOffset>
            </wp:positionV>
            <wp:extent cx="2058670" cy="633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8670"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Class A common stock</w:t>
      </w:r>
    </w:p>
    <w:p>
      <w:pPr>
        <w:spacing w:after="0" w:line="126"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This is an initial public offering of shares of Class A common stock of BillionToOne, Inc. We are offering       shares of our Class A common stock to be sold in this offering. The initial public offering price is expected to be between $      and $      per share.</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Prior to this offering, there has been no public market for our common stock. We have applied to list our Class A common stock on the Nasdaq Global Select Market under the symbol “BLLN,” and this offering is contingent upon obtaining such approval.</w:t>
      </w:r>
    </w:p>
    <w:p>
      <w:pPr>
        <w:spacing w:after="0" w:line="59" w:lineRule="exact"/>
        <w:rPr>
          <w:sz w:val="20"/>
          <w:szCs w:val="20"/>
          <w:color w:val="auto"/>
        </w:rPr>
      </w:pPr>
    </w:p>
    <w:p>
      <w:pPr>
        <w:ind w:right="40"/>
        <w:spacing w:after="0"/>
        <w:rPr>
          <w:sz w:val="20"/>
          <w:szCs w:val="20"/>
          <w:color w:val="auto"/>
        </w:rPr>
      </w:pPr>
      <w:r>
        <w:rPr>
          <w:rFonts w:ascii="Arial" w:cs="Arial" w:eastAsia="Arial" w:hAnsi="Arial"/>
          <w:sz w:val="14"/>
          <w:szCs w:val="14"/>
          <w:color w:val="auto"/>
        </w:rPr>
        <w:t>Following this offering, we will have two series of common stock: Class A common stock and Class B common stock. The rights of the holders of Class A common stock and Class B common stock are identical, except with respect to voting, conversion and transfer rights. Each share of Class A common stock is entitled to one vote per share. Each share of Class B common stock is entitled to 15 votes per share and is convertible at any time into one share of Class A common stock. See the section titled “Description of capital stock.” Oguzhan Atay, our Chief Executive Officer and Co-Founder, and David Tsao, our Chief Technology Officer and Co-Founder, will beneficially own 100% of our outstanding Class B common stock and, as a result, will together beneficially own approximately    % of the voting power of our outstanding capital stock immediately following this offering, assuming no exercise of the underwriters’ option to purchase additional shares of Class A common stock. As a result, following this offering, our Co-Founders, together, may have significant influence over the outcome of matters submitted to our stockholders for approval, including the election of our directors and the approval of any change of control transaction.</w:t>
      </w:r>
    </w:p>
    <w:p>
      <w:pPr>
        <w:spacing w:after="0" w:line="90" w:lineRule="exact"/>
        <w:rPr>
          <w:sz w:val="20"/>
          <w:szCs w:val="20"/>
          <w:color w:val="auto"/>
        </w:rPr>
      </w:pPr>
    </w:p>
    <w:p>
      <w:pPr>
        <w:ind w:right="580"/>
        <w:spacing w:after="0" w:line="269" w:lineRule="auto"/>
        <w:rPr>
          <w:sz w:val="20"/>
          <w:szCs w:val="20"/>
          <w:color w:val="auto"/>
        </w:rPr>
      </w:pPr>
      <w:r>
        <w:rPr>
          <w:rFonts w:ascii="Arial" w:cs="Arial" w:eastAsia="Arial" w:hAnsi="Arial"/>
          <w:sz w:val="14"/>
          <w:szCs w:val="14"/>
          <w:color w:val="auto"/>
        </w:rPr>
        <w:t>We are an “emerging growth company” as defined under the U.S. federal securities laws and, as such, have elected to comply with certain reduced public company reporting requirements.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8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2"/>
          </w:tcPr>
          <w:p>
            <w:pPr>
              <w:ind w:left="3300"/>
              <w:spacing w:after="0"/>
              <w:rPr>
                <w:sz w:val="20"/>
                <w:szCs w:val="20"/>
                <w:color w:val="auto"/>
              </w:rPr>
            </w:pPr>
            <w:r>
              <w:rPr>
                <w:rFonts w:ascii="Arial" w:cs="Arial" w:eastAsia="Arial" w:hAnsi="Arial"/>
                <w:sz w:val="13"/>
                <w:szCs w:val="13"/>
                <w:b w:val="1"/>
                <w:bCs w:val="1"/>
                <w:color w:val="auto"/>
              </w:rPr>
              <w:t>Per share</w:t>
            </w: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Total</w:t>
            </w:r>
          </w:p>
        </w:tc>
      </w:tr>
      <w:tr>
        <w:trPr>
          <w:trHeight w:val="64"/>
        </w:trPr>
        <w:tc>
          <w:tcPr>
            <w:tcW w:w="62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57"/>
        </w:trPr>
        <w:tc>
          <w:tcPr>
            <w:tcW w:w="62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Initial public offering price</w:t>
            </w:r>
          </w:p>
        </w:tc>
        <w:tc>
          <w:tcPr>
            <w:tcW w:w="3440" w:type="dxa"/>
            <w:vAlign w:val="bottom"/>
            <w:shd w:val="clear" w:color="auto" w:fill="E5E5E5"/>
          </w:tcPr>
          <w:p>
            <w:pPr>
              <w:ind w:left="330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ind w:left="60"/>
              <w:spacing w:after="0" w:line="157" w:lineRule="exact"/>
              <w:rPr>
                <w:sz w:val="20"/>
                <w:szCs w:val="20"/>
                <w:color w:val="auto"/>
              </w:rPr>
            </w:pPr>
            <w:r>
              <w:rPr>
                <w:rFonts w:ascii="Arial" w:cs="Arial" w:eastAsia="Arial" w:hAnsi="Arial"/>
                <w:sz w:val="14"/>
                <w:szCs w:val="14"/>
                <w:color w:val="auto"/>
              </w:rPr>
              <w:t xml:space="preserve">       </w:t>
            </w:r>
          </w:p>
        </w:tc>
        <w:tc>
          <w:tcPr>
            <w:tcW w:w="360" w:type="dxa"/>
            <w:vAlign w:val="bottom"/>
            <w:shd w:val="clear" w:color="auto" w:fill="E5E5E5"/>
          </w:tcPr>
          <w:p>
            <w:pPr>
              <w:ind w:left="240"/>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 xml:space="preserve">       </w:t>
            </w:r>
          </w:p>
        </w:tc>
      </w:tr>
      <w:tr>
        <w:trPr>
          <w:trHeight w:val="325"/>
        </w:trPr>
        <w:tc>
          <w:tcPr>
            <w:tcW w:w="628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0"/>
                <w:szCs w:val="20"/>
                <w:color w:val="auto"/>
                <w:vertAlign w:val="superscript"/>
              </w:rPr>
              <w:t>(1)</w:t>
            </w:r>
          </w:p>
        </w:tc>
        <w:tc>
          <w:tcPr>
            <w:tcW w:w="3440" w:type="dxa"/>
            <w:vAlign w:val="bottom"/>
          </w:tcPr>
          <w:p>
            <w:pPr>
              <w:ind w:left="33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r>
      <w:tr>
        <w:trPr>
          <w:trHeight w:val="157"/>
        </w:trPr>
        <w:tc>
          <w:tcPr>
            <w:tcW w:w="62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Proceeds to BillionToOne, Inc., before expenses</w:t>
            </w:r>
          </w:p>
        </w:tc>
        <w:tc>
          <w:tcPr>
            <w:tcW w:w="3440" w:type="dxa"/>
            <w:vAlign w:val="bottom"/>
            <w:shd w:val="clear" w:color="auto" w:fill="E5E5E5"/>
          </w:tcPr>
          <w:p>
            <w:pPr>
              <w:ind w:left="330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spacing w:after="0"/>
              <w:rPr>
                <w:sz w:val="13"/>
                <w:szCs w:val="13"/>
                <w:color w:val="auto"/>
              </w:rPr>
            </w:pPr>
          </w:p>
        </w:tc>
        <w:tc>
          <w:tcPr>
            <w:tcW w:w="360" w:type="dxa"/>
            <w:vAlign w:val="bottom"/>
            <w:shd w:val="clear" w:color="auto" w:fill="E5E5E5"/>
          </w:tcPr>
          <w:p>
            <w:pPr>
              <w:ind w:left="240"/>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628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ind w:left="320" w:hanging="316"/>
        <w:spacing w:after="0"/>
        <w:tabs>
          <w:tab w:leader="none" w:pos="320" w:val="left"/>
        </w:tabs>
        <w:numPr>
          <w:ilvl w:val="0"/>
          <w:numId w:val="1"/>
        </w:numPr>
        <w:rPr>
          <w:rFonts w:ascii="Arial" w:cs="Arial" w:eastAsia="Arial" w:hAnsi="Arial"/>
          <w:sz w:val="10"/>
          <w:szCs w:val="10"/>
          <w:color w:val="auto"/>
        </w:rPr>
      </w:pPr>
      <w:r>
        <w:rPr>
          <w:rFonts w:ascii="Arial" w:cs="Arial" w:eastAsia="Arial" w:hAnsi="Arial"/>
          <w:sz w:val="10"/>
          <w:szCs w:val="10"/>
          <w:color w:val="auto"/>
        </w:rPr>
        <w:t>See the section titled “Underwriting” for a description of the compensation payable to the underwriters.</w:t>
      </w:r>
    </w:p>
    <w:p>
      <w:pPr>
        <w:spacing w:after="0" w:line="122" w:lineRule="exact"/>
        <w:rPr>
          <w:sz w:val="20"/>
          <w:szCs w:val="20"/>
          <w:color w:val="auto"/>
        </w:rPr>
      </w:pPr>
    </w:p>
    <w:p>
      <w:pPr>
        <w:ind w:right="360"/>
        <w:spacing w:after="0" w:line="269" w:lineRule="auto"/>
        <w:rPr>
          <w:sz w:val="20"/>
          <w:szCs w:val="20"/>
          <w:color w:val="auto"/>
        </w:rPr>
      </w:pPr>
      <w:r>
        <w:rPr>
          <w:rFonts w:ascii="Arial" w:cs="Arial" w:eastAsia="Arial" w:hAnsi="Arial"/>
          <w:sz w:val="14"/>
          <w:szCs w:val="14"/>
          <w:color w:val="auto"/>
        </w:rPr>
        <w:t>At our request, the underwriters have reserved up to 5% of the shares of Class A common stock being offered by this prospectus for sale, at the initial public offering price, to our officers, directors and employees through a directed share program. See the section titled “Underwriting – Directed share program.”</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We have granted the underwriters an option for a period of 30 days to purchase up to         additional shares of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our Class A common stock involves a high degree of risk. See “</w:t>
      </w:r>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color w:val="auto"/>
        </w:rPr>
        <w:t>” beginning on page 22.</w:t>
      </w:r>
    </w:p>
    <w:p>
      <w:pPr>
        <w:spacing w:after="0" w:line="10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expect to deliver the shares to purchasers on or about          , 2025.</w:t>
      </w:r>
    </w:p>
    <w:p>
      <w:pPr>
        <w:sectPr>
          <w:pgSz w:w="11900" w:h="16838" w:orient="portrait"/>
          <w:cols w:equalWidth="0" w:num="1">
            <w:col w:w="11280"/>
          </w:cols>
          <w:pgMar w:left="300" w:top="385" w:right="31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w:t>
      </w:r>
    </w:p>
    <w:p>
      <w:pPr>
        <w:spacing w:after="0" w:line="106" w:lineRule="exact"/>
        <w:rPr>
          <w:sz w:val="20"/>
          <w:szCs w:val="20"/>
          <w:color w:val="auto"/>
        </w:rPr>
      </w:pPr>
    </w:p>
    <w:p>
      <w:pPr>
        <w:sectPr>
          <w:pgSz w:w="11900" w:h="16838" w:orient="portrait"/>
          <w:cols w:equalWidth="0" w:num="4">
            <w:col w:w="2840" w:space="720"/>
            <w:col w:w="2660" w:space="720"/>
            <w:col w:w="2460" w:space="720"/>
            <w:col w:w="1160"/>
          </w:cols>
          <w:pgMar w:left="300" w:top="385" w:right="3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Stifel</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BTIG</w:t>
      </w:r>
    </w:p>
    <w:p>
      <w:pPr>
        <w:spacing w:after="0" w:line="63" w:lineRule="exact"/>
        <w:rPr>
          <w:sz w:val="20"/>
          <w:szCs w:val="20"/>
          <w:color w:val="auto"/>
        </w:rPr>
      </w:pPr>
    </w:p>
    <w:p>
      <w:pPr>
        <w:sectPr>
          <w:pgSz w:w="11900" w:h="16838" w:orient="portrait"/>
          <w:cols w:equalWidth="0" w:num="3">
            <w:col w:w="3980" w:space="720"/>
            <w:col w:w="5460" w:space="720"/>
            <w:col w:w="400"/>
          </w:cols>
          <w:pgMar w:left="300" w:top="385"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         , 2025</w:t>
      </w:r>
    </w:p>
    <w:p>
      <w:pPr>
        <w:sectPr>
          <w:pgSz w:w="11900" w:h="16838" w:orient="portrait"/>
          <w:cols w:equalWidth="0" w:num="1">
            <w:col w:w="11280"/>
          </w:cols>
          <w:pgMar w:left="300" w:top="385"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720" w:type="dxa"/>
            <w:vAlign w:val="bottom"/>
          </w:tcPr>
          <w:p>
            <w:pPr>
              <w:jc w:val="right"/>
              <w:spacing w:after="0"/>
              <w:rPr>
                <w:sz w:val="20"/>
                <w:szCs w:val="20"/>
                <w:color w:val="auto"/>
              </w:rPr>
            </w:pPr>
            <w:r>
              <w:rPr>
                <w:rFonts w:ascii="Arial" w:cs="Arial" w:eastAsia="Arial" w:hAnsi="Arial"/>
                <w:sz w:val="11"/>
                <w:szCs w:val="11"/>
                <w:b w:val="1"/>
                <w:bCs w:val="1"/>
                <w:color w:val="auto"/>
              </w:rPr>
              <w:t>Page</w:t>
            </w:r>
          </w:p>
        </w:tc>
      </w:tr>
      <w:tr>
        <w:trPr>
          <w:trHeight w:val="170"/>
        </w:trPr>
        <w:tc>
          <w:tcPr>
            <w:tcW w:w="8500" w:type="dxa"/>
            <w:vAlign w:val="bottom"/>
            <w:gridSpan w:val="23"/>
          </w:tcPr>
          <w:p>
            <w:pPr>
              <w:spacing w:after="0"/>
              <w:rPr>
                <w:sz w:val="20"/>
                <w:szCs w:val="20"/>
                <w:color w:val="auto"/>
              </w:rPr>
            </w:pPr>
            <w:r>
              <w:rPr>
                <w:rFonts w:ascii="Arial" w:cs="Arial" w:eastAsia="Arial" w:hAnsi="Arial"/>
                <w:sz w:val="14"/>
                <w:szCs w:val="14"/>
                <w:color w:val="0000EE"/>
              </w:rPr>
              <w:t>Letter from our co-founder and CEO</w:t>
            </w:r>
          </w:p>
        </w:tc>
        <w:tc>
          <w:tcPr>
            <w:tcW w:w="272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190"/>
        </w:trPr>
        <w:tc>
          <w:tcPr>
            <w:tcW w:w="5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w w:val="97"/>
              </w:rPr>
              <w:t>Glossary</w:t>
            </w:r>
          </w:p>
        </w:tc>
        <w:tc>
          <w:tcPr>
            <w:tcW w:w="1680" w:type="dxa"/>
            <w:vAlign w:val="bottom"/>
            <w:tcBorders>
              <w:top w:val="single" w:sz="8" w:color="0000EE"/>
            </w:tcBorders>
            <w:gridSpan w:val="15"/>
          </w:tcPr>
          <w:p>
            <w:pPr>
              <w:spacing w:after="0"/>
              <w:rPr>
                <w:sz w:val="16"/>
                <w:szCs w:val="16"/>
                <w:color w:val="auto"/>
              </w:rPr>
            </w:pPr>
          </w:p>
        </w:tc>
        <w:tc>
          <w:tcPr>
            <w:tcW w:w="6260" w:type="dxa"/>
            <w:vAlign w:val="bottom"/>
            <w:gridSpan w:val="6"/>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v</w:t>
            </w:r>
          </w:p>
        </w:tc>
      </w:tr>
      <w:tr>
        <w:trPr>
          <w:trHeight w:val="190"/>
        </w:trPr>
        <w:tc>
          <w:tcPr>
            <w:tcW w:w="132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w w:val="98"/>
              </w:rPr>
              <w:t>Prospectus summary</w:t>
            </w:r>
          </w:p>
        </w:tc>
        <w:tc>
          <w:tcPr>
            <w:tcW w:w="7180" w:type="dxa"/>
            <w:vAlign w:val="bottom"/>
            <w:gridSpan w:val="13"/>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0"/>
        </w:trPr>
        <w:tc>
          <w:tcPr>
            <w:tcW w:w="7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8"/>
              </w:rPr>
              <w:t>Risk factors</w:t>
            </w:r>
          </w:p>
        </w:tc>
        <w:tc>
          <w:tcPr>
            <w:tcW w:w="7760" w:type="dxa"/>
            <w:vAlign w:val="bottom"/>
            <w:gridSpan w:val="19"/>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Special note regarding forward-looking statements</w:t>
            </w:r>
          </w:p>
        </w:tc>
        <w:tc>
          <w:tcPr>
            <w:tcW w:w="27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90"/>
        </w:trPr>
        <w:tc>
          <w:tcPr>
            <w:tcW w:w="194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color w:val="0000EE"/>
                <w:w w:val="99"/>
              </w:rPr>
              <w:t>Market, industry and other data</w:t>
            </w:r>
          </w:p>
        </w:tc>
        <w:tc>
          <w:tcPr>
            <w:tcW w:w="1180" w:type="dxa"/>
            <w:vAlign w:val="bottom"/>
            <w:tcBorders>
              <w:top w:val="single" w:sz="8" w:color="0000EE"/>
            </w:tcBorders>
            <w:gridSpan w:val="3"/>
          </w:tcPr>
          <w:p>
            <w:pPr>
              <w:spacing w:after="0"/>
              <w:rPr>
                <w:sz w:val="16"/>
                <w:szCs w:val="16"/>
                <w:color w:val="auto"/>
              </w:rPr>
            </w:pPr>
          </w:p>
        </w:tc>
        <w:tc>
          <w:tcPr>
            <w:tcW w:w="5380" w:type="dxa"/>
            <w:vAlign w:val="bottom"/>
            <w:gridSpan w:val="4"/>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Use of proceeds</w:t>
            </w:r>
          </w:p>
        </w:tc>
        <w:tc>
          <w:tcPr>
            <w:tcW w:w="27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0"/>
        </w:trPr>
        <w:tc>
          <w:tcPr>
            <w:tcW w:w="102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0000EE"/>
              </w:rPr>
              <w:t>Dividend policy</w:t>
            </w:r>
          </w:p>
        </w:tc>
        <w:tc>
          <w:tcPr>
            <w:tcW w:w="7480" w:type="dxa"/>
            <w:vAlign w:val="bottom"/>
            <w:gridSpan w:val="14"/>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90"/>
        </w:trPr>
        <w:tc>
          <w:tcPr>
            <w:tcW w:w="94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Capitalization</w:t>
            </w:r>
          </w:p>
        </w:tc>
        <w:tc>
          <w:tcPr>
            <w:tcW w:w="7560" w:type="dxa"/>
            <w:vAlign w:val="bottom"/>
            <w:gridSpan w:val="15"/>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90"/>
        </w:trPr>
        <w:tc>
          <w:tcPr>
            <w:tcW w:w="4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w w:val="98"/>
              </w:rPr>
              <w:t>Dilution</w:t>
            </w:r>
          </w:p>
        </w:tc>
        <w:tc>
          <w:tcPr>
            <w:tcW w:w="360" w:type="dxa"/>
            <w:vAlign w:val="bottom"/>
            <w:tcBorders>
              <w:top w:val="single" w:sz="8" w:color="0000EE"/>
            </w:tcBorders>
            <w:gridSpan w:val="5"/>
          </w:tcPr>
          <w:p>
            <w:pPr>
              <w:spacing w:after="0"/>
              <w:rPr>
                <w:sz w:val="16"/>
                <w:szCs w:val="16"/>
                <w:color w:val="auto"/>
              </w:rPr>
            </w:pPr>
          </w:p>
        </w:tc>
        <w:tc>
          <w:tcPr>
            <w:tcW w:w="7660" w:type="dxa"/>
            <w:vAlign w:val="bottom"/>
            <w:gridSpan w:val="17"/>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272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90"/>
        </w:trPr>
        <w:tc>
          <w:tcPr>
            <w:tcW w:w="5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color w:val="0000EE"/>
                <w:w w:val="98"/>
              </w:rPr>
              <w:t>Business</w:t>
            </w:r>
          </w:p>
        </w:tc>
        <w:tc>
          <w:tcPr>
            <w:tcW w:w="4720" w:type="dxa"/>
            <w:vAlign w:val="bottom"/>
            <w:tcBorders>
              <w:top w:val="single" w:sz="8" w:color="0000EE"/>
            </w:tcBorders>
            <w:gridSpan w:val="18"/>
          </w:tcPr>
          <w:p>
            <w:pPr>
              <w:spacing w:after="0"/>
              <w:rPr>
                <w:sz w:val="16"/>
                <w:szCs w:val="16"/>
                <w:color w:val="auto"/>
              </w:rPr>
            </w:pPr>
          </w:p>
        </w:tc>
        <w:tc>
          <w:tcPr>
            <w:tcW w:w="3200" w:type="dxa"/>
            <w:vAlign w:val="bottom"/>
            <w:gridSpan w:val="2"/>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Management</w:t>
            </w:r>
          </w:p>
        </w:tc>
        <w:tc>
          <w:tcPr>
            <w:tcW w:w="27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0"/>
        </w:trPr>
        <w:tc>
          <w:tcPr>
            <w:tcW w:w="15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w w:val="98"/>
              </w:rPr>
              <w:t>Executive compensation</w:t>
            </w:r>
          </w:p>
        </w:tc>
        <w:tc>
          <w:tcPr>
            <w:tcW w:w="6980" w:type="dxa"/>
            <w:vAlign w:val="bottom"/>
            <w:gridSpan w:val="11"/>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Certain relationships and related party transactions</w:t>
            </w:r>
          </w:p>
        </w:tc>
        <w:tc>
          <w:tcPr>
            <w:tcW w:w="272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0"/>
        </w:trPr>
        <w:tc>
          <w:tcPr>
            <w:tcW w:w="316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0000EE"/>
              </w:rPr>
              <w:t>Principal stockholders</w:t>
            </w:r>
          </w:p>
        </w:tc>
        <w:tc>
          <w:tcPr>
            <w:tcW w:w="5340" w:type="dxa"/>
            <w:vAlign w:val="bottom"/>
            <w:gridSpan w:val="3"/>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Description of capital stock</w:t>
            </w:r>
          </w:p>
        </w:tc>
        <w:tc>
          <w:tcPr>
            <w:tcW w:w="272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0"/>
        </w:trPr>
        <w:tc>
          <w:tcPr>
            <w:tcW w:w="18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w w:val="99"/>
              </w:rPr>
              <w:t>Shares eligible for future sale</w:t>
            </w:r>
          </w:p>
        </w:tc>
        <w:tc>
          <w:tcPr>
            <w:tcW w:w="6680" w:type="dxa"/>
            <w:vAlign w:val="bottom"/>
            <w:gridSpan w:val="8"/>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0"/>
        </w:trPr>
        <w:tc>
          <w:tcPr>
            <w:tcW w:w="8500" w:type="dxa"/>
            <w:vAlign w:val="bottom"/>
            <w:gridSpan w:val="23"/>
          </w:tcPr>
          <w:p>
            <w:pPr>
              <w:spacing w:after="0"/>
              <w:rPr>
                <w:sz w:val="20"/>
                <w:szCs w:val="20"/>
                <w:color w:val="auto"/>
              </w:rPr>
            </w:pPr>
            <w:r>
              <w:rPr>
                <w:rFonts w:ascii="Arial" w:cs="Arial" w:eastAsia="Arial" w:hAnsi="Arial"/>
                <w:sz w:val="14"/>
                <w:szCs w:val="14"/>
                <w:color w:val="0000EE"/>
              </w:rPr>
              <w:t>Material U.S. federal income tax consequences to non-U.S. holders of our Class A common stock</w:t>
            </w:r>
          </w:p>
        </w:tc>
        <w:tc>
          <w:tcPr>
            <w:tcW w:w="27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90"/>
        </w:trPr>
        <w:tc>
          <w:tcPr>
            <w:tcW w:w="6020" w:type="dxa"/>
            <w:vAlign w:val="bottom"/>
            <w:tcBorders>
              <w:top w:val="single" w:sz="8" w:color="0000EE"/>
            </w:tcBorders>
            <w:gridSpan w:val="22"/>
          </w:tcPr>
          <w:p>
            <w:pPr>
              <w:spacing w:after="0"/>
              <w:rPr>
                <w:sz w:val="20"/>
                <w:szCs w:val="20"/>
                <w:color w:val="auto"/>
              </w:rPr>
            </w:pPr>
            <w:r>
              <w:rPr>
                <w:rFonts w:ascii="Arial" w:cs="Arial" w:eastAsia="Arial" w:hAnsi="Arial"/>
                <w:sz w:val="14"/>
                <w:szCs w:val="14"/>
                <w:color w:val="0000EE"/>
              </w:rPr>
              <w:t>Underwriting</w:t>
            </w:r>
          </w:p>
        </w:tc>
        <w:tc>
          <w:tcPr>
            <w:tcW w:w="248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0"/>
        </w:trPr>
        <w:tc>
          <w:tcPr>
            <w:tcW w:w="8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8"/>
              </w:rPr>
              <w:t>Legal matters</w:t>
            </w:r>
          </w:p>
        </w:tc>
        <w:tc>
          <w:tcPr>
            <w:tcW w:w="7640" w:type="dxa"/>
            <w:vAlign w:val="bottom"/>
            <w:gridSpan w:val="16"/>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90"/>
        </w:trPr>
        <w:tc>
          <w:tcPr>
            <w:tcW w:w="48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96"/>
              </w:rPr>
              <w:t>Experts</w:t>
            </w:r>
          </w:p>
        </w:tc>
        <w:tc>
          <w:tcPr>
            <w:tcW w:w="8020" w:type="dxa"/>
            <w:vAlign w:val="bottom"/>
            <w:gridSpan w:val="22"/>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90"/>
        </w:trPr>
        <w:tc>
          <w:tcPr>
            <w:tcW w:w="258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w w:val="99"/>
              </w:rPr>
              <w:t>Where you can find additional information</w:t>
            </w:r>
          </w:p>
        </w:tc>
        <w:tc>
          <w:tcPr>
            <w:tcW w:w="5920" w:type="dxa"/>
            <w:vAlign w:val="bottom"/>
            <w:gridSpan w:val="5"/>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90"/>
        </w:trPr>
        <w:tc>
          <w:tcPr>
            <w:tcW w:w="178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9"/>
              </w:rPr>
              <w:t>Index to financial statements</w:t>
            </w:r>
          </w:p>
        </w:tc>
        <w:tc>
          <w:tcPr>
            <w:tcW w:w="6720" w:type="dxa"/>
            <w:vAlign w:val="bottom"/>
            <w:gridSpan w:val="9"/>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F-1</w:t>
            </w:r>
          </w:p>
        </w:tc>
      </w:tr>
    </w:tbl>
    <w:p>
      <w:pPr>
        <w:spacing w:after="0" w:line="101"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b w:val="1"/>
          <w:bCs w:val="1"/>
          <w:color w:val="auto"/>
        </w:rPr>
        <w:t>Through and including      , 2025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6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ectPr>
          <w:pgSz w:w="11900" w:h="16838" w:orient="portrait"/>
          <w:cols w:equalWidth="0" w:num="1">
            <w:col w:w="11240"/>
          </w:cols>
          <w:pgMar w:left="300" w:top="38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For investors outside the United States: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ectPr>
          <w:pgSz w:w="11900" w:h="16838" w:orient="portrait"/>
          <w:cols w:equalWidth="0" w:num="1">
            <w:col w:w="11180"/>
          </w:cols>
          <w:pgMar w:left="300" w:top="38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6985</wp:posOffset>
            </wp:positionV>
            <wp:extent cx="5436870" cy="7036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9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159"/>
          </w:cols>
          <w:pgMar w:left="300" w:top="38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168275</wp:posOffset>
            </wp:positionV>
            <wp:extent cx="5436870" cy="7036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159"/>
          </w:cols>
          <w:pgMar w:left="300" w:top="38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174625</wp:posOffset>
            </wp:positionV>
            <wp:extent cx="5436870" cy="7036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159"/>
          </w:cols>
          <w:pgMar w:left="300" w:top="38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168275</wp:posOffset>
            </wp:positionV>
            <wp:extent cx="5436870" cy="7036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159"/>
          </w:cols>
          <w:pgMar w:left="300" w:top="38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As used in this prospectus, unless we state otherwise or the context otherwise requires:</w:t>
      </w:r>
    </w:p>
    <w:p>
      <w:pPr>
        <w:spacing w:after="0" w:line="112"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b w:val="1"/>
          <w:bCs w:val="1"/>
          <w:color w:val="auto"/>
        </w:rPr>
        <w:t xml:space="preserve">ACOG: </w:t>
      </w:r>
      <w:r>
        <w:rPr>
          <w:rFonts w:ascii="Arial" w:cs="Arial" w:eastAsia="Arial" w:hAnsi="Arial"/>
          <w:sz w:val="14"/>
          <w:szCs w:val="14"/>
          <w:color w:val="auto"/>
        </w:rPr>
        <w:t>American College of Obstetricians and Gynecologists—the primary medical organization that sets the guidelines, practice advisories, and standard of care for women’s</w:t>
      </w:r>
      <w:r>
        <w:rPr>
          <w:rFonts w:ascii="Arial" w:cs="Arial" w:eastAsia="Arial" w:hAnsi="Arial"/>
          <w:sz w:val="14"/>
          <w:szCs w:val="14"/>
          <w:b w:val="1"/>
          <w:bCs w:val="1"/>
          <w:color w:val="auto"/>
        </w:rPr>
        <w:t xml:space="preserve"> </w:t>
      </w:r>
      <w:r>
        <w:rPr>
          <w:rFonts w:ascii="Arial" w:cs="Arial" w:eastAsia="Arial" w:hAnsi="Arial"/>
          <w:sz w:val="14"/>
          <w:szCs w:val="14"/>
          <w:color w:val="auto"/>
        </w:rPr>
        <w:t>healthcare</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4"/>
          <w:szCs w:val="14"/>
          <w:b w:val="1"/>
          <w:bCs w:val="1"/>
          <w:color w:val="auto"/>
        </w:rPr>
        <w:t>Amplification bias</w:t>
      </w:r>
      <w:r>
        <w:rPr>
          <w:rFonts w:ascii="Arial" w:cs="Arial" w:eastAsia="Arial" w:hAnsi="Arial"/>
          <w:sz w:val="14"/>
          <w:szCs w:val="14"/>
          <w:color w:val="auto"/>
        </w:rPr>
        <w:t>: One of the biases caused by PCR amplification during library preparation for NGS. Amplification bias in PCR occurs as different DNA sequences across the</w:t>
      </w:r>
      <w:r>
        <w:rPr>
          <w:rFonts w:ascii="Arial" w:cs="Arial" w:eastAsia="Arial" w:hAnsi="Arial"/>
          <w:sz w:val="14"/>
          <w:szCs w:val="14"/>
          <w:b w:val="1"/>
          <w:bCs w:val="1"/>
          <w:color w:val="auto"/>
        </w:rPr>
        <w:t xml:space="preserve"> </w:t>
      </w:r>
      <w:r>
        <w:rPr>
          <w:rFonts w:ascii="Arial" w:cs="Arial" w:eastAsia="Arial" w:hAnsi="Arial"/>
          <w:sz w:val="14"/>
          <w:szCs w:val="14"/>
          <w:color w:val="auto"/>
        </w:rPr>
        <w:t>genome amplify at unequal rates due to slight variations in primer binding efficiency, sequence composition, or template accessibility. Because PCR amplification is exponential— doubling with each cycle—even small differences in amplification efficiency (e.g., 95% versus 90% per cycle) compound dramatically over 25 to 30 cycles of PCR, potentially causing certain sequences to be overrepresented by multiple folds, which can be particularly problematic when trying to accurately detect and quantify rare cfDNA fragments that may already constitute less than 1% of the total sample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ASP: </w:t>
      </w:r>
      <w:r>
        <w:rPr>
          <w:rFonts w:ascii="Arial" w:cs="Arial" w:eastAsia="Arial" w:hAnsi="Arial"/>
          <w:sz w:val="14"/>
          <w:szCs w:val="14"/>
          <w:color w:val="auto"/>
        </w:rPr>
        <w:t>Average selling price—The average payment BillionToOne receives per test (inclusive of any non-payments)</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b w:val="1"/>
          <w:bCs w:val="1"/>
          <w:color w:val="auto"/>
        </w:rPr>
        <w:t xml:space="preserve">Calling threshold: </w:t>
      </w:r>
      <w:r>
        <w:rPr>
          <w:rFonts w:ascii="Arial" w:cs="Arial" w:eastAsia="Arial" w:hAnsi="Arial"/>
          <w:sz w:val="14"/>
          <w:szCs w:val="14"/>
          <w:color w:val="auto"/>
        </w:rPr>
        <w:t>For early cancer detection tests, this is the specific cutoff value at which a test result is classified as “positive” (cancer detected) rather than “negative” (no cancer</w:t>
      </w:r>
      <w:r>
        <w:rPr>
          <w:rFonts w:ascii="Arial" w:cs="Arial" w:eastAsia="Arial" w:hAnsi="Arial"/>
          <w:sz w:val="14"/>
          <w:szCs w:val="14"/>
          <w:b w:val="1"/>
          <w:bCs w:val="1"/>
          <w:color w:val="auto"/>
        </w:rPr>
        <w:t xml:space="preserve"> </w:t>
      </w:r>
      <w:r>
        <w:rPr>
          <w:rFonts w:ascii="Arial" w:cs="Arial" w:eastAsia="Arial" w:hAnsi="Arial"/>
          <w:sz w:val="14"/>
          <w:szCs w:val="14"/>
          <w:color w:val="auto"/>
        </w:rPr>
        <w:t>detected)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CF: </w:t>
      </w:r>
      <w:r>
        <w:rPr>
          <w:rFonts w:ascii="Arial" w:cs="Arial" w:eastAsia="Arial" w:hAnsi="Arial"/>
          <w:sz w:val="14"/>
          <w:szCs w:val="14"/>
          <w:color w:val="auto"/>
        </w:rPr>
        <w:t>Cystic fibrosis—A genetic disorder that can be detected by UNITY tests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auto"/>
        </w:rPr>
        <w:t xml:space="preserve">cfDNA: </w:t>
      </w:r>
      <w:r>
        <w:rPr>
          <w:rFonts w:ascii="Arial" w:cs="Arial" w:eastAsia="Arial" w:hAnsi="Arial"/>
          <w:sz w:val="14"/>
          <w:szCs w:val="14"/>
          <w:color w:val="auto"/>
        </w:rPr>
        <w:t>Cell-free DNA—Extracellular DNA in blood plasma that is shed from all tissues into the bloodstream. Due to its short half-life, cfDNA has a unique capability to provide a real-time snapshot of cellular turnover and can be used to diagnose and monitor disease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CNV: </w:t>
      </w:r>
      <w:r>
        <w:rPr>
          <w:rFonts w:ascii="Arial" w:cs="Arial" w:eastAsia="Arial" w:hAnsi="Arial"/>
          <w:sz w:val="14"/>
          <w:szCs w:val="14"/>
          <w:color w:val="auto"/>
        </w:rPr>
        <w:t>Copy number variant—A variation in gene copies that Northstar Select can detect</w:t>
      </w:r>
    </w:p>
    <w:p>
      <w:pPr>
        <w:spacing w:after="0" w:line="101" w:lineRule="exact"/>
        <w:rPr>
          <w:sz w:val="20"/>
          <w:szCs w:val="20"/>
          <w:color w:val="auto"/>
        </w:rPr>
      </w:pPr>
    </w:p>
    <w:p>
      <w:pPr>
        <w:ind w:right="260"/>
        <w:spacing w:after="0" w:line="309" w:lineRule="auto"/>
        <w:rPr>
          <w:sz w:val="20"/>
          <w:szCs w:val="20"/>
          <w:color w:val="auto"/>
        </w:rPr>
      </w:pPr>
      <w:r>
        <w:rPr>
          <w:rFonts w:ascii="Arial" w:cs="Arial" w:eastAsia="Arial" w:hAnsi="Arial"/>
          <w:sz w:val="13"/>
          <w:szCs w:val="13"/>
          <w:b w:val="1"/>
          <w:bCs w:val="1"/>
          <w:color w:val="auto"/>
        </w:rPr>
        <w:t xml:space="preserve">Control spike-in: </w:t>
      </w:r>
      <w:r>
        <w:rPr>
          <w:rFonts w:ascii="Arial" w:cs="Arial" w:eastAsia="Arial" w:hAnsi="Arial"/>
          <w:sz w:val="13"/>
          <w:szCs w:val="13"/>
          <w:color w:val="auto"/>
        </w:rPr>
        <w:t>A known quantity of an external molecule - such as synthetic RNA - added to a biological sample prior to measurement. This serves as an internal reference to</w:t>
      </w:r>
      <w:r>
        <w:rPr>
          <w:rFonts w:ascii="Arial" w:cs="Arial" w:eastAsia="Arial" w:hAnsi="Arial"/>
          <w:sz w:val="13"/>
          <w:szCs w:val="13"/>
          <w:b w:val="1"/>
          <w:bCs w:val="1"/>
          <w:color w:val="auto"/>
        </w:rPr>
        <w:t xml:space="preserve"> </w:t>
      </w:r>
      <w:r>
        <w:rPr>
          <w:rFonts w:ascii="Arial" w:cs="Arial" w:eastAsia="Arial" w:hAnsi="Arial"/>
          <w:sz w:val="13"/>
          <w:szCs w:val="13"/>
          <w:color w:val="auto"/>
        </w:rPr>
        <w:t>monitor and correct for technical variation, enabling more accurate quantification and comparison across samples, especially in high-throughput sequencing and related assays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ctDNA: </w:t>
      </w:r>
      <w:r>
        <w:rPr>
          <w:rFonts w:ascii="Arial" w:cs="Arial" w:eastAsia="Arial" w:hAnsi="Arial"/>
          <w:sz w:val="14"/>
          <w:szCs w:val="14"/>
          <w:color w:val="auto"/>
        </w:rPr>
        <w:t>Circulating tumor DNA—Cell-free DNA released from tumor cells, which can be used as a biomarker for various cancer-related diagnostics</w:t>
      </w:r>
    </w:p>
    <w:p>
      <w:pPr>
        <w:spacing w:after="0" w:line="112"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b w:val="1"/>
          <w:bCs w:val="1"/>
          <w:color w:val="auto"/>
        </w:rPr>
        <w:t xml:space="preserve">Methylation: </w:t>
      </w:r>
      <w:r>
        <w:rPr>
          <w:rFonts w:ascii="Arial" w:cs="Arial" w:eastAsia="Arial" w:hAnsi="Arial"/>
          <w:sz w:val="14"/>
          <w:szCs w:val="14"/>
          <w:color w:val="auto"/>
        </w:rPr>
        <w:t>A biochemical process where a methyl group (a carbon atom bonded to three hydrogen atoms) is added to a molecule, such as DNA. This process can change gene</w:t>
      </w:r>
      <w:r>
        <w:rPr>
          <w:rFonts w:ascii="Arial" w:cs="Arial" w:eastAsia="Arial" w:hAnsi="Arial"/>
          <w:sz w:val="14"/>
          <w:szCs w:val="14"/>
          <w:b w:val="1"/>
          <w:bCs w:val="1"/>
          <w:color w:val="auto"/>
        </w:rPr>
        <w:t xml:space="preserve"> </w:t>
      </w:r>
      <w:r>
        <w:rPr>
          <w:rFonts w:ascii="Arial" w:cs="Arial" w:eastAsia="Arial" w:hAnsi="Arial"/>
          <w:sz w:val="14"/>
          <w:szCs w:val="14"/>
          <w:color w:val="auto"/>
        </w:rPr>
        <w:t>expression levels (increase expression of or silence genes). Hypermethylation of certain genes (e.g., those involved in regulation of cell division), is a hallmark for cancer</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auto"/>
        </w:rPr>
        <w:t xml:space="preserve">Mis-priming errors: </w:t>
      </w:r>
      <w:r>
        <w:rPr>
          <w:rFonts w:ascii="Arial" w:cs="Arial" w:eastAsia="Arial" w:hAnsi="Arial"/>
          <w:sz w:val="14"/>
          <w:szCs w:val="14"/>
          <w:color w:val="auto"/>
        </w:rPr>
        <w:t>One of the errors caused by PCR amplification during library preparation for NGS. Mis-priming errors occur when primers mistakenly stick to the incorrect region</w:t>
      </w:r>
      <w:r>
        <w:rPr>
          <w:rFonts w:ascii="Arial" w:cs="Arial" w:eastAsia="Arial" w:hAnsi="Arial"/>
          <w:sz w:val="14"/>
          <w:szCs w:val="14"/>
          <w:b w:val="1"/>
          <w:bCs w:val="1"/>
          <w:color w:val="auto"/>
        </w:rPr>
        <w:t xml:space="preserve"> </w:t>
      </w:r>
      <w:r>
        <w:rPr>
          <w:rFonts w:ascii="Arial" w:cs="Arial" w:eastAsia="Arial" w:hAnsi="Arial"/>
          <w:sz w:val="14"/>
          <w:szCs w:val="14"/>
          <w:color w:val="auto"/>
        </w:rPr>
        <w:t>of test DNA, leading to the amplification of unintended or incorrect results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MolDX: </w:t>
      </w:r>
      <w:r>
        <w:rPr>
          <w:rFonts w:ascii="Arial" w:cs="Arial" w:eastAsia="Arial" w:hAnsi="Arial"/>
          <w:sz w:val="14"/>
          <w:szCs w:val="14"/>
          <w:color w:val="auto"/>
        </w:rPr>
        <w:t>Molecular Diagnostic Services program – establishes coverage and reimbursement for Medicare beneficiaries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MRD: </w:t>
      </w:r>
      <w:r>
        <w:rPr>
          <w:rFonts w:ascii="Arial" w:cs="Arial" w:eastAsia="Arial" w:hAnsi="Arial"/>
          <w:sz w:val="14"/>
          <w:szCs w:val="14"/>
          <w:color w:val="auto"/>
        </w:rPr>
        <w:t>Minimal residual disease—When a minimal amount of circulating tumor DNA shed from cancer cells remain after surgery or treatment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NGS: </w:t>
      </w:r>
      <w:r>
        <w:rPr>
          <w:rFonts w:ascii="Arial" w:cs="Arial" w:eastAsia="Arial" w:hAnsi="Arial"/>
          <w:sz w:val="14"/>
          <w:szCs w:val="14"/>
          <w:color w:val="auto"/>
        </w:rPr>
        <w:t>Next-generation sequencing refers to various high-throughput DNA sequencing technologies that have enabled rapid and comprehensive analysis of genetic material</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1220"/>
          </w:cols>
          <w:pgMar w:left="300" w:top="38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NIPT: </w:t>
      </w:r>
      <w:r>
        <w:rPr>
          <w:rFonts w:ascii="Arial" w:cs="Arial" w:eastAsia="Arial" w:hAnsi="Arial"/>
          <w:sz w:val="14"/>
          <w:szCs w:val="14"/>
          <w:color w:val="auto"/>
        </w:rPr>
        <w:t>Non-invasive prenatal testing—Testing that uses cell-free DNA from maternal blood to assess fetal genetic risks</w:t>
      </w:r>
    </w:p>
    <w:p>
      <w:pPr>
        <w:spacing w:after="0" w:line="101" w:lineRule="exact"/>
        <w:rPr>
          <w:sz w:val="20"/>
          <w:szCs w:val="20"/>
          <w:color w:val="auto"/>
        </w:rPr>
      </w:pPr>
    </w:p>
    <w:p>
      <w:pPr>
        <w:ind w:right="460"/>
        <w:spacing w:after="0" w:line="269" w:lineRule="auto"/>
        <w:rPr>
          <w:sz w:val="20"/>
          <w:szCs w:val="20"/>
          <w:color w:val="auto"/>
        </w:rPr>
      </w:pPr>
      <w:r>
        <w:rPr>
          <w:rFonts w:ascii="Arial" w:cs="Arial" w:eastAsia="Arial" w:hAnsi="Arial"/>
          <w:sz w:val="14"/>
          <w:szCs w:val="14"/>
          <w:b w:val="1"/>
          <w:bCs w:val="1"/>
          <w:color w:val="auto"/>
        </w:rPr>
        <w:t xml:space="preserve">Non-specific binding bias: </w:t>
      </w:r>
      <w:r>
        <w:rPr>
          <w:rFonts w:ascii="Arial" w:cs="Arial" w:eastAsia="Arial" w:hAnsi="Arial"/>
          <w:sz w:val="14"/>
          <w:szCs w:val="14"/>
          <w:color w:val="auto"/>
        </w:rPr>
        <w:t>One of the biases caused by PCR amplification during library preparation for NGS. Non-specific binding bias occurs when DNA, proteins, or assay</w:t>
      </w:r>
      <w:r>
        <w:rPr>
          <w:rFonts w:ascii="Arial" w:cs="Arial" w:eastAsia="Arial" w:hAnsi="Arial"/>
          <w:sz w:val="14"/>
          <w:szCs w:val="14"/>
          <w:b w:val="1"/>
          <w:bCs w:val="1"/>
          <w:color w:val="auto"/>
        </w:rPr>
        <w:t xml:space="preserve"> </w:t>
      </w:r>
      <w:r>
        <w:rPr>
          <w:rFonts w:ascii="Arial" w:cs="Arial" w:eastAsia="Arial" w:hAnsi="Arial"/>
          <w:sz w:val="14"/>
          <w:szCs w:val="14"/>
          <w:color w:val="auto"/>
        </w:rPr>
        <w:t>reagents bind to unintended targets, leading to reduced specificity, false-positive results, background noise, and ambiguity in test interpretation</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 xml:space="preserve">PCR: </w:t>
      </w:r>
      <w:r>
        <w:rPr>
          <w:rFonts w:ascii="Arial" w:cs="Arial" w:eastAsia="Arial" w:hAnsi="Arial"/>
          <w:sz w:val="14"/>
          <w:szCs w:val="14"/>
          <w:color w:val="auto"/>
        </w:rPr>
        <w:t>Polymerase Chain Reaction—A laboratory technique that amplifies, or creates multiple copies of, a specific DNA sequence. PCR, initially developed in 1980s, is one of the most</w:t>
      </w:r>
      <w:r>
        <w:rPr>
          <w:rFonts w:ascii="Arial" w:cs="Arial" w:eastAsia="Arial" w:hAnsi="Arial"/>
          <w:sz w:val="14"/>
          <w:szCs w:val="14"/>
          <w:b w:val="1"/>
          <w:bCs w:val="1"/>
          <w:color w:val="auto"/>
        </w:rPr>
        <w:t xml:space="preserve"> </w:t>
      </w:r>
      <w:r>
        <w:rPr>
          <w:rFonts w:ascii="Arial" w:cs="Arial" w:eastAsia="Arial" w:hAnsi="Arial"/>
          <w:sz w:val="14"/>
          <w:szCs w:val="14"/>
          <w:color w:val="auto"/>
        </w:rPr>
        <w:t>commonly used methods in molecular diagnostics. While PCR is still used as an initial step in many diagnostics for amplifying DNA, other methods (e.g., first Sanger sequencing and then NGS), have been used as a more precise read-out in diagnostics over time</w:t>
      </w:r>
    </w:p>
    <w:p>
      <w:pPr>
        <w:spacing w:after="0" w:line="80" w:lineRule="exact"/>
        <w:rPr>
          <w:sz w:val="20"/>
          <w:szCs w:val="20"/>
          <w:color w:val="auto"/>
        </w:rPr>
      </w:pPr>
    </w:p>
    <w:p>
      <w:pPr>
        <w:ind w:right="480"/>
        <w:spacing w:after="0" w:line="269" w:lineRule="auto"/>
        <w:rPr>
          <w:sz w:val="20"/>
          <w:szCs w:val="20"/>
          <w:color w:val="auto"/>
        </w:rPr>
      </w:pPr>
      <w:r>
        <w:rPr>
          <w:rFonts w:ascii="Arial" w:cs="Arial" w:eastAsia="Arial" w:hAnsi="Arial"/>
          <w:sz w:val="14"/>
          <w:szCs w:val="14"/>
          <w:b w:val="1"/>
          <w:bCs w:val="1"/>
          <w:color w:val="auto"/>
        </w:rPr>
        <w:t xml:space="preserve">Primer binding bias: </w:t>
      </w:r>
      <w:r>
        <w:rPr>
          <w:rFonts w:ascii="Arial" w:cs="Arial" w:eastAsia="Arial" w:hAnsi="Arial"/>
          <w:sz w:val="14"/>
          <w:szCs w:val="14"/>
          <w:color w:val="auto"/>
        </w:rPr>
        <w:t>One of the biases caused by PCR amplification during library preparation for NGS. Primer binding bias occurs when different PCR primers in a multiplex</w:t>
      </w:r>
      <w:r>
        <w:rPr>
          <w:rFonts w:ascii="Arial" w:cs="Arial" w:eastAsia="Arial" w:hAnsi="Arial"/>
          <w:sz w:val="14"/>
          <w:szCs w:val="14"/>
          <w:b w:val="1"/>
          <w:bCs w:val="1"/>
          <w:color w:val="auto"/>
        </w:rPr>
        <w:t xml:space="preserve"> </w:t>
      </w:r>
      <w:r>
        <w:rPr>
          <w:rFonts w:ascii="Arial" w:cs="Arial" w:eastAsia="Arial" w:hAnsi="Arial"/>
          <w:sz w:val="14"/>
          <w:szCs w:val="14"/>
          <w:color w:val="auto"/>
        </w:rPr>
        <w:t>reaction are exponentially amplified at different rates, leading to dramatic differences in end-point PCR abundances of different sequences</w:t>
      </w:r>
    </w:p>
    <w:p>
      <w:pPr>
        <w:spacing w:after="0" w:line="59"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b w:val="1"/>
          <w:bCs w:val="1"/>
          <w:color w:val="auto"/>
        </w:rPr>
        <w:t xml:space="preserve">QCT: </w:t>
      </w:r>
      <w:r>
        <w:rPr>
          <w:rFonts w:ascii="Arial" w:cs="Arial" w:eastAsia="Arial" w:hAnsi="Arial"/>
          <w:sz w:val="14"/>
          <w:szCs w:val="14"/>
          <w:color w:val="auto"/>
        </w:rPr>
        <w:t>Quantitative Counting Templates—BillionToOne’s patented synthetic DNA fragments that are the foundation of the smNGS platform. See “Business—Our Technology—The</w:t>
      </w:r>
      <w:r>
        <w:rPr>
          <w:rFonts w:ascii="Arial" w:cs="Arial" w:eastAsia="Arial" w:hAnsi="Arial"/>
          <w:sz w:val="14"/>
          <w:szCs w:val="14"/>
          <w:b w:val="1"/>
          <w:bCs w:val="1"/>
          <w:color w:val="auto"/>
        </w:rPr>
        <w:t xml:space="preserve"> </w:t>
      </w:r>
      <w:r>
        <w:rPr>
          <w:rFonts w:ascii="Arial" w:cs="Arial" w:eastAsia="Arial" w:hAnsi="Arial"/>
          <w:sz w:val="14"/>
          <w:szCs w:val="14"/>
          <w:color w:val="auto"/>
        </w:rPr>
        <w:t>components of our platform—Quantitative Counting Templates (QCTs)”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Sample accessioning: </w:t>
      </w:r>
      <w:r>
        <w:rPr>
          <w:rFonts w:ascii="Arial" w:cs="Arial" w:eastAsia="Arial" w:hAnsi="Arial"/>
          <w:sz w:val="14"/>
          <w:szCs w:val="14"/>
          <w:color w:val="auto"/>
        </w:rPr>
        <w:t>The process in a laboratory where incoming specimens are received, logged, labeled, and assigned unique identifiers as soon as they arrive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SCD: </w:t>
      </w:r>
      <w:r>
        <w:rPr>
          <w:rFonts w:ascii="Arial" w:cs="Arial" w:eastAsia="Arial" w:hAnsi="Arial"/>
          <w:sz w:val="14"/>
          <w:szCs w:val="14"/>
          <w:color w:val="auto"/>
        </w:rPr>
        <w:t>Sickle cell disease—A hereditary red blood cell disorder that can be detected by UNITY tests</w:t>
      </w:r>
    </w:p>
    <w:p>
      <w:pPr>
        <w:spacing w:after="0" w:line="112"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b w:val="1"/>
          <w:bCs w:val="1"/>
          <w:color w:val="auto"/>
        </w:rPr>
        <w:t xml:space="preserve">sgNIPT: </w:t>
      </w:r>
      <w:r>
        <w:rPr>
          <w:rFonts w:ascii="Arial" w:cs="Arial" w:eastAsia="Arial" w:hAnsi="Arial"/>
          <w:sz w:val="14"/>
          <w:szCs w:val="14"/>
          <w:color w:val="auto"/>
        </w:rPr>
        <w:t>Single-gene non-invasive prenatal testing—A type of test pioneered by BillionToOne that can detect single-gene disorders without paternal sample. See “Business—Our</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Portfolio” for a description of how sgNIPT is used in our products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SMA: </w:t>
      </w:r>
      <w:r>
        <w:rPr>
          <w:rFonts w:ascii="Arial" w:cs="Arial" w:eastAsia="Arial" w:hAnsi="Arial"/>
          <w:sz w:val="14"/>
          <w:szCs w:val="14"/>
          <w:color w:val="auto"/>
        </w:rPr>
        <w:t>Spinal muscular atrophy—A genetic disorder that can be detected by UNITY tests</w:t>
      </w:r>
    </w:p>
    <w:p>
      <w:pPr>
        <w:spacing w:after="0" w:line="101" w:lineRule="exact"/>
        <w:rPr>
          <w:sz w:val="20"/>
          <w:szCs w:val="20"/>
          <w:color w:val="auto"/>
        </w:rPr>
      </w:pPr>
    </w:p>
    <w:p>
      <w:pPr>
        <w:ind w:right="480"/>
        <w:spacing w:after="0" w:line="269" w:lineRule="auto"/>
        <w:rPr>
          <w:sz w:val="20"/>
          <w:szCs w:val="20"/>
          <w:color w:val="auto"/>
        </w:rPr>
      </w:pPr>
      <w:r>
        <w:rPr>
          <w:rFonts w:ascii="Arial" w:cs="Arial" w:eastAsia="Arial" w:hAnsi="Arial"/>
          <w:sz w:val="14"/>
          <w:szCs w:val="14"/>
          <w:b w:val="1"/>
          <w:bCs w:val="1"/>
          <w:color w:val="auto"/>
        </w:rPr>
        <w:t xml:space="preserve">smNGS: </w:t>
      </w:r>
      <w:r>
        <w:rPr>
          <w:rFonts w:ascii="Arial" w:cs="Arial" w:eastAsia="Arial" w:hAnsi="Arial"/>
          <w:sz w:val="14"/>
          <w:szCs w:val="14"/>
          <w:color w:val="auto"/>
        </w:rPr>
        <w:t>Single-molecule next-generation sequencing—BillionToOne’s platform technology that enables detection and quantification of blood-based genetic targets with single</w:t>
      </w:r>
      <w:r>
        <w:rPr>
          <w:rFonts w:ascii="Arial" w:cs="Arial" w:eastAsia="Arial" w:hAnsi="Arial"/>
          <w:sz w:val="14"/>
          <w:szCs w:val="14"/>
          <w:b w:val="1"/>
          <w:bCs w:val="1"/>
          <w:color w:val="auto"/>
        </w:rPr>
        <w:t xml:space="preserve"> </w:t>
      </w:r>
      <w:r>
        <w:rPr>
          <w:rFonts w:ascii="Arial" w:cs="Arial" w:eastAsia="Arial" w:hAnsi="Arial"/>
          <w:sz w:val="14"/>
          <w:szCs w:val="14"/>
          <w:color w:val="auto"/>
        </w:rPr>
        <w:t>molecule sensitivity. See “Business—Our Technology—Breakthrough performance capabilities”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SNV: </w:t>
      </w:r>
      <w:r>
        <w:rPr>
          <w:rFonts w:ascii="Arial" w:cs="Arial" w:eastAsia="Arial" w:hAnsi="Arial"/>
          <w:sz w:val="14"/>
          <w:szCs w:val="14"/>
          <w:color w:val="auto"/>
        </w:rPr>
        <w:t>Single nucleotide variant—A variation in a gene’s sequence that Northstar Select can detect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TMS: </w:t>
      </w:r>
      <w:r>
        <w:rPr>
          <w:rFonts w:ascii="Arial" w:cs="Arial" w:eastAsia="Arial" w:hAnsi="Arial"/>
          <w:sz w:val="14"/>
          <w:szCs w:val="14"/>
          <w:color w:val="auto"/>
        </w:rPr>
        <w:t>Tumor Methylation Score—Northstar Response’s metric that measures the quantity of cancer-specific DNA methylation in blood for monitoring response to a cancer therapy</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vi</w:t>
      </w:r>
    </w:p>
    <w:p>
      <w:pPr>
        <w:sectPr>
          <w:pgSz w:w="11900" w:h="16838" w:orient="portrait"/>
          <w:cols w:equalWidth="0" w:num="1">
            <w:col w:w="11280"/>
          </w:cols>
          <w:pgMar w:left="300" w:top="38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697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3697605"/>
                    </a:xfrm>
                    <a:prstGeom prst="rect">
                      <a:avLst/>
                    </a:prstGeom>
                    <a:noFill/>
                  </pic:spPr>
                </pic:pic>
              </a:graphicData>
            </a:graphic>
          </wp:anchor>
        </w:drawing>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Prospectus summary</w:t>
      </w:r>
    </w:p>
    <w:p>
      <w:pPr>
        <w:spacing w:after="0" w:line="127" w:lineRule="exact"/>
        <w:rPr>
          <w:sz w:val="20"/>
          <w:szCs w:val="20"/>
          <w:color w:val="auto"/>
        </w:rPr>
      </w:pPr>
    </w:p>
    <w:p>
      <w:pPr>
        <w:ind w:left="180" w:right="160"/>
        <w:spacing w:after="0" w:line="242" w:lineRule="auto"/>
        <w:rPr>
          <w:sz w:val="20"/>
          <w:szCs w:val="20"/>
          <w:color w:val="auto"/>
        </w:rPr>
      </w:pPr>
      <w:r>
        <w:rPr>
          <w:rFonts w:ascii="Arial" w:cs="Arial" w:eastAsia="Arial" w:hAnsi="Arial"/>
          <w:sz w:val="14"/>
          <w:szCs w:val="14"/>
          <w:i w:val="1"/>
          <w:iCs w:val="1"/>
          <w:color w:val="auto"/>
        </w:rPr>
        <w:t>This summary highlights information contained elsewhere in this prospectus and does not contain all of the information that you should consider in making your investment decision. Before investing in our Class A common stock, you should carefully read this entire prospectus, including our financial statements and the related notes included elsewhere in this prospectus and the information set forth under the sections titled “Risk factors,” “Special note regarding forward-looking statements,” and “Management’s discussion and analysis of financial condition and results of operations.” Unless the context otherwise requires the terms “BillionToOne,” “company,” “our,” “us” and “we” in this prospectus to refer to BillionToOne, Inc.</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Overview</w:t>
      </w:r>
    </w:p>
    <w:p>
      <w:pPr>
        <w:spacing w:after="0" w:line="105" w:lineRule="exact"/>
        <w:rPr>
          <w:sz w:val="20"/>
          <w:szCs w:val="20"/>
          <w:color w:val="auto"/>
        </w:rPr>
      </w:pPr>
    </w:p>
    <w:p>
      <w:pPr>
        <w:ind w:left="180"/>
        <w:spacing w:after="0" w:line="246" w:lineRule="auto"/>
        <w:rPr>
          <w:sz w:val="20"/>
          <w:szCs w:val="20"/>
          <w:color w:val="auto"/>
        </w:rPr>
      </w:pPr>
      <w:r>
        <w:rPr>
          <w:rFonts w:ascii="Arial" w:cs="Arial" w:eastAsia="Arial" w:hAnsi="Arial"/>
          <w:sz w:val="14"/>
          <w:szCs w:val="14"/>
          <w:color w:val="auto"/>
        </w:rPr>
        <w:t>BillionToOne is transforming healthcare by redefining molecular diagnostics. Our revolutionary single molecule NGS (smNGS) platform achieves what was once thought impossible – detecting and precisely quantifying genetic targets with single-molecule sensitivity. At the heart of this technological breakthrough lies our patented QCTs, enabling measurements at the physical limit of detection – the single DNA molecule. This leap forward addresses a fundamental limitation in healthcare – the inability to detect sparse but clinically crucial disease signals in cfDNA.</w:t>
      </w:r>
    </w:p>
    <w:p>
      <w:pPr>
        <w:spacing w:after="0" w:line="85" w:lineRule="exact"/>
        <w:rPr>
          <w:sz w:val="20"/>
          <w:szCs w:val="20"/>
          <w:color w:val="auto"/>
        </w:rPr>
      </w:pPr>
    </w:p>
    <w:p>
      <w:pPr>
        <w:ind w:left="180" w:right="80"/>
        <w:spacing w:after="0" w:line="213" w:lineRule="auto"/>
        <w:rPr>
          <w:sz w:val="20"/>
          <w:szCs w:val="20"/>
          <w:color w:val="auto"/>
        </w:rPr>
      </w:pPr>
      <w:r>
        <w:rPr>
          <w:rFonts w:ascii="Arial" w:cs="Arial" w:eastAsia="Arial" w:hAnsi="Arial"/>
          <w:sz w:val="14"/>
          <w:szCs w:val="14"/>
          <w:color w:val="auto"/>
        </w:rPr>
        <w:t>Our superior technology platform</w:t>
      </w:r>
      <w:r>
        <w:rPr>
          <w:rFonts w:ascii="Arial" w:cs="Arial" w:eastAsia="Arial" w:hAnsi="Arial"/>
          <w:sz w:val="20"/>
          <w:szCs w:val="20"/>
          <w:color w:val="auto"/>
          <w:vertAlign w:val="superscript"/>
        </w:rPr>
        <w:t>1</w:t>
      </w:r>
      <w:r>
        <w:rPr>
          <w:rFonts w:ascii="Arial" w:cs="Arial" w:eastAsia="Arial" w:hAnsi="Arial"/>
          <w:sz w:val="14"/>
          <w:szCs w:val="14"/>
          <w:color w:val="auto"/>
        </w:rPr>
        <w:t xml:space="preserve"> has enabled us to build category-defining prenatal and oncology products. Our products reveal actionable insights from a simple blood draw that are fundamentally changing how diseases are diagnosed and treated, leading to a paradigm shift in personalized medicine.</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We believe our novel smNGS platform technologies combined with our AI-enhanced integrated workflow, allows us to push the technology frontier forward and deliver on the full promise of non-invasive liquid biopsy, which we estimate has an annual market opportunity of over $100 billion in the United States alone.</w:t>
      </w:r>
      <w:r>
        <w:rPr>
          <w:rFonts w:ascii="Arial" w:cs="Arial" w:eastAsia="Arial" w:hAnsi="Arial"/>
          <w:sz w:val="20"/>
          <w:szCs w:val="20"/>
          <w:color w:val="auto"/>
          <w:vertAlign w:val="superscript"/>
        </w:rPr>
        <w:t>3</w:t>
      </w:r>
    </w:p>
    <w:p>
      <w:pPr>
        <w:spacing w:after="0" w:line="1" w:lineRule="exact"/>
        <w:rPr>
          <w:sz w:val="20"/>
          <w:szCs w:val="20"/>
          <w:color w:val="auto"/>
        </w:rPr>
      </w:pPr>
    </w:p>
    <w:p>
      <w:pPr>
        <w:ind w:left="180"/>
        <w:spacing w:after="0" w:line="242" w:lineRule="auto"/>
        <w:rPr>
          <w:sz w:val="20"/>
          <w:szCs w:val="20"/>
          <w:color w:val="auto"/>
        </w:rPr>
      </w:pPr>
      <w:r>
        <w:rPr>
          <w:rFonts w:ascii="Arial" w:cs="Arial" w:eastAsia="Arial" w:hAnsi="Arial"/>
          <w:sz w:val="14"/>
          <w:szCs w:val="14"/>
          <w:color w:val="auto"/>
        </w:rPr>
        <w:t>Founded with the mission to remove the fear of the unknown through powerful and accessible smNGS-based diagnostics, we have swiftly transitioned from a research and development (R&amp;D) focused company to a proven commercial organization. In 2019, we launched our first prenatal product, UNITY. UNITY is the first non-invasive prenatal test (NIPT) that uses cfDNA to provide fetal risk assessment for recessive conditions such as sickle cell disease (SCD) and cystic fibrosis (CF) without requiring a paternal sample or invasive procedures such as amniocentesis. Since then, we have established ourselves as a leader in the prenatal testing market and expanded our UNITY offering to cover comprehensive prenatal genetic needs from a single maternal blood draw. While we know of competitors working to develop and launch competing NIPTs for recessive conditions, we believe the differentiation of our smNGS technology and five years of accumulated data and publications will allow us to maintain our competitive advantage as this type of testing becomes the standard of care and significantly improves patient outcomes.</w:t>
      </w:r>
      <w:r>
        <w:rPr>
          <w:rFonts w:ascii="Arial" w:cs="Arial" w:eastAsia="Arial" w:hAnsi="Arial"/>
          <w:sz w:val="20"/>
          <w:szCs w:val="20"/>
          <w:color w:val="auto"/>
          <w:vertAlign w:val="superscript"/>
        </w:rPr>
        <w:t>4</w:t>
      </w:r>
    </w:p>
    <w:p>
      <w:pPr>
        <w:spacing w:after="0" w:line="4" w:lineRule="exact"/>
        <w:rPr>
          <w:sz w:val="20"/>
          <w:szCs w:val="20"/>
          <w:color w:val="auto"/>
        </w:rPr>
      </w:pPr>
    </w:p>
    <w:p>
      <w:pPr>
        <w:ind w:left="180" w:right="360"/>
        <w:spacing w:after="0" w:line="248" w:lineRule="auto"/>
        <w:rPr>
          <w:sz w:val="20"/>
          <w:szCs w:val="20"/>
          <w:color w:val="auto"/>
        </w:rPr>
      </w:pPr>
      <w:r>
        <w:rPr>
          <w:rFonts w:ascii="Arial" w:cs="Arial" w:eastAsia="Arial" w:hAnsi="Arial"/>
          <w:sz w:val="14"/>
          <w:szCs w:val="14"/>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w:t>
      </w:r>
    </w:p>
    <w:p>
      <w:pPr>
        <w:spacing w:after="0" w:line="82" w:lineRule="exact"/>
        <w:rPr>
          <w:sz w:val="20"/>
          <w:szCs w:val="20"/>
          <w:color w:val="auto"/>
        </w:rPr>
      </w:pPr>
    </w:p>
    <w:p>
      <w:pPr>
        <w:ind w:left="500" w:hanging="317"/>
        <w:spacing w:after="0"/>
        <w:tabs>
          <w:tab w:leader="none" w:pos="500" w:val="left"/>
        </w:tabs>
        <w:numPr>
          <w:ilvl w:val="0"/>
          <w:numId w:val="2"/>
        </w:numPr>
        <w:rPr>
          <w:rFonts w:ascii="Arial" w:cs="Arial" w:eastAsia="Arial" w:hAnsi="Arial"/>
          <w:sz w:val="16"/>
          <w:szCs w:val="16"/>
          <w:color w:val="auto"/>
          <w:vertAlign w:val="superscript"/>
        </w:rPr>
      </w:pPr>
      <w:r>
        <w:rPr>
          <w:rFonts w:ascii="Arial" w:cs="Arial" w:eastAsia="Arial" w:hAnsi="Arial"/>
          <w:sz w:val="10"/>
          <w:szCs w:val="10"/>
          <w:color w:val="auto"/>
        </w:rPr>
        <w:t xml:space="preserve">Our smNGS platform overcomes the technical noise that restrains the traditional NGS testing methods used by other diagnostic companies. Please see </w:t>
      </w:r>
      <w:r>
        <w:rPr>
          <w:rFonts w:ascii="Arial" w:cs="Arial" w:eastAsia="Arial" w:hAnsi="Arial"/>
          <w:sz w:val="10"/>
          <w:szCs w:val="10"/>
          <w:i w:val="1"/>
          <w:iCs w:val="1"/>
          <w:color w:val="auto"/>
        </w:rPr>
        <w:t>“Business—Our Technology”</w:t>
      </w:r>
      <w:r>
        <w:rPr>
          <w:rFonts w:ascii="Arial" w:cs="Arial" w:eastAsia="Arial" w:hAnsi="Arial"/>
          <w:sz w:val="10"/>
          <w:szCs w:val="10"/>
          <w:color w:val="auto"/>
        </w:rPr>
        <w:t xml:space="preserve"> for more details.</w:t>
      </w:r>
    </w:p>
    <w:p>
      <w:pPr>
        <w:ind w:left="500" w:hanging="317"/>
        <w:spacing w:after="0" w:line="202" w:lineRule="auto"/>
        <w:tabs>
          <w:tab w:leader="none" w:pos="500" w:val="left"/>
        </w:tabs>
        <w:numPr>
          <w:ilvl w:val="0"/>
          <w:numId w:val="3"/>
        </w:numPr>
        <w:rPr>
          <w:rFonts w:ascii="Arial" w:cs="Arial" w:eastAsia="Arial" w:hAnsi="Arial"/>
          <w:sz w:val="13"/>
          <w:szCs w:val="13"/>
          <w:color w:val="auto"/>
          <w:vertAlign w:val="superscript"/>
        </w:rPr>
      </w:pPr>
      <w:r>
        <w:rPr>
          <w:rFonts w:ascii="Arial" w:cs="Arial" w:eastAsia="Arial" w:hAnsi="Arial"/>
          <w:sz w:val="9"/>
          <w:szCs w:val="9"/>
          <w:color w:val="auto"/>
        </w:rPr>
        <w:t>For further information on the impact of our products on how diseases are diagnosed and treated, please see “</w:t>
      </w:r>
      <w:r>
        <w:rPr>
          <w:rFonts w:ascii="Arial" w:cs="Arial" w:eastAsia="Arial" w:hAnsi="Arial"/>
          <w:sz w:val="9"/>
          <w:szCs w:val="9"/>
          <w:i w:val="1"/>
          <w:iCs w:val="1"/>
          <w:color w:val="auto"/>
        </w:rPr>
        <w:t>Business—Patient Case Studies</w:t>
      </w:r>
      <w:r>
        <w:rPr>
          <w:rFonts w:ascii="Arial" w:cs="Arial" w:eastAsia="Arial" w:hAnsi="Arial"/>
          <w:sz w:val="9"/>
          <w:szCs w:val="9"/>
          <w:color w:val="auto"/>
        </w:rPr>
        <w:t>”.</w:t>
      </w:r>
    </w:p>
    <w:p>
      <w:pPr>
        <w:ind w:left="500" w:hanging="317"/>
        <w:spacing w:after="0" w:line="202" w:lineRule="auto"/>
        <w:tabs>
          <w:tab w:leader="none" w:pos="500" w:val="left"/>
        </w:tabs>
        <w:numPr>
          <w:ilvl w:val="0"/>
          <w:numId w:val="4"/>
        </w:numPr>
        <w:rPr>
          <w:rFonts w:ascii="Arial" w:cs="Arial" w:eastAsia="Arial" w:hAnsi="Arial"/>
          <w:sz w:val="13"/>
          <w:szCs w:val="13"/>
          <w:color w:val="auto"/>
          <w:vertAlign w:val="superscript"/>
        </w:rPr>
      </w:pPr>
      <w:r>
        <w:rPr>
          <w:rFonts w:ascii="Arial" w:cs="Arial" w:eastAsia="Arial" w:hAnsi="Arial"/>
          <w:sz w:val="9"/>
          <w:szCs w:val="9"/>
          <w:color w:val="auto"/>
        </w:rPr>
        <w:t>Half of this addressable market includes early detection, an area in which we have not yet begun specific product development or commercial sales, but we believe will be strongly enabled by our existing technology platform.</w:t>
      </w:r>
    </w:p>
    <w:p>
      <w:pPr>
        <w:ind w:left="500" w:right="100" w:hanging="317"/>
        <w:spacing w:after="0" w:line="194" w:lineRule="auto"/>
        <w:tabs>
          <w:tab w:leader="none" w:pos="500" w:val="left"/>
        </w:tabs>
        <w:numPr>
          <w:ilvl w:val="0"/>
          <w:numId w:val="5"/>
        </w:numPr>
        <w:rPr>
          <w:rFonts w:ascii="Arial" w:cs="Arial" w:eastAsia="Arial" w:hAnsi="Arial"/>
          <w:sz w:val="16"/>
          <w:szCs w:val="16"/>
          <w:color w:val="auto"/>
          <w:vertAlign w:val="superscript"/>
        </w:rPr>
      </w:pPr>
      <w:r>
        <w:rPr>
          <w:rFonts w:ascii="Arial" w:cs="Arial" w:eastAsia="Arial" w:hAnsi="Arial"/>
          <w:sz w:val="10"/>
          <w:szCs w:val="10"/>
          <w:color w:val="auto"/>
        </w:rPr>
        <w:t>This is based on (i) our six months ended June 30, 2025 prenatal testing revenue as compared to the publicly disclosed prenatal testing revenue of Myriad Genetics, one of the largest laboratories for prenatal diagnostic testing, and (ii) recent ACOG practice advisory changes for RhD and fetal antigen NIPT have specifically cited our publications, resulting in changes to the standard of care.</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80"/>
          </w:cols>
          <w:pgMar w:left="300" w:top="38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757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37572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20"/>
        <w:spacing w:after="0" w:line="223" w:lineRule="auto"/>
        <w:rPr>
          <w:sz w:val="20"/>
          <w:szCs w:val="20"/>
          <w:color w:val="auto"/>
        </w:rPr>
      </w:pPr>
      <w:r>
        <w:rPr>
          <w:rFonts w:ascii="Arial" w:cs="Arial" w:eastAsia="Arial" w:hAnsi="Arial"/>
          <w:sz w:val="14"/>
          <w:szCs w:val="14"/>
          <w:color w:val="auto"/>
        </w:rPr>
        <w:t>tests – Northstar Select and Northstar Response. Our Northstar Select test is used to guide therapy selection and has been shown to detect over 50% more actionable solid tumor mutations than conventional liquid biopsies.</w:t>
      </w:r>
      <w:r>
        <w:rPr>
          <w:rFonts w:ascii="Arial" w:cs="Arial" w:eastAsia="Arial" w:hAnsi="Arial"/>
          <w:sz w:val="20"/>
          <w:szCs w:val="20"/>
          <w:color w:val="auto"/>
          <w:vertAlign w:val="superscript"/>
        </w:rPr>
        <w:t>5</w:t>
      </w:r>
      <w:r>
        <w:rPr>
          <w:rFonts w:ascii="Arial" w:cs="Arial" w:eastAsia="Arial" w:hAnsi="Arial"/>
          <w:sz w:val="14"/>
          <w:szCs w:val="14"/>
          <w:color w:val="auto"/>
        </w:rPr>
        <w:t xml:space="preserve">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Our business momentum is evidenced by our rapidly scaling commercial success and improving operational efficiency. Of approximately one million smNGS-based tests that we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have processed since our initial launch, over 50% of them, or approximately 508,000 tests, were processed within the last 12 months ended June 30, 2025. For the year ended</w:t>
      </w:r>
    </w:p>
    <w:p>
      <w:pPr>
        <w:ind w:left="180"/>
        <w:spacing w:after="0" w:line="234" w:lineRule="auto"/>
        <w:rPr>
          <w:sz w:val="20"/>
          <w:szCs w:val="20"/>
          <w:color w:val="auto"/>
        </w:rPr>
      </w:pPr>
      <w:r>
        <w:rPr>
          <w:rFonts w:ascii="Arial" w:cs="Arial" w:eastAsia="Arial" w:hAnsi="Arial"/>
          <w:sz w:val="14"/>
          <w:szCs w:val="14"/>
          <w:color w:val="auto"/>
        </w:rPr>
        <w:t>December 31, 2024, we generated revenue of $152.6 million, representing 113% year-over-year growth, with a gross margin of 53% and net loss of $41.6 million. We have</w:t>
      </w:r>
    </w:p>
    <w:p>
      <w:pPr>
        <w:ind w:left="180"/>
        <w:spacing w:after="0" w:line="235" w:lineRule="auto"/>
        <w:rPr>
          <w:sz w:val="20"/>
          <w:szCs w:val="20"/>
          <w:color w:val="auto"/>
        </w:rPr>
      </w:pPr>
      <w:r>
        <w:rPr>
          <w:rFonts w:ascii="Arial" w:cs="Arial" w:eastAsia="Arial" w:hAnsi="Arial"/>
          <w:sz w:val="14"/>
          <w:szCs w:val="14"/>
          <w:color w:val="auto"/>
        </w:rPr>
        <w:t>incurred losses since inception, including a net loss of $41.6 million and $4.2 million for the year ended December 31, 2024 and six months ended June 30, 2025, respectively,</w:t>
      </w:r>
    </w:p>
    <w:p>
      <w:pPr>
        <w:ind w:left="180"/>
        <w:spacing w:after="0" w:line="234" w:lineRule="auto"/>
        <w:rPr>
          <w:sz w:val="20"/>
          <w:szCs w:val="20"/>
          <w:color w:val="auto"/>
        </w:rPr>
      </w:pPr>
      <w:r>
        <w:rPr>
          <w:rFonts w:ascii="Arial" w:cs="Arial" w:eastAsia="Arial" w:hAnsi="Arial"/>
          <w:sz w:val="14"/>
          <w:szCs w:val="14"/>
          <w:color w:val="auto"/>
        </w:rPr>
        <w:t>and we had an accumulated deficit of $286.4 million as of June 30, 2025. Our loss from operations for the six months ended June 30, 2024 and 2025 was $22.8 million and</w:t>
      </w:r>
    </w:p>
    <w:p>
      <w:pPr>
        <w:ind w:left="180"/>
        <w:spacing w:after="0" w:line="235" w:lineRule="auto"/>
        <w:rPr>
          <w:sz w:val="20"/>
          <w:szCs w:val="20"/>
          <w:color w:val="auto"/>
        </w:rPr>
      </w:pPr>
      <w:r>
        <w:rPr>
          <w:rFonts w:ascii="Arial" w:cs="Arial" w:eastAsia="Arial" w:hAnsi="Arial"/>
          <w:sz w:val="14"/>
          <w:szCs w:val="14"/>
          <w:color w:val="auto"/>
        </w:rPr>
        <w:t>$3.9 million, respectively. Our business model has demonstrated improving operational leverage, which has enabled us to reach, on a non-GAAP income from operations basis,</w:t>
      </w:r>
    </w:p>
    <w:p>
      <w:pPr>
        <w:ind w:left="180"/>
        <w:spacing w:after="0" w:line="235" w:lineRule="auto"/>
        <w:rPr>
          <w:sz w:val="20"/>
          <w:szCs w:val="20"/>
          <w:color w:val="auto"/>
        </w:rPr>
      </w:pPr>
      <w:r>
        <w:rPr>
          <w:rFonts w:ascii="Arial" w:cs="Arial" w:eastAsia="Arial" w:hAnsi="Arial"/>
          <w:sz w:val="14"/>
          <w:szCs w:val="14"/>
          <w:color w:val="auto"/>
        </w:rPr>
        <w:t>positive operating income after adjusting for stock-based compensation expense for the six months ended June 30, 2025. During this period, we generated revenue of</w:t>
      </w:r>
    </w:p>
    <w:p>
      <w:pPr>
        <w:ind w:left="180" w:right="280"/>
        <w:spacing w:after="0" w:line="241" w:lineRule="auto"/>
        <w:rPr>
          <w:sz w:val="20"/>
          <w:szCs w:val="20"/>
          <w:color w:val="auto"/>
        </w:rPr>
      </w:pPr>
      <w:r>
        <w:rPr>
          <w:rFonts w:ascii="Arial" w:cs="Arial" w:eastAsia="Arial" w:hAnsi="Arial"/>
          <w:sz w:val="14"/>
          <w:szCs w:val="14"/>
          <w:color w:val="auto"/>
        </w:rPr>
        <w:t>$125.5 million, representing 82% year-over-year revenue growth as compared to the six months ended June 30, 2024, with a gross margin of 65%. This translated to a non-GAAP net operating income of $1.2 million for the six months ended June 30, 2025 compared to a non-GAAP net operating loss of $18.9 million for the six months ended June 30, 2024, which represented an improvement of approximately $20.1 million.</w:t>
      </w:r>
    </w:p>
    <w:p>
      <w:pPr>
        <w:spacing w:after="0" w:line="89" w:lineRule="exact"/>
        <w:rPr>
          <w:sz w:val="20"/>
          <w:szCs w:val="20"/>
          <w:color w:val="auto"/>
        </w:rPr>
      </w:pPr>
    </w:p>
    <w:p>
      <w:pPr>
        <w:ind w:left="180" w:right="340"/>
        <w:spacing w:after="0" w:line="269" w:lineRule="auto"/>
        <w:rPr>
          <w:sz w:val="20"/>
          <w:szCs w:val="20"/>
          <w:color w:val="auto"/>
        </w:rPr>
      </w:pPr>
      <w:r>
        <w:rPr>
          <w:rFonts w:ascii="Arial" w:cs="Arial" w:eastAsia="Arial" w:hAnsi="Arial"/>
          <w:sz w:val="14"/>
          <w:szCs w:val="14"/>
          <w:color w:val="auto"/>
        </w:rPr>
        <w:t>Backed by our commitment to continued innovation and high-quality execution, we aim to lead the next wave of advancements in precision diagnostics, delivering profound benefits to patients, providers, and the broader healthcare system.</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four pillars of differentiation</w:t>
      </w:r>
    </w:p>
    <w:p>
      <w:pPr>
        <w:spacing w:after="0" w:line="115" w:lineRule="exact"/>
        <w:rPr>
          <w:sz w:val="20"/>
          <w:szCs w:val="20"/>
          <w:color w:val="auto"/>
        </w:rPr>
      </w:pPr>
    </w:p>
    <w:p>
      <w:pPr>
        <w:ind w:left="180" w:right="240"/>
        <w:spacing w:after="0" w:line="269" w:lineRule="auto"/>
        <w:rPr>
          <w:sz w:val="20"/>
          <w:szCs w:val="20"/>
          <w:color w:val="auto"/>
        </w:rPr>
      </w:pPr>
      <w:r>
        <w:rPr>
          <w:rFonts w:ascii="Arial" w:cs="Arial" w:eastAsia="Arial" w:hAnsi="Arial"/>
          <w:sz w:val="14"/>
          <w:szCs w:val="14"/>
          <w:color w:val="auto"/>
        </w:rPr>
        <w:t>At BillionToOne, we are building a different type of molecular diagnostics company, backed by our four pillars of differentiation described below. We believe these competitive advantages are difficult for others to replicate and uniquely position us to redefine the industry.</w:t>
      </w:r>
    </w:p>
    <w:p>
      <w:pPr>
        <w:spacing w:after="0" w:line="69" w:lineRule="exact"/>
        <w:rPr>
          <w:sz w:val="20"/>
          <w:szCs w:val="20"/>
          <w:color w:val="auto"/>
        </w:rPr>
      </w:pPr>
    </w:p>
    <w:p>
      <w:pPr>
        <w:ind w:left="180" w:right="60"/>
        <w:spacing w:after="0" w:line="201" w:lineRule="auto"/>
        <w:rPr>
          <w:sz w:val="20"/>
          <w:szCs w:val="20"/>
          <w:color w:val="auto"/>
        </w:rPr>
      </w:pPr>
      <w:r>
        <w:rPr>
          <w:rFonts w:ascii="Arial" w:cs="Arial" w:eastAsia="Arial" w:hAnsi="Arial"/>
          <w:sz w:val="14"/>
          <w:szCs w:val="14"/>
          <w:b w:val="1"/>
          <w:bCs w:val="1"/>
          <w:i w:val="1"/>
          <w:iCs w:val="1"/>
          <w:color w:val="auto"/>
        </w:rPr>
        <w:t xml:space="preserve">Our breakthrough technology platform. </w:t>
      </w:r>
      <w:r>
        <w:rPr>
          <w:rFonts w:ascii="Arial" w:cs="Arial" w:eastAsia="Arial" w:hAnsi="Arial"/>
          <w:sz w:val="14"/>
          <w:szCs w:val="14"/>
          <w:color w:val="auto"/>
        </w:rPr>
        <w:t>Our revolutionary platform achieves absolute quantification at the single molecule level, enabling us to: (i) accurately quantify genetic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targets by eliminating biases introduced from next-generation sequencing (NGS);</w:t>
      </w:r>
      <w:r>
        <w:rPr>
          <w:rFonts w:ascii="Arial" w:cs="Arial" w:eastAsia="Arial" w:hAnsi="Arial"/>
          <w:sz w:val="20"/>
          <w:szCs w:val="20"/>
          <w:color w:val="auto"/>
          <w:vertAlign w:val="superscript"/>
        </w:rPr>
        <w:t>6</w:t>
      </w:r>
      <w:r>
        <w:rPr>
          <w:rFonts w:ascii="Arial" w:cs="Arial" w:eastAsia="Arial" w:hAnsi="Arial"/>
          <w:sz w:val="14"/>
          <w:szCs w:val="14"/>
          <w:color w:val="auto"/>
        </w:rPr>
        <w:t xml:space="preserve"> (ii) precisely measure and analyze intermediate biochemical reactions to optimize the performance of our assays; and (iii) reduce sequencing costs by obtaining a higher quality signal at each genomic location analyzed.</w:t>
      </w:r>
      <w:r>
        <w:rPr>
          <w:rFonts w:ascii="Arial" w:cs="Arial" w:eastAsia="Arial" w:hAnsi="Arial"/>
          <w:sz w:val="20"/>
          <w:szCs w:val="20"/>
          <w:color w:val="auto"/>
          <w:vertAlign w:val="superscript"/>
        </w:rPr>
        <w:t>7</w:t>
      </w:r>
      <w:r>
        <w:rPr>
          <w:rFonts w:ascii="Arial" w:cs="Arial" w:eastAsia="Arial" w:hAnsi="Arial"/>
          <w:sz w:val="14"/>
          <w:szCs w:val="14"/>
          <w:color w:val="auto"/>
        </w:rPr>
        <w:t xml:space="preserve"> Moreover, we believe our design-based R&amp;D approach allows us to harness</w:t>
      </w:r>
    </w:p>
    <w:p>
      <w:pPr>
        <w:spacing w:after="0" w:line="126" w:lineRule="exact"/>
        <w:rPr>
          <w:sz w:val="20"/>
          <w:szCs w:val="20"/>
          <w:color w:val="auto"/>
        </w:rPr>
      </w:pPr>
    </w:p>
    <w:p>
      <w:pPr>
        <w:ind w:left="500" w:right="320" w:hanging="317"/>
        <w:spacing w:after="0" w:line="193" w:lineRule="auto"/>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ind w:left="500" w:hanging="317"/>
        <w:spacing w:after="0" w:line="185" w:lineRule="auto"/>
        <w:tabs>
          <w:tab w:leader="none" w:pos="500" w:val="left"/>
        </w:tabs>
        <w:numPr>
          <w:ilvl w:val="0"/>
          <w:numId w:val="7"/>
        </w:numPr>
        <w:rPr>
          <w:rFonts w:ascii="Arial" w:cs="Arial" w:eastAsia="Arial" w:hAnsi="Arial"/>
          <w:sz w:val="13"/>
          <w:szCs w:val="13"/>
          <w:color w:val="auto"/>
          <w:vertAlign w:val="superscript"/>
        </w:rPr>
      </w:pPr>
      <w:r>
        <w:rPr>
          <w:rFonts w:ascii="Arial" w:cs="Arial" w:eastAsia="Arial" w:hAnsi="Arial"/>
          <w:sz w:val="9"/>
          <w:szCs w:val="9"/>
          <w:color w:val="auto"/>
        </w:rPr>
        <w:t>PCR amplification during library preparation for NGS introduces significant biases and errors, including primer binding bias, mis-priming errors, non-specific binding, and amplification bias. When this inefficiency is amplified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0"/>
          <w:szCs w:val="10"/>
          <w:color w:val="auto"/>
        </w:rPr>
        <w:t>exponentially over several cycles, it leads to notable inaccuracies in sequencing results. Our QCTs act as a control when we conduct amplification and allow us to identify and remove the biases.</w:t>
      </w:r>
    </w:p>
    <w:p>
      <w:pPr>
        <w:ind w:left="500" w:right="120" w:hanging="317"/>
        <w:spacing w:after="0" w:line="214" w:lineRule="auto"/>
        <w:tabs>
          <w:tab w:leader="none" w:pos="500" w:val="left"/>
        </w:tabs>
        <w:numPr>
          <w:ilvl w:val="0"/>
          <w:numId w:val="8"/>
        </w:numPr>
        <w:rPr>
          <w:rFonts w:ascii="Arial" w:cs="Arial" w:eastAsia="Arial" w:hAnsi="Arial"/>
          <w:sz w:val="16"/>
          <w:szCs w:val="16"/>
          <w:color w:val="auto"/>
          <w:vertAlign w:val="superscript"/>
        </w:rPr>
      </w:pPr>
      <w:r>
        <w:rPr>
          <w:rFonts w:ascii="Arial" w:cs="Arial" w:eastAsia="Arial" w:hAnsi="Arial"/>
          <w:sz w:val="10"/>
          <w:szCs w:val="10"/>
          <w:color w:val="auto"/>
        </w:rPr>
        <w:t>The cost of NGS scales with the total number of reads required per sample. In standard NGS, additional reads for each genomic location or sequencing of additional genomic locations may be needed to average out the noise associated with amplification biases. However, with QCTs, such biases are removed during analysis, increasing the overall signal quality. This can enable the laboratory to achieve the same diagnostic accuracy with significantly fewer total reads, reducing costs. For example, a typical test for aneuploidy NIPT screen may require interrogation of more than 10,000 genomic locations to average out the amplification bias that is present across locations whereas the same diagnostics may be possible by interrogation of a few hundred loci when control spike-ins and QCTs are used.</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00"/>
          </w:cols>
          <w:pgMar w:left="300" w:top="38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297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29775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120"/>
        <w:spacing w:after="0" w:line="282" w:lineRule="auto"/>
        <w:rPr>
          <w:sz w:val="20"/>
          <w:szCs w:val="20"/>
          <w:color w:val="auto"/>
        </w:rPr>
      </w:pPr>
      <w:r>
        <w:rPr>
          <w:rFonts w:ascii="Arial" w:cs="Arial" w:eastAsia="Arial" w:hAnsi="Arial"/>
          <w:sz w:val="13"/>
          <w:szCs w:val="13"/>
          <w:color w:val="auto"/>
        </w:rPr>
        <w:t>this technology and accurately predict the clinical performance of a novel assay before testing a single patient sample, which we believe accelerates time-to-market and significantly improves our commercial launch success rate.</w:t>
      </w:r>
      <w:r>
        <w:rPr>
          <w:rFonts w:ascii="Arial" w:cs="Arial" w:eastAsia="Arial" w:hAnsi="Arial"/>
          <w:sz w:val="19"/>
          <w:szCs w:val="19"/>
          <w:color w:val="auto"/>
          <w:vertAlign w:val="superscript"/>
        </w:rPr>
        <w:t>8</w:t>
      </w:r>
      <w:r>
        <w:rPr>
          <w:rFonts w:ascii="Arial" w:cs="Arial" w:eastAsia="Arial" w:hAnsi="Arial"/>
          <w:sz w:val="13"/>
          <w:szCs w:val="13"/>
          <w:color w:val="auto"/>
        </w:rPr>
        <w:t xml:space="preserve"> Collectively, these platform capabilities enable us to build better products while we simultaneously decrease costs.</w:t>
      </w:r>
    </w:p>
    <w:p>
      <w:pPr>
        <w:spacing w:after="0" w:line="1" w:lineRule="exact"/>
        <w:rPr>
          <w:sz w:val="20"/>
          <w:szCs w:val="20"/>
          <w:color w:val="auto"/>
        </w:rPr>
      </w:pPr>
    </w:p>
    <w:p>
      <w:pPr>
        <w:ind w:left="180"/>
        <w:spacing w:after="0" w:line="237" w:lineRule="auto"/>
        <w:rPr>
          <w:sz w:val="20"/>
          <w:szCs w:val="20"/>
          <w:color w:val="auto"/>
        </w:rPr>
      </w:pPr>
      <w:r>
        <w:rPr>
          <w:rFonts w:ascii="Arial" w:cs="Arial" w:eastAsia="Arial" w:hAnsi="Arial"/>
          <w:sz w:val="14"/>
          <w:szCs w:val="14"/>
          <w:b w:val="1"/>
          <w:bCs w:val="1"/>
          <w:i w:val="1"/>
          <w:iCs w:val="1"/>
          <w:color w:val="auto"/>
        </w:rPr>
        <w:t xml:space="preserve">Our category-defining products. </w:t>
      </w:r>
      <w:r>
        <w:rPr>
          <w:rFonts w:ascii="Arial" w:cs="Arial" w:eastAsia="Arial" w:hAnsi="Arial"/>
          <w:sz w:val="14"/>
          <w:szCs w:val="14"/>
          <w:color w:val="auto"/>
        </w:rPr>
        <w:t>As demonstrated in multiple analytical and clinical studies, as well as peer reviewed publications, we have leveraged our smNGS platform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create differentiated prenatal and oncology products with 10 times greater precision versus other available tests. For example, our UNITY test has extended NIPT from detecting one million-plus base pair conditions to single base pair conditions. This advancement is already starting to impact the treatment options for babies affected by these severe recessive conditions. In addition, our Northstar Select and Response tests deliver superior sensitivity and precision, respectively, and can generate clinically relevant insights for late-stage cancer therapy selection and response monitoring that may otherwise have been missed or delayed through conventional liquid biopsy tests and/or imaging tools. We believe that each of our products has the potential to become the standard of care in its respective market. Furthermore, we believe our competitive moat will strengthen over time as we continue to enhance and expand our portfolio of ultrasensitive tests.</w:t>
      </w:r>
    </w:p>
    <w:p>
      <w:pPr>
        <w:spacing w:after="0" w:line="90" w:lineRule="exact"/>
        <w:rPr>
          <w:sz w:val="20"/>
          <w:szCs w:val="20"/>
          <w:color w:val="auto"/>
        </w:rPr>
      </w:pPr>
    </w:p>
    <w:p>
      <w:pPr>
        <w:ind w:left="180"/>
        <w:spacing w:after="0" w:line="250" w:lineRule="auto"/>
        <w:rPr>
          <w:sz w:val="20"/>
          <w:szCs w:val="20"/>
          <w:color w:val="auto"/>
        </w:rPr>
      </w:pPr>
      <w:r>
        <w:rPr>
          <w:rFonts w:ascii="Arial" w:cs="Arial" w:eastAsia="Arial" w:hAnsi="Arial"/>
          <w:sz w:val="14"/>
          <w:szCs w:val="14"/>
          <w:b w:val="1"/>
          <w:bCs w:val="1"/>
          <w:i w:val="1"/>
          <w:iCs w:val="1"/>
          <w:color w:val="auto"/>
        </w:rPr>
        <w:t xml:space="preserve">Our ability to deliver rapid growth at scale. </w:t>
      </w:r>
      <w:r>
        <w:rPr>
          <w:rFonts w:ascii="Arial" w:cs="Arial" w:eastAsia="Arial" w:hAnsi="Arial"/>
          <w:sz w:val="14"/>
          <w:szCs w:val="14"/>
          <w:color w:val="auto"/>
        </w:rPr>
        <w:t>The differentiated nature of our products and our relentless commitment to improving the patient and provider experience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resulted in recurring use of our tests with extremely low customer churn. Our existing accounts have created a stable and growing revenue base with increasing penetration, and we see similar adoption trends in new clinics, as we continue our expansion within existing and new territories. Additionally, while our current products already address an estimated annual market opportunity of over $20 billion in the United States, we believe that our R&amp;D pipeline could eventually expand this annual addressable market to over $100 billion.</w:t>
      </w:r>
      <w:r>
        <w:rPr>
          <w:rFonts w:ascii="Arial" w:cs="Arial" w:eastAsia="Arial" w:hAnsi="Arial"/>
          <w:sz w:val="20"/>
          <w:szCs w:val="20"/>
          <w:color w:val="auto"/>
          <w:vertAlign w:val="superscript"/>
        </w:rPr>
        <w:t>9</w:t>
      </w:r>
      <w:r>
        <w:rPr>
          <w:rFonts w:ascii="Arial" w:cs="Arial" w:eastAsia="Arial" w:hAnsi="Arial"/>
          <w:sz w:val="14"/>
          <w:szCs w:val="14"/>
          <w:color w:val="auto"/>
        </w:rPr>
        <w:t xml:space="preserve"> We believe this market setup, along with our scaling business, provides a significant opportunity for us to grow over the near and long-term horizon.</w:t>
      </w:r>
    </w:p>
    <w:p>
      <w:pPr>
        <w:spacing w:after="0" w:line="3" w:lineRule="exact"/>
        <w:rPr>
          <w:sz w:val="20"/>
          <w:szCs w:val="20"/>
          <w:color w:val="auto"/>
        </w:rPr>
      </w:pPr>
    </w:p>
    <w:p>
      <w:pPr>
        <w:ind w:left="180" w:right="20"/>
        <w:spacing w:after="0" w:line="225" w:lineRule="auto"/>
        <w:rPr>
          <w:sz w:val="20"/>
          <w:szCs w:val="20"/>
          <w:color w:val="auto"/>
        </w:rPr>
      </w:pPr>
      <w:r>
        <w:rPr>
          <w:rFonts w:ascii="Arial" w:cs="Arial" w:eastAsia="Arial" w:hAnsi="Arial"/>
          <w:sz w:val="14"/>
          <w:szCs w:val="14"/>
          <w:b w:val="1"/>
          <w:bCs w:val="1"/>
          <w:i w:val="1"/>
          <w:iCs w:val="1"/>
          <w:color w:val="auto"/>
        </w:rPr>
        <w:t xml:space="preserve">Our superior efficiency. </w:t>
      </w:r>
      <w:r>
        <w:rPr>
          <w:rFonts w:ascii="Arial" w:cs="Arial" w:eastAsia="Arial" w:hAnsi="Arial"/>
          <w:sz w:val="14"/>
          <w:szCs w:val="14"/>
          <w:color w:val="auto"/>
        </w:rPr>
        <w:t>We believe our capital efficiency and emerging profitability set us apart from other molecular diagnostics companies especially at our scale. Since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inception we have produced a track record of cost efficiency, demonstrated by limiting our accumulated deficit of $282.2 million as of December 31, 2024. This figure is a small fraction of the accumulated deficits reported by certain of our public company competitors (Caris Life Sciences, Guardant Health, Natera, and Tempus AI) as of the same date.</w:t>
      </w:r>
      <w:r>
        <w:rPr>
          <w:rFonts w:ascii="Arial" w:cs="Arial" w:eastAsia="Arial" w:hAnsi="Arial"/>
          <w:sz w:val="20"/>
          <w:szCs w:val="20"/>
          <w:color w:val="auto"/>
          <w:vertAlign w:val="superscript"/>
        </w:rPr>
        <w:t>10</w:t>
      </w:r>
      <w:r>
        <w:rPr>
          <w:rFonts w:ascii="Arial" w:cs="Arial" w:eastAsia="Arial" w:hAnsi="Arial"/>
          <w:sz w:val="14"/>
          <w:szCs w:val="14"/>
          <w:color w:val="auto"/>
        </w:rPr>
        <w:t xml:space="preserve"> The important factors resulting in this efficiency are (i) our gross margin of 65% for the three months ended June 30, 2025, which has increased 14 percentage points year-over-year, (ii) our high sales efficiency driven by differentiated products, with our annualized revenue run-rate per sales representative at over $1.8 million for the three months ended June 30, 2025, and (iii) disciplined operational practices supplemented by automation and AI. Going forward, our financial discipline will continue to be integral to our innovation efforts. By prioritizing efficiency, we have been able to consistently invest in R&amp;D and commercial expansion while reducing losses over time and achieving profitability. In doing so, we believe we have established a differentiated financial profile that positions us for sustainable value creation.</w:t>
      </w:r>
    </w:p>
    <w:p>
      <w:pPr>
        <w:spacing w:after="0" w:line="79" w:lineRule="exact"/>
        <w:rPr>
          <w:sz w:val="20"/>
          <w:szCs w:val="20"/>
          <w:color w:val="auto"/>
        </w:rPr>
      </w:pPr>
    </w:p>
    <w:p>
      <w:pPr>
        <w:ind w:left="500" w:hanging="317"/>
        <w:spacing w:after="0"/>
        <w:tabs>
          <w:tab w:leader="none" w:pos="500" w:val="left"/>
        </w:tabs>
        <w:numPr>
          <w:ilvl w:val="0"/>
          <w:numId w:val="9"/>
        </w:numPr>
        <w:rPr>
          <w:rFonts w:ascii="Arial" w:cs="Arial" w:eastAsia="Arial" w:hAnsi="Arial"/>
          <w:sz w:val="16"/>
          <w:szCs w:val="16"/>
          <w:color w:val="auto"/>
          <w:vertAlign w:val="superscript"/>
        </w:rPr>
      </w:pPr>
      <w:r>
        <w:rPr>
          <w:rFonts w:ascii="Arial" w:cs="Arial" w:eastAsia="Arial" w:hAnsi="Arial"/>
          <w:sz w:val="10"/>
          <w:szCs w:val="10"/>
          <w:color w:val="auto"/>
        </w:rPr>
        <w:t>Because our technology platform is quantitative, we can often mathematically model and accurately predict assay performance in advance when designing new smNGS assays.</w:t>
      </w:r>
    </w:p>
    <w:p>
      <w:pPr>
        <w:ind w:left="500" w:hanging="317"/>
        <w:spacing w:after="0" w:line="202" w:lineRule="auto"/>
        <w:tabs>
          <w:tab w:leader="none" w:pos="500"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Half of this addressable market includes early detection, an area in which we have not yet begun specific product development or commercial sales, but we believe will be strongly enabled by our existing technology platform.</w:t>
      </w:r>
    </w:p>
    <w:p>
      <w:pPr>
        <w:ind w:left="500" w:hanging="317"/>
        <w:spacing w:after="0" w:line="203" w:lineRule="auto"/>
        <w:tabs>
          <w:tab w:leader="none" w:pos="500" w:val="left"/>
        </w:tabs>
        <w:numPr>
          <w:ilvl w:val="0"/>
          <w:numId w:val="11"/>
        </w:numPr>
        <w:rPr>
          <w:rFonts w:ascii="Arial" w:cs="Arial" w:eastAsia="Arial" w:hAnsi="Arial"/>
          <w:sz w:val="13"/>
          <w:szCs w:val="13"/>
          <w:color w:val="auto"/>
          <w:vertAlign w:val="superscript"/>
        </w:rPr>
      </w:pPr>
      <w:r>
        <w:rPr>
          <w:rFonts w:ascii="Arial" w:cs="Arial" w:eastAsia="Arial" w:hAnsi="Arial"/>
          <w:sz w:val="9"/>
          <w:szCs w:val="9"/>
          <w:color w:val="auto"/>
        </w:rPr>
        <w:t>These competitors consist of different size companies, based on revenue, with product offerings that may not be directly comparable to our product offerings.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00"/>
          </w:cols>
          <w:pgMar w:left="300" w:top="38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36442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Background on cfDNA and the limitations of traditional NGS technologies</w:t>
      </w:r>
    </w:p>
    <w:p>
      <w:pPr>
        <w:spacing w:after="0" w:line="105" w:lineRule="exact"/>
        <w:rPr>
          <w:sz w:val="20"/>
          <w:szCs w:val="20"/>
          <w:color w:val="auto"/>
        </w:rPr>
      </w:pPr>
    </w:p>
    <w:p>
      <w:pPr>
        <w:ind w:left="180" w:right="20"/>
        <w:spacing w:after="0" w:line="252" w:lineRule="auto"/>
        <w:rPr>
          <w:sz w:val="20"/>
          <w:szCs w:val="20"/>
          <w:color w:val="auto"/>
        </w:rPr>
      </w:pPr>
      <w:r>
        <w:rPr>
          <w:rFonts w:ascii="Arial" w:cs="Arial" w:eastAsia="Arial" w:hAnsi="Arial"/>
          <w:sz w:val="14"/>
          <w:szCs w:val="14"/>
          <w:color w:val="auto"/>
        </w:rPr>
        <w:t>cfDNA represents one of the most promising biomarkers in modern precision medicine. cfDNA is continuously shed from all tissues into the bloodstream and has a short half-life of approximately one to two hours. This transient nature gives cfDNA a unique capability to provide a real-time snapshot of cellular turnover and can be used to diagnose and monitor disease, as both genetic and epigenetic properties of cfDNA directly reflect the originating tissue.</w:t>
      </w:r>
    </w:p>
    <w:p>
      <w:pPr>
        <w:spacing w:after="0" w:line="80" w:lineRule="exact"/>
        <w:rPr>
          <w:sz w:val="20"/>
          <w:szCs w:val="20"/>
          <w:color w:val="auto"/>
        </w:rPr>
      </w:pPr>
    </w:p>
    <w:p>
      <w:pPr>
        <w:ind w:left="180" w:right="240"/>
        <w:spacing w:after="0" w:line="246" w:lineRule="auto"/>
        <w:rPr>
          <w:sz w:val="20"/>
          <w:szCs w:val="20"/>
          <w:color w:val="auto"/>
        </w:rPr>
      </w:pPr>
      <w:r>
        <w:rPr>
          <w:rFonts w:ascii="Arial" w:cs="Arial" w:eastAsia="Arial" w:hAnsi="Arial"/>
          <w:sz w:val="14"/>
          <w:szCs w:val="14"/>
          <w:color w:val="auto"/>
        </w:rPr>
        <w:t>Despite its potential, the detection of cfDNA is fundamentally challenging due to its limited quantity in blood and short half-life. Certain conditions that stem from large scale genetic changes or generate abundant quantities of cfDNA in the bloodstream can be identified by previous testing approaches. However, other serious conditions may have lower DNA shedding rates which can result in very few relevant DNA fragments in the blood. These conditions are nearly undetectable with previous cfDNA detection techniques. For example, even in a late-stage cancer patient, there may only be one mutated cell-free tumor DNA molecule found in one tube of blood.</w:t>
      </w:r>
    </w:p>
    <w:p>
      <w:pPr>
        <w:spacing w:after="0" w:line="85" w:lineRule="exact"/>
        <w:rPr>
          <w:sz w:val="20"/>
          <w:szCs w:val="20"/>
          <w:color w:val="auto"/>
        </w:rPr>
      </w:pPr>
    </w:p>
    <w:p>
      <w:pPr>
        <w:ind w:left="180" w:right="320"/>
        <w:spacing w:after="0" w:line="226" w:lineRule="auto"/>
        <w:rPr>
          <w:sz w:val="20"/>
          <w:szCs w:val="20"/>
          <w:color w:val="auto"/>
        </w:rPr>
      </w:pPr>
      <w:r>
        <w:rPr>
          <w:rFonts w:ascii="Arial" w:cs="Arial" w:eastAsia="Arial" w:hAnsi="Arial"/>
          <w:sz w:val="14"/>
          <w:szCs w:val="14"/>
          <w:color w:val="auto"/>
        </w:rPr>
        <w:t>While traditional NGS has revolutionized genomic medicine over the past decade, it faces inherent limitations when applied to the analysis of cfDNA. Conventional NGS technologies are primarily limited to presence or absence detection. For example, within germline testing, which includes nearly unlimited input DNA material, the clinically relevant changes are detected at around 50% additional disease burden. However, in cfDNA applications, these clinically relevant changes can be at the level of 0.01% of cfDNA in blood. These applications require ultrasensitive quantification at the single molecule level that we believe is only possible with our smNGS platform.</w:t>
      </w:r>
      <w:r>
        <w:rPr>
          <w:rFonts w:ascii="Arial" w:cs="Arial" w:eastAsia="Arial" w:hAnsi="Arial"/>
          <w:sz w:val="20"/>
          <w:szCs w:val="20"/>
          <w:color w:val="auto"/>
          <w:vertAlign w:val="superscript"/>
        </w:rPr>
        <w:t>11</w:t>
      </w:r>
      <w:r>
        <w:rPr>
          <w:rFonts w:ascii="Arial" w:cs="Arial" w:eastAsia="Arial" w:hAnsi="Arial"/>
          <w:sz w:val="14"/>
          <w:szCs w:val="14"/>
          <w:color w:val="auto"/>
        </w:rPr>
        <w:t xml:space="preserve"> Further complicating the challenge, cfDNA samples undergo numerous enzymatic, amplification, and other biochemical steps prior to sequencing. Each of these steps introduces technical noise that makes it harder for traditional sequencing technologies to accurately quantify the absolute and relative abundance of cfDNA sequences in the biological specimen, resulting in lower sensitivity and specificity.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proprietary single-molecule next-generation sequencing platform (smNGS)</w:t>
      </w:r>
    </w:p>
    <w:p>
      <w:pPr>
        <w:spacing w:after="0" w:line="115" w:lineRule="exact"/>
        <w:rPr>
          <w:sz w:val="20"/>
          <w:szCs w:val="20"/>
          <w:color w:val="auto"/>
        </w:rPr>
      </w:pPr>
    </w:p>
    <w:p>
      <w:pPr>
        <w:ind w:left="180"/>
        <w:spacing w:after="0" w:line="243" w:lineRule="auto"/>
        <w:rPr>
          <w:sz w:val="20"/>
          <w:szCs w:val="20"/>
          <w:color w:val="auto"/>
        </w:rPr>
      </w:pPr>
      <w:r>
        <w:rPr>
          <w:rFonts w:ascii="Arial" w:cs="Arial" w:eastAsia="Arial" w:hAnsi="Arial"/>
          <w:sz w:val="14"/>
          <w:szCs w:val="14"/>
          <w:color w:val="auto"/>
        </w:rPr>
        <w:t>We have developed a transformative technology platform that redefines the possibilities of cfDNA analysis. In the past, the significant advancements from polymerase chain reaction (PCR) to Sanger Sequencing to NGS expanded molecular diagnostics from being limited to infectious disease testing and human genome mapping to now becoming standard of care for genetic screening. Today, we are experiencing another step change as we believe our smNGS platform enables the absolute quantification of cfDNA and we believe overcomes the technical noise that restrains the traditional NGS testing methods used by other diagnostic companies. This breakthrough capability enables our non-invasive diagnostic tests to achieve performance characteristics previously only possible with invasive tissue biopsies from the affected organ.</w:t>
      </w:r>
    </w:p>
    <w:p>
      <w:pPr>
        <w:spacing w:after="0" w:line="77" w:lineRule="exact"/>
        <w:rPr>
          <w:sz w:val="20"/>
          <w:szCs w:val="20"/>
          <w:color w:val="auto"/>
        </w:rPr>
      </w:pPr>
    </w:p>
    <w:p>
      <w:pPr>
        <w:ind w:left="180" w:right="60"/>
        <w:spacing w:after="0" w:line="241" w:lineRule="auto"/>
        <w:rPr>
          <w:sz w:val="20"/>
          <w:szCs w:val="20"/>
          <w:color w:val="auto"/>
        </w:rPr>
      </w:pPr>
      <w:r>
        <w:rPr>
          <w:rFonts w:ascii="Arial" w:cs="Arial" w:eastAsia="Arial" w:hAnsi="Arial"/>
          <w:sz w:val="14"/>
          <w:szCs w:val="14"/>
          <w:color w:val="auto"/>
        </w:rPr>
        <w:t>The cornerstone of our platform is its ability to resolve and quantify individual DNA molecules with absolute precision. This single-molecule resolution provides extraordinary visibility into the biological signals present in a sample, even when the target DNA represents just one molecule among billions. Beyond mere detection, our technology enables absolute quantification of cfDNA, eliminating the reliance on relative measurements that has constrained previous approaches. This quantitative foundation allows us to transform every aspect of our operations in a measurable way, from research and development to clinical testing and quality control. While traditional diagnostic approaches have often relied on trial-and-error experiments to screen for incremental improvements, our smNGS platform does not. The quantitative nature of the data that our smNGS platform generates is critical to our success in creating ultrasensitive, differentiated molecular diagnostics.</w:t>
      </w:r>
    </w:p>
    <w:p>
      <w:pPr>
        <w:spacing w:after="0" w:line="89" w:lineRule="exact"/>
        <w:rPr>
          <w:sz w:val="20"/>
          <w:szCs w:val="20"/>
          <w:color w:val="auto"/>
        </w:rPr>
      </w:pPr>
    </w:p>
    <w:p>
      <w:pPr>
        <w:ind w:left="500" w:hanging="317"/>
        <w:spacing w:after="0"/>
        <w:tabs>
          <w:tab w:leader="none" w:pos="50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Stasik, S., Mende, M., Schuster, C., et al. Sensitive Quantification of Cell-Free Tumor DNA for Early Detection of Recurrence in Colorectal Cancer. Front Genet. (2021);12:811291.</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00"/>
          </w:cols>
          <w:pgMar w:left="300" w:top="38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737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37376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20"/>
        <w:spacing w:after="0" w:line="236" w:lineRule="auto"/>
        <w:rPr>
          <w:sz w:val="20"/>
          <w:szCs w:val="20"/>
          <w:color w:val="auto"/>
        </w:rPr>
      </w:pPr>
      <w:r>
        <w:rPr>
          <w:rFonts w:ascii="Arial" w:cs="Arial" w:eastAsia="Arial" w:hAnsi="Arial"/>
          <w:sz w:val="13"/>
          <w:szCs w:val="13"/>
          <w:color w:val="auto"/>
        </w:rPr>
        <w:t>Perhaps most significantly, we believe, our smNGS technology transcends the precision-versus-scale tradeoff that has limited legacy diagnostic methods. Conventional genetic analysis techniques, such as NGS and digital droplet PCR (ddPCR), typically sacrifice either sensitivity or multiplexing, i.e., ability to interrogate many genomic loci at the same time, forcing compromises in clinical utility.</w:t>
      </w:r>
      <w:r>
        <w:rPr>
          <w:rFonts w:ascii="Arial" w:cs="Arial" w:eastAsia="Arial" w:hAnsi="Arial"/>
          <w:sz w:val="19"/>
          <w:szCs w:val="19"/>
          <w:color w:val="auto"/>
          <w:vertAlign w:val="superscript"/>
        </w:rPr>
        <w:t>12</w:t>
      </w:r>
      <w:r>
        <w:rPr>
          <w:rFonts w:ascii="Arial" w:cs="Arial" w:eastAsia="Arial" w:hAnsi="Arial"/>
          <w:sz w:val="13"/>
          <w:szCs w:val="13"/>
          <w:color w:val="auto"/>
        </w:rPr>
        <w:t xml:space="preserve"> We believe our platform eliminates this constraint, delivering both high sensitivity and broad genomic coverage simultaneously. This unique capability allows us to provide physicians and patients with more actionable information from cfDNA that was previously possible only with more invasive diagnostics.</w:t>
      </w:r>
    </w:p>
    <w:p>
      <w:pPr>
        <w:spacing w:after="0" w:line="79" w:lineRule="exact"/>
        <w:rPr>
          <w:sz w:val="20"/>
          <w:szCs w:val="20"/>
          <w:color w:val="auto"/>
        </w:rPr>
      </w:pPr>
    </w:p>
    <w:p>
      <w:pPr>
        <w:ind w:left="180" w:right="60"/>
        <w:spacing w:after="0" w:line="243" w:lineRule="auto"/>
        <w:rPr>
          <w:sz w:val="20"/>
          <w:szCs w:val="20"/>
          <w:color w:val="auto"/>
        </w:rPr>
      </w:pPr>
      <w:r>
        <w:rPr>
          <w:rFonts w:ascii="Arial" w:cs="Arial" w:eastAsia="Arial" w:hAnsi="Arial"/>
          <w:sz w:val="14"/>
          <w:szCs w:val="14"/>
          <w:color w:val="auto"/>
        </w:rPr>
        <w:t>Our smNGS platform is powered by several patented technologies, most notably the use of synthetic DNA fragments, called QCTs. QCTs encode the molecular information in sequencing data which are subsequently decoded using proprietary machine learning and bioinformatic algorithms, enabling us to precisely quantify cfDNA. The precision and multiplexability of QCT-powered assays make them ideal for addressing clinically significant challenges where sensitivity of rare-variant detection or quantification necessary for longitudinal measurements is essential. The power of QCTs is best exemplified when the clinical problem itself is quantitative, as in the case of fetal risk assessment of recessive conditions during pregnancy and monitoring of response to therapy in a cancer patient.</w:t>
      </w:r>
    </w:p>
    <w:p>
      <w:pPr>
        <w:spacing w:after="0" w:line="87" w:lineRule="exact"/>
        <w:rPr>
          <w:sz w:val="20"/>
          <w:szCs w:val="20"/>
          <w:color w:val="auto"/>
        </w:rPr>
      </w:pPr>
    </w:p>
    <w:p>
      <w:pPr>
        <w:ind w:left="180"/>
        <w:spacing w:after="0" w:line="254" w:lineRule="auto"/>
        <w:rPr>
          <w:sz w:val="20"/>
          <w:szCs w:val="20"/>
          <w:color w:val="auto"/>
        </w:rPr>
      </w:pPr>
      <w:r>
        <w:rPr>
          <w:rFonts w:ascii="Arial" w:cs="Arial" w:eastAsia="Arial" w:hAnsi="Arial"/>
          <w:sz w:val="14"/>
          <w:szCs w:val="14"/>
          <w:color w:val="auto"/>
        </w:rPr>
        <w:t>QCTs and our other smNGS technologies also serve as the backbone of our technical operations. We leverage this quantitative foundation to track samples throughout our workflows, to drive continuous operational improvement, and to support robust quality controls. For instance, QCTs detect cross-contamination down to the level of &lt;0.001% and thereby enable the creation of carefully constructed and automated end-to-end laboratory workflows, including special laboratory infrastructure, that prevent such cross-contamination that could otherwise be a bottleneck on sensitivity and specificity of an assay.</w:t>
      </w:r>
      <w:r>
        <w:rPr>
          <w:rFonts w:ascii="Arial" w:cs="Arial" w:eastAsia="Arial" w:hAnsi="Arial"/>
          <w:sz w:val="20"/>
          <w:szCs w:val="20"/>
          <w:color w:val="auto"/>
          <w:vertAlign w:val="superscript"/>
        </w:rPr>
        <w:t>13</w:t>
      </w:r>
    </w:p>
    <w:p>
      <w:pPr>
        <w:spacing w:after="0" w:line="1" w:lineRule="exact"/>
        <w:rPr>
          <w:sz w:val="20"/>
          <w:szCs w:val="20"/>
          <w:color w:val="auto"/>
        </w:rPr>
      </w:pPr>
    </w:p>
    <w:p>
      <w:pPr>
        <w:ind w:left="180" w:right="40"/>
        <w:spacing w:after="0" w:line="241" w:lineRule="auto"/>
        <w:rPr>
          <w:sz w:val="20"/>
          <w:szCs w:val="20"/>
          <w:color w:val="auto"/>
        </w:rPr>
      </w:pPr>
      <w:r>
        <w:rPr>
          <w:rFonts w:ascii="Arial" w:cs="Arial" w:eastAsia="Arial" w:hAnsi="Arial"/>
          <w:sz w:val="14"/>
          <w:szCs w:val="14"/>
          <w:color w:val="auto"/>
        </w:rPr>
        <w:t>The financial impact of our technology platform is substantial. We believe the ability to quantify biomarkers enables us to rationally design and engineer superior diagnostic tests optimized for clinical performance, scalability, and cost of goods sold (COGS). Our smNGS platform therefore drives our differentiated financial performance both by enabling the development of unique products and by de-risking clinical studies before dedicating significant resources. Our platform is a key differentiator versus our peers in the molecular diagnostics space and is protected by a robust and growing collection of patents and proprietary know-how.</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solution and suite of products</w:t>
      </w:r>
    </w:p>
    <w:p>
      <w:pPr>
        <w:spacing w:after="0" w:line="115" w:lineRule="exact"/>
        <w:rPr>
          <w:sz w:val="20"/>
          <w:szCs w:val="20"/>
          <w:color w:val="auto"/>
        </w:rPr>
      </w:pPr>
    </w:p>
    <w:p>
      <w:pPr>
        <w:ind w:left="180" w:right="540"/>
        <w:spacing w:after="0" w:line="269" w:lineRule="auto"/>
        <w:rPr>
          <w:sz w:val="20"/>
          <w:szCs w:val="20"/>
          <w:color w:val="auto"/>
        </w:rPr>
      </w:pPr>
      <w:r>
        <w:rPr>
          <w:rFonts w:ascii="Arial" w:cs="Arial" w:eastAsia="Arial" w:hAnsi="Arial"/>
          <w:sz w:val="14"/>
          <w:szCs w:val="14"/>
          <w:color w:val="auto"/>
        </w:rPr>
        <w:t>Our product portfolio of ultrasensitive tests touches everyone from the beginning of life, with prenatal genetic testing, to the end of life, with cancer therapy selection and response monitoring.</w:t>
      </w:r>
    </w:p>
    <w:p>
      <w:pPr>
        <w:spacing w:after="0" w:line="59" w:lineRule="exact"/>
        <w:rPr>
          <w:sz w:val="20"/>
          <w:szCs w:val="20"/>
          <w:color w:val="auto"/>
        </w:rPr>
      </w:pPr>
    </w:p>
    <w:p>
      <w:pPr>
        <w:ind w:left="180" w:right="20"/>
        <w:spacing w:after="0" w:line="246" w:lineRule="auto"/>
        <w:rPr>
          <w:sz w:val="20"/>
          <w:szCs w:val="20"/>
          <w:color w:val="auto"/>
        </w:rPr>
      </w:pPr>
      <w:r>
        <w:rPr>
          <w:rFonts w:ascii="Arial" w:cs="Arial" w:eastAsia="Arial" w:hAnsi="Arial"/>
          <w:sz w:val="14"/>
          <w:szCs w:val="14"/>
          <w:color w:val="auto"/>
        </w:rPr>
        <w:t>We launched our initial prenatal product, UNITY, in 2019. Today, we believe it is becoming the new standard of care, as evidenced by two recent ACOG practice advisory changes that cited our publications in support of the change. With UNITY, we have leap-frogged the resolution of cfDNA testing from one million base-pair chromosomal abnormalities to single base-pair recessive conditions. In this highly competitive market with increasing commoditization, our differentiated UNITY Fetal Risk Screen remains the only cfDNA test for these conditions with peer-reviewed clinical publications.</w:t>
      </w:r>
    </w:p>
    <w:p>
      <w:pPr>
        <w:spacing w:after="0" w:line="85" w:lineRule="exact"/>
        <w:rPr>
          <w:sz w:val="20"/>
          <w:szCs w:val="20"/>
          <w:color w:val="auto"/>
        </w:rPr>
      </w:pPr>
    </w:p>
    <w:p>
      <w:pPr>
        <w:ind w:left="180" w:right="180"/>
        <w:spacing w:after="0" w:line="269" w:lineRule="auto"/>
        <w:rPr>
          <w:sz w:val="20"/>
          <w:szCs w:val="20"/>
          <w:color w:val="auto"/>
        </w:rPr>
      </w:pPr>
      <w:r>
        <w:rPr>
          <w:rFonts w:ascii="Arial" w:cs="Arial" w:eastAsia="Arial" w:hAnsi="Arial"/>
          <w:sz w:val="14"/>
          <w:szCs w:val="14"/>
          <w:color w:val="auto"/>
        </w:rPr>
        <w:t>We have more recently entered the oncology market, initially focusing on addressing the highest unmet need areas of therapy selection and response monitoring in late-stage cancer patients. We intend to expand our</w:t>
      </w:r>
    </w:p>
    <w:p>
      <w:pPr>
        <w:spacing w:after="0" w:line="105" w:lineRule="exact"/>
        <w:rPr>
          <w:sz w:val="20"/>
          <w:szCs w:val="20"/>
          <w:color w:val="auto"/>
        </w:rPr>
      </w:pPr>
    </w:p>
    <w:p>
      <w:pPr>
        <w:ind w:left="500" w:right="420" w:hanging="317"/>
        <w:spacing w:after="0" w:line="193" w:lineRule="auto"/>
        <w:tabs>
          <w:tab w:leader="none" w:pos="50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 xml:space="preserve">Tsao, D. S., Silas, S., Landry, B. P., Itzep, N. P., Nguyen, A. B., Greenberg, S., Kanne, C. K., Sheehan, V. A., &amp; Lo, Y. H. (2019). A novel high-throughput molecular counting method with single basepair resolution enables accurate single-gene NIPT. </w:t>
      </w:r>
      <w:r>
        <w:rPr>
          <w:rFonts w:ascii="Arial" w:cs="Arial" w:eastAsia="Arial" w:hAnsi="Arial"/>
          <w:sz w:val="10"/>
          <w:szCs w:val="10"/>
          <w:i w:val="1"/>
          <w:iCs w:val="1"/>
          <w:color w:val="auto"/>
        </w:rPr>
        <w:t>Scientific Reports, 9</w:t>
      </w:r>
      <w:r>
        <w:rPr>
          <w:rFonts w:ascii="Arial" w:cs="Arial" w:eastAsia="Arial" w:hAnsi="Arial"/>
          <w:sz w:val="10"/>
          <w:szCs w:val="10"/>
          <w:color w:val="auto"/>
        </w:rPr>
        <w:t>, 14382.</w:t>
      </w:r>
    </w:p>
    <w:p>
      <w:pPr>
        <w:ind w:left="500" w:hanging="317"/>
        <w:spacing w:after="0" w:line="203" w:lineRule="auto"/>
        <w:tabs>
          <w:tab w:leader="none" w:pos="500" w:val="left"/>
        </w:tabs>
        <w:numPr>
          <w:ilvl w:val="0"/>
          <w:numId w:val="13"/>
        </w:numPr>
        <w:rPr>
          <w:rFonts w:ascii="Arial" w:cs="Arial" w:eastAsia="Arial" w:hAnsi="Arial"/>
          <w:sz w:val="13"/>
          <w:szCs w:val="13"/>
          <w:color w:val="auto"/>
          <w:vertAlign w:val="superscript"/>
        </w:rPr>
      </w:pPr>
      <w:r>
        <w:rPr>
          <w:rFonts w:ascii="Arial" w:cs="Arial" w:eastAsia="Arial" w:hAnsi="Arial"/>
          <w:sz w:val="9"/>
          <w:szCs w:val="9"/>
          <w:color w:val="auto"/>
        </w:rPr>
        <w:t>See our patent for “Quality Control Templates for Ensuring the Validity of Sequencing-Based Assays” U.S. Patent No. 11,629,381. See section entitled “Intellectual Property” on page 163 for more information.</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00"/>
          </w:cols>
          <w:pgMar w:left="300" w:top="38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4130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413067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60"/>
        <w:spacing w:after="0" w:line="229" w:lineRule="auto"/>
        <w:rPr>
          <w:sz w:val="20"/>
          <w:szCs w:val="20"/>
          <w:color w:val="auto"/>
        </w:rPr>
      </w:pPr>
      <w:r>
        <w:rPr>
          <w:rFonts w:ascii="Arial" w:cs="Arial" w:eastAsia="Arial" w:hAnsi="Arial"/>
          <w:sz w:val="14"/>
          <w:szCs w:val="14"/>
          <w:color w:val="auto"/>
        </w:rPr>
        <w:t>oncology test offerings into testing of earlier stage cancer patients, including through MRD testing and potentially for early cancer detection. We are in the late stages of development of our first assay for MRD detection, and we anticipate launching this assay in 2026. We expect that any products we launch for MRD will be laboratory developed tests (LDTs), and the products would not be subject to FDA approval requirements.</w:t>
      </w:r>
      <w:r>
        <w:rPr>
          <w:rFonts w:ascii="Arial" w:cs="Arial" w:eastAsia="Arial" w:hAnsi="Arial"/>
          <w:sz w:val="20"/>
          <w:szCs w:val="20"/>
          <w:color w:val="auto"/>
          <w:vertAlign w:val="superscript"/>
        </w:rPr>
        <w:t>14</w:t>
      </w:r>
      <w:r>
        <w:rPr>
          <w:rFonts w:ascii="Arial" w:cs="Arial" w:eastAsia="Arial" w:hAnsi="Arial"/>
          <w:sz w:val="14"/>
          <w:szCs w:val="14"/>
          <w:color w:val="auto"/>
        </w:rPr>
        <w:t xml:space="preserve"> Longer term, we believe that our smNGS-based technology could address the sensitivity challenges of early-stage cancer detection; however, we have not yet started development in this area.</w:t>
      </w:r>
      <w:r>
        <w:rPr>
          <w:rFonts w:ascii="Arial" w:cs="Arial" w:eastAsia="Arial" w:hAnsi="Arial"/>
          <w:sz w:val="20"/>
          <w:szCs w:val="20"/>
          <w:color w:val="auto"/>
          <w:vertAlign w:val="superscript"/>
        </w:rPr>
        <w:t>15</w:t>
      </w:r>
    </w:p>
    <w:p>
      <w:pPr>
        <w:spacing w:after="0" w:line="2" w:lineRule="exact"/>
        <w:rPr>
          <w:sz w:val="20"/>
          <w:szCs w:val="20"/>
          <w:color w:val="auto"/>
        </w:rPr>
      </w:pPr>
    </w:p>
    <w:p>
      <w:pPr>
        <w:ind w:left="180" w:right="160"/>
        <w:spacing w:after="0" w:line="248" w:lineRule="auto"/>
        <w:rPr>
          <w:sz w:val="20"/>
          <w:szCs w:val="20"/>
          <w:color w:val="auto"/>
        </w:rPr>
      </w:pPr>
      <w:r>
        <w:rPr>
          <w:rFonts w:ascii="Arial" w:cs="Arial" w:eastAsia="Arial" w:hAnsi="Arial"/>
          <w:sz w:val="14"/>
          <w:szCs w:val="14"/>
          <w:color w:val="auto"/>
        </w:rPr>
        <w:t>To date, we have launched multiple products across these large addressable markets. We performed approximately 508,000 smNGS-based tests in the last 12 months ended June 30, 2025, with significant room to further grow test volume in both markets.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Prenatal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line="246" w:lineRule="auto"/>
        <w:rPr>
          <w:sz w:val="20"/>
          <w:szCs w:val="20"/>
          <w:color w:val="auto"/>
        </w:rPr>
      </w:pPr>
      <w:r>
        <w:rPr>
          <w:rFonts w:ascii="Arial" w:cs="Arial" w:eastAsia="Arial" w:hAnsi="Arial"/>
          <w:sz w:val="14"/>
          <w:szCs w:val="14"/>
          <w:color w:val="auto"/>
        </w:rPr>
        <w:t>Traditional prenatal screening focuses on assessing a fetus’ risk for larger chromosomal changes. However, many common and severe conditions are the result of much smaller genetic changes, in single base pairs. These recessively inherited conditions, including SCD, alpha thalassemia, beta-thalassemia, CF, and SMA, are collectively more common than aneuploidy conditions like Down syndrome. Yet these conditions cannot be directly tested with traditional NIPT since each condition requires the precise quantification of fetal cfDNA.</w:t>
      </w:r>
    </w:p>
    <w:p>
      <w:pPr>
        <w:spacing w:after="0" w:line="85" w:lineRule="exact"/>
        <w:rPr>
          <w:sz w:val="20"/>
          <w:szCs w:val="20"/>
          <w:color w:val="auto"/>
        </w:rPr>
      </w:pPr>
    </w:p>
    <w:p>
      <w:pPr>
        <w:ind w:left="180" w:right="180"/>
        <w:spacing w:after="0" w:line="254" w:lineRule="auto"/>
        <w:rPr>
          <w:sz w:val="20"/>
          <w:szCs w:val="20"/>
          <w:color w:val="auto"/>
        </w:rPr>
      </w:pPr>
      <w:r>
        <w:rPr>
          <w:rFonts w:ascii="Arial" w:cs="Arial" w:eastAsia="Arial" w:hAnsi="Arial"/>
          <w:sz w:val="14"/>
          <w:szCs w:val="14"/>
          <w:color w:val="auto"/>
        </w:rPr>
        <w:t>Given the technical challenges of directly assessing the fetal risk for these conditions, current medical guidelines recommend that every pregnant patient is offered carrier screening, with father screening then required if the mother is found to be a carrier. However, studies estimate that fewer than half of fathers complete the recommended screening due to barriers related to cost, availability, and willingness. As a result, approximately 58% of pregnancies affected by these recessive conditions are undetected by traditional screening workflows.</w:t>
      </w:r>
      <w:r>
        <w:rPr>
          <w:rFonts w:ascii="Arial" w:cs="Arial" w:eastAsia="Arial" w:hAnsi="Arial"/>
          <w:sz w:val="20"/>
          <w:szCs w:val="20"/>
          <w:color w:val="auto"/>
          <w:vertAlign w:val="superscript"/>
        </w:rPr>
        <w:t>16</w:t>
      </w:r>
    </w:p>
    <w:p>
      <w:pPr>
        <w:spacing w:after="0" w:line="1" w:lineRule="exact"/>
        <w:rPr>
          <w:sz w:val="20"/>
          <w:szCs w:val="20"/>
          <w:color w:val="auto"/>
        </w:rPr>
      </w:pPr>
    </w:p>
    <w:p>
      <w:pPr>
        <w:ind w:left="180" w:right="560"/>
        <w:spacing w:after="0" w:line="253" w:lineRule="auto"/>
        <w:rPr>
          <w:sz w:val="20"/>
          <w:szCs w:val="20"/>
          <w:color w:val="auto"/>
        </w:rPr>
      </w:pPr>
      <w:r>
        <w:rPr>
          <w:rFonts w:ascii="Arial" w:cs="Arial" w:eastAsia="Arial" w:hAnsi="Arial"/>
          <w:sz w:val="14"/>
          <w:szCs w:val="14"/>
          <w:color w:val="auto"/>
        </w:rPr>
        <w:t>Our UNITY Complete Fetal Risk Screen directly addressed these challenges and is the first test that uses cfDNA to provide precise fetal risk assessments for recessive conditions without requiring a paternal sample. In</w:t>
      </w:r>
    </w:p>
    <w:p>
      <w:pPr>
        <w:spacing w:after="0" w:line="116" w:lineRule="exact"/>
        <w:rPr>
          <w:sz w:val="20"/>
          <w:szCs w:val="20"/>
          <w:color w:val="auto"/>
        </w:rPr>
      </w:pPr>
    </w:p>
    <w:p>
      <w:pPr>
        <w:ind w:left="500" w:hanging="317"/>
        <w:spacing w:after="0" w:line="218" w:lineRule="auto"/>
        <w:tabs>
          <w:tab w:leader="none" w:pos="50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Each of our genetic tests is an LDT. The FDA had historically taken the position that it had the authority to regulate LDTs as medical devices under the Federal Food, Drug, and Cosmetic Act but exercised enforcement discretion until it recently rescinded LDT regulations indicating that it does not have the authority to require clearance, de novo classification, or approval of LDTs prior to market release. As a result, our molecular diagnostic products are not currently subject to FDA approval requirements. While LDTs do not require FDA approval currently, they may be subject to state regulatory requirements. For example, many of our LDTs are approved by the New York’s Clinical Laboratory Evaluation Program (CLEP), which reviews LDTs for accuracy. See “Risk Factors—Risks related to legal and regulatory matters—Our tests are currently marketed as LDTs, and future changes in FDA enforcement of LDTs could subject our operations to much more significant regulatory requirements.” See also “Business—Government regulations—New York laboratory licensing.”</w:t>
      </w:r>
    </w:p>
    <w:p>
      <w:pPr>
        <w:spacing w:after="0" w:line="2" w:lineRule="exact"/>
        <w:rPr>
          <w:rFonts w:ascii="Arial" w:cs="Arial" w:eastAsia="Arial" w:hAnsi="Arial"/>
          <w:sz w:val="16"/>
          <w:szCs w:val="16"/>
          <w:color w:val="auto"/>
          <w:vertAlign w:val="superscript"/>
        </w:rPr>
      </w:pPr>
    </w:p>
    <w:p>
      <w:pPr>
        <w:ind w:left="500" w:right="20" w:hanging="317"/>
        <w:spacing w:after="0" w:line="185" w:lineRule="auto"/>
        <w:tabs>
          <w:tab w:leader="none" w:pos="50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While we have not yet started development in this area, the research work for MRD and our Select and Response tests is a necessary precusor to early detection development. We also believe that there is significant potential for our smNGS platform to accommodate products in this area. We believe the molecular information provided by our tests can assist in predicting the diagnostic pathway that can confirm the presence and tissue of origin of cancer.</w:t>
      </w:r>
    </w:p>
    <w:p>
      <w:pPr>
        <w:ind w:left="500" w:right="500" w:hanging="317"/>
        <w:spacing w:after="0" w:line="194" w:lineRule="auto"/>
        <w:tabs>
          <w:tab w:leader="none" w:pos="50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Riku, S., Herman, M., et al. (2022). Reflex single-gene non-invasive prenatal testing is associated with markedly better detection of fetuses affected with single-gene recessive disorders at lower cost. Journal of Medical Economics.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80"/>
          </w:cols>
          <w:pgMar w:left="300" w:top="38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4463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44634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660"/>
        <w:spacing w:after="0" w:line="292" w:lineRule="auto"/>
        <w:rPr>
          <w:sz w:val="20"/>
          <w:szCs w:val="20"/>
          <w:color w:val="auto"/>
        </w:rPr>
      </w:pPr>
      <w:r>
        <w:rPr>
          <w:rFonts w:ascii="Arial" w:cs="Arial" w:eastAsia="Arial" w:hAnsi="Arial"/>
          <w:sz w:val="14"/>
          <w:szCs w:val="14"/>
          <w:color w:val="auto"/>
        </w:rPr>
        <w:t>addition, it reports fetal aneuploidy and 22q11.2 microdeletion, enabling complete genetic insights from a single maternal blood draw. We estimate the prenatal market represents an annual opportunity of over $2.5 billion in the United States.</w:t>
      </w:r>
      <w:r>
        <w:rPr>
          <w:rFonts w:ascii="Arial" w:cs="Arial" w:eastAsia="Arial" w:hAnsi="Arial"/>
          <w:sz w:val="20"/>
          <w:szCs w:val="20"/>
          <w:color w:val="auto"/>
          <w:vertAlign w:val="superscript"/>
        </w:rPr>
        <w:t>17</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Oncology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80" w:right="320"/>
        <w:spacing w:after="0" w:line="252" w:lineRule="auto"/>
        <w:rPr>
          <w:sz w:val="20"/>
          <w:szCs w:val="20"/>
          <w:color w:val="auto"/>
        </w:rPr>
      </w:pPr>
      <w:r>
        <w:rPr>
          <w:rFonts w:ascii="Arial" w:cs="Arial" w:eastAsia="Arial" w:hAnsi="Arial"/>
          <w:sz w:val="14"/>
          <w:szCs w:val="14"/>
          <w:color w:val="auto"/>
        </w:rPr>
        <w:t>Non-invasive liquid biopsy tests are a rapidly growing approach to detect and measure tumor DNA, driven by the increasing focus on molecular-targeted cancer treatments. However, current imaging and conventional liquid biopsy approaches present critical shortcomings, including missed actionable mutations and delays in detecting treatment response and progression.</w:t>
      </w:r>
    </w:p>
    <w:p>
      <w:pPr>
        <w:spacing w:after="0" w:line="80" w:lineRule="exact"/>
        <w:rPr>
          <w:sz w:val="20"/>
          <w:szCs w:val="20"/>
          <w:color w:val="auto"/>
        </w:rPr>
      </w:pPr>
    </w:p>
    <w:p>
      <w:pPr>
        <w:ind w:left="180"/>
        <w:spacing w:after="0" w:line="230" w:lineRule="auto"/>
        <w:rPr>
          <w:sz w:val="20"/>
          <w:szCs w:val="20"/>
          <w:color w:val="auto"/>
        </w:rPr>
      </w:pPr>
      <w:r>
        <w:rPr>
          <w:rFonts w:ascii="Arial" w:cs="Arial" w:eastAsia="Arial" w:hAnsi="Arial"/>
          <w:sz w:val="14"/>
          <w:szCs w:val="14"/>
          <w:color w:val="auto"/>
        </w:rPr>
        <w:t>In 2023, we entered the oncology market with two complementary products that leverage our smNGS platform to address these unmet needs. Northstar Select, our ultrasensitive liquid biopsy test, provides insights into appropriate therapies for stage III or IV cancer patients. In a head-to-head study presented at the American Society of Clinical Oncology (ASCO) annual meeting in 2024, our test demonstrated superior performance by detecting 51% more pathogenic and actionable SNVs and 109% more CNVs than conventional liquid biopsies.</w:t>
      </w:r>
      <w:r>
        <w:rPr>
          <w:rFonts w:ascii="Arial" w:cs="Arial" w:eastAsia="Arial" w:hAnsi="Arial"/>
          <w:sz w:val="20"/>
          <w:szCs w:val="20"/>
          <w:color w:val="auto"/>
          <w:vertAlign w:val="superscript"/>
        </w:rPr>
        <w:t>18</w:t>
      </w:r>
      <w:r>
        <w:rPr>
          <w:rFonts w:ascii="Arial" w:cs="Arial" w:eastAsia="Arial" w:hAnsi="Arial"/>
          <w:sz w:val="14"/>
          <w:szCs w:val="14"/>
          <w:color w:val="auto"/>
        </w:rPr>
        <w:t xml:space="preserve"> Northstar Select targets the therapy selection cancer diagnostics market, which we estimate is an annual United States market opportunity of over $6 billion.</w:t>
      </w:r>
      <w:r>
        <w:rPr>
          <w:rFonts w:ascii="Arial" w:cs="Arial" w:eastAsia="Arial" w:hAnsi="Arial"/>
          <w:sz w:val="20"/>
          <w:szCs w:val="20"/>
          <w:color w:val="auto"/>
          <w:vertAlign w:val="superscript"/>
        </w:rPr>
        <w:t>19</w:t>
      </w:r>
    </w:p>
    <w:p>
      <w:pPr>
        <w:spacing w:after="0" w:line="2" w:lineRule="exact"/>
        <w:rPr>
          <w:sz w:val="20"/>
          <w:szCs w:val="20"/>
          <w:color w:val="auto"/>
        </w:rPr>
      </w:pPr>
    </w:p>
    <w:p>
      <w:pPr>
        <w:ind w:left="180" w:right="20"/>
        <w:spacing w:after="0" w:line="249" w:lineRule="auto"/>
        <w:rPr>
          <w:sz w:val="20"/>
          <w:szCs w:val="20"/>
          <w:color w:val="auto"/>
        </w:rPr>
      </w:pPr>
      <w:r>
        <w:rPr>
          <w:rFonts w:ascii="Arial" w:cs="Arial" w:eastAsia="Arial" w:hAnsi="Arial"/>
          <w:sz w:val="14"/>
          <w:szCs w:val="14"/>
          <w:color w:val="auto"/>
        </w:rPr>
        <w:t>We simultaneously launched Northstar Response, the only tissue-free, pan-cancer, smNGS-based liquid biopsy test that precisely measures thousands of genomic loci uniquely methylated in cancer to provide insight into dynamic changes in therapy response. Validation studies showed Northstar Response’s consistent ability to detect changes in tumor fraction across more than 10 different cancer types, in some cases as much as six months earlier than indicated by imaging scans. Northstar Response targets the cancer therapy response diagnostics market, which we estimate is an annual United States market opportunity of over $15 billion.</w:t>
      </w:r>
      <w:r>
        <w:rPr>
          <w:rFonts w:ascii="Arial" w:cs="Arial" w:eastAsia="Arial" w:hAnsi="Arial"/>
          <w:sz w:val="20"/>
          <w:szCs w:val="20"/>
          <w:color w:val="auto"/>
          <w:vertAlign w:val="superscript"/>
        </w:rPr>
        <w:t>19</w:t>
      </w:r>
    </w:p>
    <w:p>
      <w:pPr>
        <w:spacing w:after="0" w:line="2" w:lineRule="exact"/>
        <w:rPr>
          <w:sz w:val="20"/>
          <w:szCs w:val="20"/>
          <w:color w:val="auto"/>
        </w:rPr>
      </w:pPr>
    </w:p>
    <w:p>
      <w:pPr>
        <w:ind w:left="180" w:right="400"/>
        <w:spacing w:after="0" w:line="253" w:lineRule="auto"/>
        <w:rPr>
          <w:sz w:val="20"/>
          <w:szCs w:val="20"/>
          <w:color w:val="auto"/>
        </w:rPr>
      </w:pPr>
      <w:r>
        <w:rPr>
          <w:rFonts w:ascii="Arial" w:cs="Arial" w:eastAsia="Arial" w:hAnsi="Arial"/>
          <w:sz w:val="14"/>
          <w:szCs w:val="14"/>
          <w:color w:val="auto"/>
        </w:rPr>
        <w:t>The clinical value of our oncology portfolio is validated by physician adoption. More than 95% of oncologists who order our tests utilize both Northstar Select and Northstar Response in tandem, highlighting their complementarity in guiding cancer care.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Additional opportunities in oncology</w:t>
      </w:r>
    </w:p>
    <w:p>
      <w:pPr>
        <w:spacing w:after="0" w:line="110" w:lineRule="exact"/>
        <w:rPr>
          <w:sz w:val="20"/>
          <w:szCs w:val="20"/>
          <w:color w:val="auto"/>
        </w:rPr>
      </w:pPr>
    </w:p>
    <w:p>
      <w:pPr>
        <w:ind w:left="180" w:right="60"/>
        <w:spacing w:after="0" w:line="269" w:lineRule="auto"/>
        <w:rPr>
          <w:sz w:val="20"/>
          <w:szCs w:val="20"/>
          <w:color w:val="auto"/>
        </w:rPr>
      </w:pPr>
      <w:r>
        <w:rPr>
          <w:rFonts w:ascii="Arial" w:cs="Arial" w:eastAsia="Arial" w:hAnsi="Arial"/>
          <w:sz w:val="14"/>
          <w:szCs w:val="14"/>
          <w:color w:val="auto"/>
        </w:rPr>
        <w:t>We are actively developing additional diagnostic products to address critical needs across the cancer care continuum. Our current development efforts focus on MRD detection, leveraging our platform’s exceptional</w:t>
      </w:r>
    </w:p>
    <w:p>
      <w:pPr>
        <w:spacing w:after="0" w:line="105" w:lineRule="exact"/>
        <w:rPr>
          <w:sz w:val="20"/>
          <w:szCs w:val="20"/>
          <w:color w:val="auto"/>
        </w:rPr>
      </w:pPr>
    </w:p>
    <w:p>
      <w:pPr>
        <w:ind w:left="500" w:right="140" w:hanging="317"/>
        <w:spacing w:after="0" w:line="193" w:lineRule="auto"/>
        <w:tabs>
          <w:tab w:leader="none" w:pos="50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ind w:left="500" w:right="320" w:hanging="317"/>
        <w:spacing w:after="0" w:line="185" w:lineRule="auto"/>
        <w:tabs>
          <w:tab w:leader="none" w:pos="50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ind w:left="500" w:right="140" w:hanging="317"/>
        <w:spacing w:after="0" w:line="194" w:lineRule="auto"/>
        <w:tabs>
          <w:tab w:leader="none" w:pos="50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00"/>
          </w:cols>
          <w:pgMar w:left="300" w:top="38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590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35909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40"/>
        <w:spacing w:after="0" w:line="220" w:lineRule="auto"/>
        <w:rPr>
          <w:sz w:val="20"/>
          <w:szCs w:val="20"/>
          <w:color w:val="auto"/>
        </w:rPr>
      </w:pPr>
      <w:r>
        <w:rPr>
          <w:rFonts w:ascii="Arial" w:cs="Arial" w:eastAsia="Arial" w:hAnsi="Arial"/>
          <w:sz w:val="14"/>
          <w:szCs w:val="14"/>
          <w:color w:val="auto"/>
        </w:rPr>
        <w:t>sensitivity to identify trace amounts of tumor DNA following curative-intent surgery in earlier stage cancers. We are developing a tissue-free, pan-cancer MRD test, which we expect to be commercially available in 2026. We estimate the annual United States market opportunity for MRD to be over $30 billion.</w:t>
      </w:r>
      <w:r>
        <w:rPr>
          <w:rFonts w:ascii="Arial" w:cs="Arial" w:eastAsia="Arial" w:hAnsi="Arial"/>
          <w:sz w:val="20"/>
          <w:szCs w:val="20"/>
          <w:color w:val="auto"/>
          <w:vertAlign w:val="superscript"/>
        </w:rPr>
        <w:t>19</w:t>
      </w:r>
      <w:r>
        <w:rPr>
          <w:rFonts w:ascii="Arial" w:cs="Arial" w:eastAsia="Arial" w:hAnsi="Arial"/>
          <w:sz w:val="14"/>
          <w:szCs w:val="14"/>
          <w:color w:val="auto"/>
        </w:rPr>
        <w:t xml:space="preserve"> Longer term, we believe that our smNGS-based technology could address the sensitivity challenges of early-stage cancer detection. While we have not yet started development in this area, the research work that we have done for Northstar Response and MRD is a necessary precursor for early detection development. In particular, we believe that a sensitive tissue-free MRD test, which we have already de-risked by the recent launch of an ultra-sensitive response monitoring assay (Northstar Response v2), which can detect tumor DNA in blood down to a limit of detection (LOD) of 0.01%, can be technically equivalent to an early detection test for cancer.</w:t>
      </w:r>
      <w:r>
        <w:rPr>
          <w:rFonts w:ascii="Arial" w:cs="Arial" w:eastAsia="Arial" w:hAnsi="Arial"/>
          <w:sz w:val="20"/>
          <w:szCs w:val="20"/>
          <w:color w:val="auto"/>
          <w:vertAlign w:val="superscript"/>
        </w:rPr>
        <w:t>20</w:t>
      </w:r>
      <w:r>
        <w:rPr>
          <w:rFonts w:ascii="Arial" w:cs="Arial" w:eastAsia="Arial" w:hAnsi="Arial"/>
          <w:sz w:val="14"/>
          <w:szCs w:val="14"/>
          <w:color w:val="auto"/>
        </w:rPr>
        <w:t xml:space="preserve"> We estimate the annual United States market opportunity for early detection to be over $50 billion.</w:t>
      </w:r>
      <w:r>
        <w:rPr>
          <w:rFonts w:ascii="Arial" w:cs="Arial" w:eastAsia="Arial" w:hAnsi="Arial"/>
          <w:sz w:val="20"/>
          <w:szCs w:val="20"/>
          <w:color w:val="auto"/>
          <w:vertAlign w:val="superscript"/>
        </w:rPr>
        <w:t>21</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vision of powering AI-enabled personalized medicine for all</w:t>
      </w:r>
    </w:p>
    <w:p>
      <w:pPr>
        <w:spacing w:after="0" w:line="115" w:lineRule="exact"/>
        <w:rPr>
          <w:sz w:val="20"/>
          <w:szCs w:val="20"/>
          <w:color w:val="auto"/>
        </w:rPr>
      </w:pPr>
    </w:p>
    <w:p>
      <w:pPr>
        <w:ind w:left="180" w:right="100"/>
        <w:spacing w:after="0"/>
        <w:rPr>
          <w:sz w:val="20"/>
          <w:szCs w:val="20"/>
          <w:color w:val="auto"/>
        </w:rPr>
      </w:pPr>
      <w:r>
        <w:rPr>
          <w:rFonts w:ascii="Arial" w:cs="Arial" w:eastAsia="Arial" w:hAnsi="Arial"/>
          <w:sz w:val="14"/>
          <w:szCs w:val="14"/>
          <w:color w:val="auto"/>
        </w:rPr>
        <w:t>Healthcare today stands at an inflection point, poised for transformation through the convergence of unprecedented molecular insights and artificial intelligence (AI). Despite significant advances in precision medicine, particularly in oncology where treatments have evolved from being organ-based to increasingly being mutation-based, response rates for many marketed targeted therapies can be as low as single-digit percentages in their indicated patient populations. Similarly, pregnancy care follows one-size-fits-all standardized protocols despite unique patient biology. Even with broader technological advances, clinicians still cannot reliably predict or prevent major complications like preterm birth, preeclampsia, and gestational diabetes. This sobering reality underscores a fundamental challenge: many current approaches to precision medicine often rely on single biomarkers that fail to capture the full complexity of disease biology and individual patient variation. We believe that these important problems can be addressed in the future with the combination of AI and smNGS technology.</w:t>
      </w:r>
    </w:p>
    <w:p>
      <w:pPr>
        <w:spacing w:after="0" w:line="80" w:lineRule="exact"/>
        <w:rPr>
          <w:sz w:val="20"/>
          <w:szCs w:val="20"/>
          <w:color w:val="auto"/>
        </w:rPr>
      </w:pPr>
    </w:p>
    <w:p>
      <w:pPr>
        <w:ind w:left="180" w:right="300"/>
        <w:spacing w:after="0" w:line="245" w:lineRule="auto"/>
        <w:rPr>
          <w:sz w:val="20"/>
          <w:szCs w:val="20"/>
          <w:color w:val="auto"/>
        </w:rPr>
      </w:pPr>
      <w:r>
        <w:rPr>
          <w:rFonts w:ascii="Arial" w:cs="Arial" w:eastAsia="Arial" w:hAnsi="Arial"/>
          <w:sz w:val="14"/>
          <w:szCs w:val="14"/>
          <w:color w:val="auto"/>
        </w:rPr>
        <w:t>We believe AI-enabled personalized medicine can revolutionize healthcare delivery across all specialties. Truly personalized medicine requires the (i) characterization of the disease specific to each patient beyond the presence of the single mutation marker to quantification of disease biology of individuals at the single-molecule level, and</w:t>
      </w:r>
    </w:p>
    <w:p>
      <w:pPr>
        <w:ind w:left="180" w:right="220" w:firstLine="3"/>
        <w:spacing w:after="0" w:line="248" w:lineRule="auto"/>
        <w:tabs>
          <w:tab w:leader="none" w:pos="37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integration of this characterization with multi-modal clinical history, powered by AI. We have already built products for this characterization, and we are starting to integrate our diagnostics with this multi-modal clinical history.</w:t>
      </w:r>
    </w:p>
    <w:p>
      <w:pPr>
        <w:spacing w:after="0" w:line="83" w:lineRule="exact"/>
        <w:rPr>
          <w:sz w:val="20"/>
          <w:szCs w:val="20"/>
          <w:color w:val="auto"/>
        </w:rPr>
      </w:pPr>
    </w:p>
    <w:p>
      <w:pPr>
        <w:ind w:left="180"/>
        <w:spacing w:after="0" w:line="262" w:lineRule="auto"/>
        <w:rPr>
          <w:sz w:val="20"/>
          <w:szCs w:val="20"/>
          <w:color w:val="auto"/>
        </w:rPr>
      </w:pPr>
      <w:r>
        <w:rPr>
          <w:rFonts w:ascii="Arial" w:cs="Arial" w:eastAsia="Arial" w:hAnsi="Arial"/>
          <w:sz w:val="13"/>
          <w:szCs w:val="13"/>
          <w:color w:val="auto"/>
        </w:rPr>
        <w:t>Our approach to building AI-enabled precision medicine will begin with our ability to generate extraordinarily precise molecular data. As we continue to generate unique data via our smNGS platform, we are building a differentiated and clinically actionable genomics dataset. Our advantage stems from two key factors: first, our biomarker measurements achieve single-molecule precision and sensitivity, capturing the key disease-causing molecular signatures in cfDNA; and second, our response monitoring assay provides an objective measurement of how a patient is responding to a therapy. AI has recently unlocked widespread access to and analysis of multimodal patient clinical history data. This powerful combination positions us to harness AI for identifying distinct patient subgroups based on their specific biomarker profiles and for predicting how each subgroup will respond to different therapeutic approaches. By mapping these response patterns with extraordinary granularity, we believe we will be able to deliver personalized treatment recommendations based on each person’s unique biology that maximize efficacy while minimizing adverse effects — moving precision medicine from aspiration to clinical reality.</w:t>
      </w:r>
    </w:p>
    <w:p>
      <w:pPr>
        <w:spacing w:after="0" w:line="110" w:lineRule="exact"/>
        <w:rPr>
          <w:sz w:val="20"/>
          <w:szCs w:val="20"/>
          <w:color w:val="auto"/>
        </w:rPr>
      </w:pPr>
    </w:p>
    <w:p>
      <w:pPr>
        <w:ind w:left="500" w:right="20" w:hanging="317"/>
        <w:spacing w:after="0" w:line="193" w:lineRule="auto"/>
        <w:tabs>
          <w:tab w:leader="none" w:pos="500" w:val="left"/>
        </w:tabs>
        <w:numPr>
          <w:ilvl w:val="0"/>
          <w:numId w:val="17"/>
        </w:numPr>
        <w:rPr>
          <w:rFonts w:ascii="Arial" w:cs="Arial" w:eastAsia="Arial" w:hAnsi="Arial"/>
          <w:sz w:val="16"/>
          <w:szCs w:val="16"/>
          <w:color w:val="auto"/>
          <w:vertAlign w:val="superscript"/>
        </w:rPr>
      </w:pPr>
      <w:r>
        <w:rPr>
          <w:rFonts w:ascii="Arial" w:cs="Arial" w:eastAsia="Arial" w:hAnsi="Arial"/>
          <w:sz w:val="10"/>
          <w:szCs w:val="10"/>
          <w:color w:val="auto"/>
        </w:rPr>
        <w:t>Both MRD and early-detection assays are designed to detect minute amounts of cancer DNA in blood (e.g., at levels of 0.01% or even lower). Given the trade off between specificity and sensitivity (LOD), this higher specificity can be, in principle, achieved by changing the calling threshold. As a part of our five-year strategic plan, we have included the necessary R&amp;D funding for development of an early detection test that builds upon our earlier work.</w:t>
      </w:r>
    </w:p>
    <w:p>
      <w:pPr>
        <w:ind w:left="500" w:right="140" w:hanging="317"/>
        <w:spacing w:after="0" w:line="194" w:lineRule="auto"/>
        <w:tabs>
          <w:tab w:leader="none" w:pos="500" w:val="left"/>
        </w:tabs>
        <w:numPr>
          <w:ilvl w:val="0"/>
          <w:numId w:val="17"/>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00"/>
          </w:cols>
          <w:pgMar w:left="300" w:top="38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896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38969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spacing w:after="0" w:line="252" w:lineRule="auto"/>
        <w:rPr>
          <w:sz w:val="20"/>
          <w:szCs w:val="20"/>
          <w:color w:val="auto"/>
        </w:rPr>
      </w:pPr>
      <w:r>
        <w:rPr>
          <w:rFonts w:ascii="Arial" w:cs="Arial" w:eastAsia="Arial" w:hAnsi="Arial"/>
          <w:sz w:val="14"/>
          <w:szCs w:val="14"/>
          <w:color w:val="auto"/>
        </w:rPr>
        <w:t>While our AI-enabled vision represents the future of our platform, our commercial success today demonstrates the fundamental value of our existing products. Our existing products in prenatal and oncology have already demonstrated strong growth from zero to $266.3 million annualized revenue run-rate (ARR) in five years as of June 30, 2025. As we expand into new and larger markets, we believe that our foundational smNGS platform will position us to become a generational healthcare company.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growth strategy</w:t>
      </w:r>
    </w:p>
    <w:p>
      <w:pPr>
        <w:spacing w:after="0" w:line="115" w:lineRule="exact"/>
        <w:rPr>
          <w:sz w:val="20"/>
          <w:szCs w:val="20"/>
          <w:color w:val="auto"/>
        </w:rPr>
      </w:pPr>
    </w:p>
    <w:p>
      <w:pPr>
        <w:ind w:left="180" w:right="400"/>
        <w:spacing w:after="0" w:line="269" w:lineRule="auto"/>
        <w:rPr>
          <w:sz w:val="20"/>
          <w:szCs w:val="20"/>
          <w:color w:val="auto"/>
        </w:rPr>
      </w:pPr>
      <w:r>
        <w:rPr>
          <w:rFonts w:ascii="Arial" w:cs="Arial" w:eastAsia="Arial" w:hAnsi="Arial"/>
          <w:sz w:val="14"/>
          <w:szCs w:val="14"/>
          <w:color w:val="auto"/>
        </w:rPr>
        <w:t>We are driving and leading a paradigm shift within precision diagnostics. Our vision is to leverage our novel smNGS platform to develop ultrasensitive diagnostic tests that enable personalized solutions and enhance patient outcomes. Our growth strategy to achieve this goal includes the following elements:</w:t>
      </w:r>
    </w:p>
    <w:p>
      <w:pPr>
        <w:spacing w:after="0" w:line="69" w:lineRule="exact"/>
        <w:rPr>
          <w:sz w:val="20"/>
          <w:szCs w:val="20"/>
          <w:color w:val="auto"/>
        </w:rPr>
      </w:pPr>
    </w:p>
    <w:p>
      <w:pPr>
        <w:ind w:left="400" w:hanging="21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Drive increased adoption of our existing products in the prenatal and oncology markets</w:t>
      </w:r>
      <w:r>
        <w:rPr>
          <w:rFonts w:ascii="Arial" w:cs="Arial" w:eastAsia="Arial" w:hAnsi="Arial"/>
          <w:sz w:val="14"/>
          <w:szCs w:val="14"/>
          <w:i w:val="1"/>
          <w:iCs w:val="1"/>
          <w:color w:val="auto"/>
        </w:rPr>
        <w:t>.</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Build beyond our extensive library of clinical evidence to support favorable coverage and reimbursement.</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Utilize our smNGS platform and R&amp;D capabilities to efficiently expand and improve our portfolio of category-defining molecular diagnostic tests.</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Continue to deploy AI across our entire organization, including laboratory operations, to improve efficiency and productivity.</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Leverage our growing clinical dataset with AI to improve the utility of diagnostics and enable personalized medicine.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Recent developments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Preliminary unaudited operating results</w:t>
      </w:r>
    </w:p>
    <w:p>
      <w:pPr>
        <w:spacing w:after="0" w:line="103" w:lineRule="exact"/>
        <w:rPr>
          <w:sz w:val="20"/>
          <w:szCs w:val="20"/>
          <w:color w:val="auto"/>
        </w:rPr>
      </w:pPr>
    </w:p>
    <w:p>
      <w:pPr>
        <w:ind w:left="180" w:right="220"/>
        <w:spacing w:after="0" w:line="246" w:lineRule="auto"/>
        <w:rPr>
          <w:sz w:val="20"/>
          <w:szCs w:val="20"/>
          <w:color w:val="auto"/>
        </w:rPr>
      </w:pPr>
      <w:r>
        <w:rPr>
          <w:rFonts w:ascii="Arial" w:cs="Arial" w:eastAsia="Arial" w:hAnsi="Arial"/>
          <w:sz w:val="14"/>
          <w:szCs w:val="14"/>
          <w:color w:val="auto"/>
        </w:rPr>
        <w:t>We are in the process of finalizing our operating results as of and for the three months ended September 30, 2025. We have presented below certain preliminary operating results representing our estimates for the three months ended September 30, 2025. Actual results remain subject to the completion of our financial close processes. These preliminary estimates are based on currently available information and do not present all information necessary for an understanding of our operating results as of and for the three months ended September 30, 2025.</w:t>
      </w:r>
    </w:p>
    <w:p>
      <w:pPr>
        <w:spacing w:after="0" w:line="85" w:lineRule="exact"/>
        <w:rPr>
          <w:sz w:val="20"/>
          <w:szCs w:val="20"/>
          <w:color w:val="auto"/>
        </w:rPr>
      </w:pPr>
    </w:p>
    <w:p>
      <w:pPr>
        <w:jc w:val="both"/>
        <w:ind w:left="180" w:right="100"/>
        <w:spacing w:after="0" w:line="252" w:lineRule="auto"/>
        <w:rPr>
          <w:sz w:val="20"/>
          <w:szCs w:val="20"/>
          <w:color w:val="auto"/>
        </w:rPr>
      </w:pPr>
      <w:r>
        <w:rPr>
          <w:rFonts w:ascii="Arial" w:cs="Arial" w:eastAsia="Arial" w:hAnsi="Arial"/>
          <w:sz w:val="14"/>
          <w:szCs w:val="14"/>
          <w:color w:val="auto"/>
        </w:rPr>
        <w:t>The preliminary estimates included in this prospectus have been prepared by and are the responsibility of our management. Our independent registered public accounting firm has not audited, reviewed, examined, compiled, nor applied agreed-upon procedures with respect to the preliminary estimates included below and does not express an opinion or any other form of assurance with respect thereto.</w:t>
      </w:r>
    </w:p>
    <w:p>
      <w:pPr>
        <w:spacing w:after="0" w:line="80" w:lineRule="exact"/>
        <w:rPr>
          <w:sz w:val="20"/>
          <w:szCs w:val="20"/>
          <w:color w:val="auto"/>
        </w:rPr>
      </w:pPr>
    </w:p>
    <w:p>
      <w:pPr>
        <w:ind w:left="180" w:right="240"/>
        <w:spacing w:after="0" w:line="241" w:lineRule="auto"/>
        <w:rPr>
          <w:sz w:val="20"/>
          <w:szCs w:val="20"/>
          <w:color w:val="auto"/>
        </w:rPr>
      </w:pPr>
      <w:r>
        <w:rPr>
          <w:rFonts w:ascii="Arial" w:cs="Arial" w:eastAsia="Arial" w:hAnsi="Arial"/>
          <w:sz w:val="14"/>
          <w:szCs w:val="14"/>
          <w:color w:val="auto"/>
        </w:rPr>
        <w:t>We expect to complete the preparation of our interim consolidated financial statements as of and for the three months ended September 30, 2025 following the completion of this offering. Although we are currently unaware of any items that would require us to make adjustments to the information set forth below, it is possible that we or our independent registered public accounting firm may identify such items as we complete the preparation of our interim consolidated financial statements and any resulting changes could be material. Factors that could cause the preliminary information to differ include, but are not limited to: additional adjustments arising from discovery of new information that affects accounting estimates; management judgment; or impacts of valuation methodologies underlying these estimated results. Accordingly, undue reliance should not be placed on these preliminary estimates. There can be no assurance that the range of our preliminary estimates of revenue, gross</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00"/>
          </w:cols>
          <w:pgMar w:left="300" w:top="38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4310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43103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240"/>
        <w:spacing w:after="0" w:line="252" w:lineRule="auto"/>
        <w:rPr>
          <w:sz w:val="20"/>
          <w:szCs w:val="20"/>
          <w:color w:val="auto"/>
        </w:rPr>
      </w:pPr>
      <w:r>
        <w:rPr>
          <w:rFonts w:ascii="Arial" w:cs="Arial" w:eastAsia="Arial" w:hAnsi="Arial"/>
          <w:sz w:val="14"/>
          <w:szCs w:val="14"/>
          <w:color w:val="auto"/>
        </w:rPr>
        <w:t>profit and income (loss) from operations for the three months ended September 30, 2025, are indicative of what our results will be for the three months ended September 30, 2025, or for any future period. These preliminary estimates should be read together with the sections titled “Risk factors” and “Special note regarding forward-looking statements,” and our historical financial statements and related notes included elsewhere in this prospectus.</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10"/>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Borders>
              <w:top w:val="single" w:sz="8" w:color="auto"/>
            </w:tcBorders>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Low</w:t>
            </w:r>
          </w:p>
        </w:tc>
        <w:tc>
          <w:tcPr>
            <w:tcW w:w="7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Selected statement of operations data:</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(estimated)</w:t>
            </w:r>
          </w:p>
        </w:tc>
        <w:tc>
          <w:tcPr>
            <w:tcW w:w="11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2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auto"/>
              </w:rPr>
              <w:t>(in thousands)</w:t>
            </w: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4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72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Prenatal revenue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right"/>
              <w:ind w:right="240"/>
              <w:spacing w:after="0" w:line="157" w:lineRule="exact"/>
              <w:rPr>
                <w:sz w:val="20"/>
                <w:szCs w:val="20"/>
                <w:color w:val="auto"/>
              </w:rPr>
            </w:pPr>
            <w:r>
              <w:rPr>
                <w:rFonts w:ascii="Arial" w:cs="Arial" w:eastAsia="Arial" w:hAnsi="Arial"/>
                <w:sz w:val="14"/>
                <w:szCs w:val="14"/>
                <w:color w:val="auto"/>
              </w:rPr>
              <w:t>$ 36,600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ind w:left="20"/>
              <w:spacing w:after="0" w:line="157" w:lineRule="exact"/>
              <w:rPr>
                <w:sz w:val="20"/>
                <w:szCs w:val="20"/>
                <w:color w:val="auto"/>
              </w:rPr>
            </w:pPr>
            <w:r>
              <w:rPr>
                <w:rFonts w:ascii="Arial" w:cs="Arial" w:eastAsia="Arial" w:hAnsi="Arial"/>
                <w:sz w:val="14"/>
                <w:szCs w:val="14"/>
                <w:color w:val="auto"/>
              </w:rPr>
              <w:t xml:space="preserve">$    </w:t>
            </w:r>
          </w:p>
        </w:tc>
        <w:tc>
          <w:tcPr>
            <w:tcW w:w="140" w:type="dxa"/>
            <w:vAlign w:val="bottom"/>
          </w:tcPr>
          <w:p>
            <w:pPr>
              <w:jc w:val="center"/>
              <w:ind w:right="17"/>
              <w:spacing w:after="0"/>
              <w:rPr>
                <w:sz w:val="20"/>
                <w:szCs w:val="20"/>
                <w:color w:val="auto"/>
              </w:rPr>
            </w:pPr>
            <w:r>
              <w:rPr>
                <w:rFonts w:ascii="Arial" w:cs="Arial" w:eastAsia="Arial" w:hAnsi="Arial"/>
                <w:sz w:val="5"/>
                <w:szCs w:val="5"/>
                <w:color w:val="auto"/>
                <w:w w:val="79"/>
              </w:rPr>
              <w:t> </w:t>
            </w:r>
          </w:p>
        </w:tc>
        <w:tc>
          <w:tcPr>
            <w:tcW w:w="4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 xml:space="preserve">$    </w:t>
            </w:r>
          </w:p>
        </w:tc>
        <w:tc>
          <w:tcPr>
            <w:tcW w:w="140" w:type="dxa"/>
            <w:vAlign w:val="bottom"/>
          </w:tcPr>
          <w:p>
            <w:pPr>
              <w:ind w:left="40"/>
              <w:spacing w:after="0"/>
              <w:rPr>
                <w:sz w:val="20"/>
                <w:szCs w:val="20"/>
                <w:color w:val="auto"/>
              </w:rPr>
            </w:pPr>
            <w:r>
              <w:rPr>
                <w:rFonts w:ascii="Arial" w:cs="Arial" w:eastAsia="Arial" w:hAnsi="Arial"/>
                <w:sz w:val="10"/>
                <w:szCs w:val="10"/>
                <w:color w:val="auto"/>
                <w:w w:val="79"/>
              </w:rPr>
              <w:t> </w:t>
            </w:r>
          </w:p>
        </w:tc>
        <w:tc>
          <w:tcPr>
            <w:tcW w:w="2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E5E5E5"/>
          </w:tcPr>
          <w:p>
            <w:pPr>
              <w:ind w:left="280"/>
              <w:spacing w:after="0" w:line="157" w:lineRule="exact"/>
              <w:rPr>
                <w:sz w:val="20"/>
                <w:szCs w:val="20"/>
                <w:color w:val="auto"/>
              </w:rPr>
            </w:pPr>
            <w:r>
              <w:rPr>
                <w:rFonts w:ascii="Arial" w:cs="Arial" w:eastAsia="Arial" w:hAnsi="Arial"/>
                <w:sz w:val="14"/>
                <w:szCs w:val="14"/>
                <w:color w:val="auto"/>
              </w:rPr>
              <w:t>Oncology revenue</w:t>
            </w:r>
          </w:p>
        </w:tc>
        <w:tc>
          <w:tcPr>
            <w:tcW w:w="1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4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2540" w:type="dxa"/>
            <w:vAlign w:val="bottom"/>
            <w:gridSpan w:val="4"/>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1,138</w:t>
            </w: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20" w:type="dxa"/>
            <w:vAlign w:val="bottom"/>
            <w:shd w:val="clear" w:color="auto" w:fill="E5E5E5"/>
          </w:tcPr>
          <w:p>
            <w:pPr>
              <w:ind w:left="340"/>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E5E5E5"/>
          </w:tcPr>
          <w:p>
            <w:pPr>
              <w:ind w:left="60"/>
              <w:spacing w:after="0"/>
              <w:rPr>
                <w:sz w:val="20"/>
                <w:szCs w:val="20"/>
                <w:color w:val="auto"/>
              </w:rPr>
            </w:pPr>
            <w:r>
              <w:rPr>
                <w:rFonts w:ascii="Arial" w:cs="Arial" w:eastAsia="Arial" w:hAnsi="Arial"/>
                <w:sz w:val="8"/>
                <w:szCs w:val="8"/>
                <w:color w:val="auto"/>
                <w:w w:val="74"/>
              </w:rPr>
              <w:t> </w:t>
            </w:r>
          </w:p>
        </w:tc>
        <w:tc>
          <w:tcPr>
            <w:tcW w:w="400" w:type="dxa"/>
            <w:vAlign w:val="bottom"/>
            <w:gridSpan w:val="2"/>
            <w:shd w:val="clear" w:color="auto" w:fill="E5E5E5"/>
          </w:tcPr>
          <w:p>
            <w:pPr>
              <w:ind w:left="60"/>
              <w:spacing w:after="0" w:line="157" w:lineRule="exact"/>
              <w:rPr>
                <w:sz w:val="20"/>
                <w:szCs w:val="20"/>
                <w:color w:val="auto"/>
              </w:rPr>
            </w:pPr>
            <w:r>
              <w:rPr>
                <w:rFonts w:ascii="Arial" w:cs="Arial" w:eastAsia="Arial" w:hAnsi="Arial"/>
                <w:sz w:val="14"/>
                <w:szCs w:val="14"/>
                <w:color w:val="auto"/>
              </w:rPr>
              <w:t> </w:t>
            </w:r>
          </w:p>
        </w:tc>
        <w:tc>
          <w:tcPr>
            <w:tcW w:w="7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 </w:t>
            </w:r>
          </w:p>
        </w:tc>
        <w:tc>
          <w:tcPr>
            <w:tcW w:w="140" w:type="dxa"/>
            <w:vAlign w:val="bottom"/>
            <w:shd w:val="clear" w:color="auto" w:fill="E5E5E5"/>
          </w:tcPr>
          <w:p>
            <w:pPr>
              <w:ind w:left="80"/>
              <w:spacing w:after="0"/>
              <w:rPr>
                <w:sz w:val="20"/>
                <w:szCs w:val="20"/>
                <w:color w:val="auto"/>
              </w:rPr>
            </w:pPr>
            <w:r>
              <w:rPr>
                <w:rFonts w:ascii="Arial" w:cs="Arial" w:eastAsia="Arial" w:hAnsi="Arial"/>
                <w:sz w:val="5"/>
                <w:szCs w:val="5"/>
                <w:color w:val="auto"/>
                <w:w w:val="79"/>
              </w:rPr>
              <w:t> </w:t>
            </w:r>
          </w:p>
        </w:tc>
        <w:tc>
          <w:tcPr>
            <w:tcW w:w="260" w:type="dxa"/>
            <w:vAlign w:val="bottom"/>
            <w:gridSpan w:val="2"/>
            <w:shd w:val="clear" w:color="auto" w:fill="E5E5E5"/>
          </w:tcPr>
          <w:p>
            <w:pPr>
              <w:ind w:left="80"/>
              <w:spacing w:after="0" w:line="157"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28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Clinical trial services revenue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right"/>
              <w:ind w:right="240"/>
              <w:spacing w:after="0" w:line="157" w:lineRule="exact"/>
              <w:rPr>
                <w:sz w:val="20"/>
                <w:szCs w:val="20"/>
                <w:color w:val="auto"/>
              </w:rPr>
            </w:pPr>
            <w:r>
              <w:rPr>
                <w:rFonts w:ascii="Arial" w:cs="Arial" w:eastAsia="Arial" w:hAnsi="Arial"/>
                <w:sz w:val="14"/>
                <w:szCs w:val="14"/>
                <w:color w:val="auto"/>
              </w:rPr>
              <w:t>681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ind w:left="3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4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 </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26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E5E5E5"/>
          </w:tcPr>
          <w:p>
            <w:pPr>
              <w:ind w:left="280"/>
              <w:spacing w:after="0" w:line="157" w:lineRule="exact"/>
              <w:rPr>
                <w:sz w:val="20"/>
                <w:szCs w:val="20"/>
                <w:color w:val="auto"/>
              </w:rPr>
            </w:pPr>
            <w:r>
              <w:rPr>
                <w:rFonts w:ascii="Arial" w:cs="Arial" w:eastAsia="Arial" w:hAnsi="Arial"/>
                <w:sz w:val="14"/>
                <w:szCs w:val="14"/>
                <w:color w:val="auto"/>
              </w:rPr>
              <w:t>Total revenue</w:t>
            </w:r>
          </w:p>
        </w:tc>
        <w:tc>
          <w:tcPr>
            <w:tcW w:w="1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4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2540" w:type="dxa"/>
            <w:vAlign w:val="bottom"/>
            <w:gridSpan w:val="4"/>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38,419</w:t>
            </w: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20" w:type="dxa"/>
            <w:vAlign w:val="bottom"/>
            <w:shd w:val="clear" w:color="auto" w:fill="E5E5E5"/>
          </w:tcPr>
          <w:p>
            <w:pPr>
              <w:ind w:left="340"/>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E5E5E5"/>
          </w:tcPr>
          <w:p>
            <w:pPr>
              <w:ind w:left="60"/>
              <w:spacing w:after="0"/>
              <w:rPr>
                <w:sz w:val="20"/>
                <w:szCs w:val="20"/>
                <w:color w:val="auto"/>
              </w:rPr>
            </w:pPr>
            <w:r>
              <w:rPr>
                <w:rFonts w:ascii="Arial" w:cs="Arial" w:eastAsia="Arial" w:hAnsi="Arial"/>
                <w:sz w:val="8"/>
                <w:szCs w:val="8"/>
                <w:color w:val="auto"/>
                <w:w w:val="74"/>
              </w:rPr>
              <w:t> </w:t>
            </w:r>
          </w:p>
        </w:tc>
        <w:tc>
          <w:tcPr>
            <w:tcW w:w="400" w:type="dxa"/>
            <w:vAlign w:val="bottom"/>
            <w:gridSpan w:val="2"/>
            <w:shd w:val="clear" w:color="auto" w:fill="E5E5E5"/>
          </w:tcPr>
          <w:p>
            <w:pPr>
              <w:ind w:left="60"/>
              <w:spacing w:after="0" w:line="157" w:lineRule="exact"/>
              <w:rPr>
                <w:sz w:val="20"/>
                <w:szCs w:val="20"/>
                <w:color w:val="auto"/>
              </w:rPr>
            </w:pPr>
            <w:r>
              <w:rPr>
                <w:rFonts w:ascii="Arial" w:cs="Arial" w:eastAsia="Arial" w:hAnsi="Arial"/>
                <w:sz w:val="14"/>
                <w:szCs w:val="14"/>
                <w:color w:val="auto"/>
              </w:rPr>
              <w:t> </w:t>
            </w:r>
          </w:p>
        </w:tc>
        <w:tc>
          <w:tcPr>
            <w:tcW w:w="7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 </w:t>
            </w:r>
          </w:p>
        </w:tc>
        <w:tc>
          <w:tcPr>
            <w:tcW w:w="140" w:type="dxa"/>
            <w:vAlign w:val="bottom"/>
            <w:shd w:val="clear" w:color="auto" w:fill="E5E5E5"/>
          </w:tcPr>
          <w:p>
            <w:pPr>
              <w:ind w:left="80"/>
              <w:spacing w:after="0"/>
              <w:rPr>
                <w:sz w:val="20"/>
                <w:szCs w:val="20"/>
                <w:color w:val="auto"/>
              </w:rPr>
            </w:pPr>
            <w:r>
              <w:rPr>
                <w:rFonts w:ascii="Arial" w:cs="Arial" w:eastAsia="Arial" w:hAnsi="Arial"/>
                <w:sz w:val="5"/>
                <w:szCs w:val="5"/>
                <w:color w:val="auto"/>
                <w:w w:val="79"/>
              </w:rPr>
              <w:t> </w:t>
            </w:r>
          </w:p>
        </w:tc>
        <w:tc>
          <w:tcPr>
            <w:tcW w:w="260" w:type="dxa"/>
            <w:vAlign w:val="bottom"/>
            <w:gridSpan w:val="2"/>
            <w:shd w:val="clear" w:color="auto" w:fill="E5E5E5"/>
          </w:tcPr>
          <w:p>
            <w:pPr>
              <w:ind w:left="80"/>
              <w:spacing w:after="0" w:line="157"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2840" w:type="dxa"/>
            <w:vAlign w:val="bottom"/>
            <w:gridSpan w:val="2"/>
          </w:tcPr>
          <w:p>
            <w:pPr>
              <w:spacing w:after="0" w:line="157" w:lineRule="exact"/>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right"/>
              <w:ind w:right="240"/>
              <w:spacing w:after="0" w:line="157" w:lineRule="exact"/>
              <w:rPr>
                <w:sz w:val="20"/>
                <w:szCs w:val="20"/>
                <w:color w:val="auto"/>
              </w:rPr>
            </w:pPr>
            <w:r>
              <w:rPr>
                <w:rFonts w:ascii="Arial" w:cs="Arial" w:eastAsia="Arial" w:hAnsi="Arial"/>
                <w:sz w:val="14"/>
                <w:szCs w:val="14"/>
                <w:color w:val="auto"/>
              </w:rPr>
              <w:t>20,215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4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2540" w:type="dxa"/>
            <w:vAlign w:val="bottom"/>
            <w:gridSpan w:val="4"/>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(12,634)</w:t>
            </w: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980" w:type="dxa"/>
            <w:vAlign w:val="bottom"/>
            <w:gridSpan w:val="3"/>
          </w:tcPr>
          <w:p>
            <w:pPr>
              <w:spacing w:after="0"/>
              <w:rPr>
                <w:sz w:val="20"/>
                <w:szCs w:val="20"/>
                <w:color w:val="auto"/>
              </w:rPr>
            </w:pPr>
            <w:r>
              <w:rPr>
                <w:rFonts w:ascii="Arial" w:cs="Arial" w:eastAsia="Arial" w:hAnsi="Arial"/>
                <w:sz w:val="14"/>
                <w:szCs w:val="14"/>
                <w:color w:val="auto"/>
              </w:rPr>
              <w:t xml:space="preserve">We estimate our total revenue to be between $ </w:t>
            </w:r>
          </w:p>
        </w:tc>
        <w:tc>
          <w:tcPr>
            <w:tcW w:w="26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980" w:type="dxa"/>
            <w:vAlign w:val="bottom"/>
          </w:tcPr>
          <w:p>
            <w:pPr>
              <w:ind w:left="120"/>
              <w:spacing w:after="0"/>
              <w:rPr>
                <w:sz w:val="20"/>
                <w:szCs w:val="20"/>
                <w:color w:val="auto"/>
              </w:rPr>
            </w:pPr>
            <w:r>
              <w:rPr>
                <w:rFonts w:ascii="Arial" w:cs="Arial" w:eastAsia="Arial" w:hAnsi="Arial"/>
                <w:sz w:val="14"/>
                <w:szCs w:val="14"/>
                <w:color w:val="auto"/>
              </w:rPr>
              <w:t xml:space="preserve">million and $ </w:t>
            </w:r>
          </w:p>
        </w:tc>
        <w:tc>
          <w:tcPr>
            <w:tcW w:w="6300" w:type="dxa"/>
            <w:vAlign w:val="bottom"/>
            <w:gridSpan w:val="13"/>
          </w:tcPr>
          <w:p>
            <w:pPr>
              <w:jc w:val="right"/>
              <w:spacing w:after="0"/>
              <w:rPr>
                <w:sz w:val="20"/>
                <w:szCs w:val="20"/>
                <w:color w:val="auto"/>
              </w:rPr>
            </w:pPr>
            <w:r>
              <w:rPr>
                <w:rFonts w:ascii="Arial" w:cs="Arial" w:eastAsia="Arial" w:hAnsi="Arial"/>
                <w:sz w:val="14"/>
                <w:szCs w:val="14"/>
                <w:color w:val="auto"/>
              </w:rPr>
              <w:t>      million for the three months ended September 30, 2025, compared to $38.4 million for the three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220" w:type="dxa"/>
            <w:vAlign w:val="bottom"/>
            <w:gridSpan w:val="5"/>
          </w:tcPr>
          <w:p>
            <w:pPr>
              <w:spacing w:after="0"/>
              <w:rPr>
                <w:sz w:val="20"/>
                <w:szCs w:val="20"/>
                <w:color w:val="auto"/>
              </w:rPr>
            </w:pPr>
            <w:r>
              <w:rPr>
                <w:rFonts w:ascii="Arial" w:cs="Arial" w:eastAsia="Arial" w:hAnsi="Arial"/>
                <w:sz w:val="14"/>
                <w:szCs w:val="14"/>
                <w:color w:val="auto"/>
              </w:rPr>
              <w:t>months ended September 30, 2024, primarily due to         .</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840" w:type="dxa"/>
            <w:vAlign w:val="bottom"/>
            <w:gridSpan w:val="2"/>
          </w:tcPr>
          <w:p>
            <w:pPr>
              <w:spacing w:after="0"/>
              <w:rPr>
                <w:sz w:val="20"/>
                <w:szCs w:val="20"/>
                <w:color w:val="auto"/>
              </w:rPr>
            </w:pPr>
            <w:r>
              <w:rPr>
                <w:rFonts w:ascii="Arial" w:cs="Arial" w:eastAsia="Arial" w:hAnsi="Arial"/>
                <w:sz w:val="14"/>
                <w:szCs w:val="14"/>
                <w:color w:val="auto"/>
              </w:rPr>
              <w:t xml:space="preserve">We estimate our gross profit to be between $ </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260" w:type="dxa"/>
            <w:vAlign w:val="bottom"/>
          </w:tcPr>
          <w:p>
            <w:pPr>
              <w:jc w:val="center"/>
              <w:ind w:right="8"/>
              <w:spacing w:after="0"/>
              <w:rPr>
                <w:sz w:val="20"/>
                <w:szCs w:val="20"/>
                <w:color w:val="auto"/>
              </w:rPr>
            </w:pPr>
            <w:r>
              <w:rPr>
                <w:rFonts w:ascii="Arial" w:cs="Arial" w:eastAsia="Arial" w:hAnsi="Arial"/>
                <w:sz w:val="5"/>
                <w:szCs w:val="5"/>
                <w:color w:val="auto"/>
                <w:w w:val="79"/>
              </w:rPr>
              <w:t> </w:t>
            </w:r>
          </w:p>
        </w:tc>
        <w:tc>
          <w:tcPr>
            <w:tcW w:w="980" w:type="dxa"/>
            <w:vAlign w:val="bottom"/>
          </w:tcPr>
          <w:p>
            <w:pPr>
              <w:spacing w:after="0"/>
              <w:rPr>
                <w:sz w:val="20"/>
                <w:szCs w:val="20"/>
                <w:color w:val="auto"/>
              </w:rPr>
            </w:pPr>
            <w:r>
              <w:rPr>
                <w:rFonts w:ascii="Arial" w:cs="Arial" w:eastAsia="Arial" w:hAnsi="Arial"/>
                <w:sz w:val="14"/>
                <w:szCs w:val="14"/>
                <w:color w:val="auto"/>
              </w:rPr>
              <w:t xml:space="preserve">million and $    </w:t>
            </w:r>
          </w:p>
        </w:tc>
        <w:tc>
          <w:tcPr>
            <w:tcW w:w="6700" w:type="dxa"/>
            <w:vAlign w:val="bottom"/>
            <w:gridSpan w:val="16"/>
          </w:tcPr>
          <w:p>
            <w:pPr>
              <w:jc w:val="right"/>
              <w:ind w:right="40"/>
              <w:spacing w:after="0"/>
              <w:rPr>
                <w:sz w:val="20"/>
                <w:szCs w:val="20"/>
                <w:color w:val="auto"/>
              </w:rPr>
            </w:pPr>
            <w:r>
              <w:rPr>
                <w:rFonts w:ascii="Arial" w:cs="Arial" w:eastAsia="Arial" w:hAnsi="Arial"/>
                <w:sz w:val="14"/>
                <w:szCs w:val="14"/>
                <w:color w:val="auto"/>
              </w:rPr>
              <w:t>   million for the three months ended September 30, 2025, compared to $20.2 million for the three months</w:t>
            </w:r>
          </w:p>
        </w:tc>
        <w:tc>
          <w:tcPr>
            <w:tcW w:w="0" w:type="dxa"/>
            <w:vAlign w:val="bottom"/>
          </w:tcPr>
          <w:p>
            <w:pPr>
              <w:spacing w:after="0"/>
              <w:rPr>
                <w:sz w:val="1"/>
                <w:szCs w:val="1"/>
                <w:color w:val="auto"/>
              </w:rPr>
            </w:pPr>
          </w:p>
        </w:tc>
      </w:tr>
      <w:tr>
        <w:trPr>
          <w:trHeight w:val="185"/>
        </w:trPr>
        <w:tc>
          <w:tcPr>
            <w:tcW w:w="2840" w:type="dxa"/>
            <w:vAlign w:val="bottom"/>
            <w:gridSpan w:val="2"/>
          </w:tcPr>
          <w:p>
            <w:pPr>
              <w:spacing w:after="0"/>
              <w:rPr>
                <w:sz w:val="20"/>
                <w:szCs w:val="20"/>
                <w:color w:val="auto"/>
              </w:rPr>
            </w:pPr>
            <w:r>
              <w:rPr>
                <w:rFonts w:ascii="Arial" w:cs="Arial" w:eastAsia="Arial" w:hAnsi="Arial"/>
                <w:sz w:val="14"/>
                <w:szCs w:val="14"/>
                <w:color w:val="auto"/>
                <w:w w:val="98"/>
              </w:rPr>
              <w:t>ended September 30, 2024, primarily due to </w:t>
            </w:r>
          </w:p>
        </w:tc>
        <w:tc>
          <w:tcPr>
            <w:tcW w:w="140" w:type="dxa"/>
            <w:vAlign w:val="bottom"/>
          </w:tcPr>
          <w:p>
            <w:pPr>
              <w:ind w:left="40"/>
              <w:spacing w:after="0"/>
              <w:rPr>
                <w:sz w:val="20"/>
                <w:szCs w:val="20"/>
                <w:color w:val="auto"/>
              </w:rPr>
            </w:pPr>
            <w:r>
              <w:rPr>
                <w:rFonts w:ascii="Arial" w:cs="Arial" w:eastAsia="Arial" w:hAnsi="Arial"/>
                <w:sz w:val="10"/>
                <w:szCs w:val="10"/>
                <w:color w:val="auto"/>
                <w:w w:val="79"/>
              </w:rPr>
              <w:t> </w:t>
            </w:r>
          </w:p>
        </w:tc>
        <w:tc>
          <w:tcPr>
            <w:tcW w:w="260" w:type="dxa"/>
            <w:vAlign w:val="bottom"/>
          </w:tcPr>
          <w:p>
            <w:pPr>
              <w:jc w:val="center"/>
              <w:spacing w:after="0"/>
              <w:rPr>
                <w:sz w:val="20"/>
                <w:szCs w:val="20"/>
                <w:color w:val="auto"/>
              </w:rPr>
            </w:pPr>
            <w:r>
              <w:rPr>
                <w:rFonts w:ascii="Arial" w:cs="Arial" w:eastAsia="Arial" w:hAnsi="Arial"/>
                <w:sz w:val="13"/>
                <w:szCs w:val="13"/>
                <w:color w:val="auto"/>
                <w:w w:val="75"/>
              </w:rPr>
              <w:t>   .</w:t>
            </w: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640" w:type="dxa"/>
            <w:vAlign w:val="bottom"/>
            <w:gridSpan w:val="6"/>
          </w:tcPr>
          <w:p>
            <w:pPr>
              <w:spacing w:after="0"/>
              <w:rPr>
                <w:sz w:val="20"/>
                <w:szCs w:val="20"/>
                <w:color w:val="auto"/>
              </w:rPr>
            </w:pPr>
            <w:r>
              <w:rPr>
                <w:rFonts w:ascii="Arial" w:cs="Arial" w:eastAsia="Arial" w:hAnsi="Arial"/>
                <w:sz w:val="14"/>
                <w:szCs w:val="14"/>
                <w:color w:val="auto"/>
              </w:rPr>
              <w:t xml:space="preserve">We estimate our income (loss) from operations will improve to a range of approximately $ </w:t>
            </w:r>
          </w:p>
        </w:tc>
        <w:tc>
          <w:tcPr>
            <w:tcW w:w="220" w:type="dxa"/>
            <w:vAlign w:val="bottom"/>
          </w:tcPr>
          <w:p>
            <w:pPr>
              <w:jc w:val="center"/>
              <w:spacing w:after="0"/>
              <w:rPr>
                <w:sz w:val="20"/>
                <w:szCs w:val="20"/>
                <w:color w:val="auto"/>
              </w:rPr>
            </w:pPr>
            <w:r>
              <w:rPr>
                <w:rFonts w:ascii="Arial" w:cs="Arial" w:eastAsia="Arial" w:hAnsi="Arial"/>
                <w:sz w:val="14"/>
                <w:szCs w:val="14"/>
                <w:color w:val="auto"/>
              </w:rPr>
              <w:t xml:space="preserve">    </w:t>
            </w:r>
          </w:p>
        </w:tc>
        <w:tc>
          <w:tcPr>
            <w:tcW w:w="5060" w:type="dxa"/>
            <w:vAlign w:val="bottom"/>
            <w:gridSpan w:val="14"/>
          </w:tcPr>
          <w:p>
            <w:pPr>
              <w:ind w:left="120"/>
              <w:spacing w:after="0"/>
              <w:rPr>
                <w:sz w:val="20"/>
                <w:szCs w:val="20"/>
                <w:color w:val="auto"/>
              </w:rPr>
            </w:pPr>
            <w:r>
              <w:rPr>
                <w:rFonts w:ascii="Arial" w:cs="Arial" w:eastAsia="Arial" w:hAnsi="Arial"/>
                <w:sz w:val="14"/>
                <w:szCs w:val="14"/>
                <w:color w:val="auto"/>
              </w:rPr>
              <w:t>to $          million for the three months ended September 30, 2025, compared</w:t>
            </w:r>
          </w:p>
        </w:tc>
        <w:tc>
          <w:tcPr>
            <w:tcW w:w="0" w:type="dxa"/>
            <w:vAlign w:val="bottom"/>
          </w:tcPr>
          <w:p>
            <w:pPr>
              <w:spacing w:after="0"/>
              <w:rPr>
                <w:sz w:val="1"/>
                <w:szCs w:val="1"/>
                <w:color w:val="auto"/>
              </w:rPr>
            </w:pPr>
          </w:p>
        </w:tc>
      </w:tr>
      <w:tr>
        <w:trPr>
          <w:trHeight w:val="185"/>
        </w:trPr>
        <w:tc>
          <w:tcPr>
            <w:tcW w:w="5640" w:type="dxa"/>
            <w:vAlign w:val="bottom"/>
            <w:gridSpan w:val="6"/>
          </w:tcPr>
          <w:p>
            <w:pPr>
              <w:spacing w:after="0"/>
              <w:rPr>
                <w:sz w:val="20"/>
                <w:szCs w:val="20"/>
                <w:color w:val="auto"/>
              </w:rPr>
            </w:pPr>
            <w:r>
              <w:rPr>
                <w:rFonts w:ascii="Arial" w:cs="Arial" w:eastAsia="Arial" w:hAnsi="Arial"/>
                <w:sz w:val="14"/>
                <w:szCs w:val="14"/>
                <w:color w:val="auto"/>
                <w:w w:val="97"/>
              </w:rPr>
              <w:t>to a loss of $12.6 million for the three months ended September 30, 2024, primarily due to  </w:t>
            </w:r>
          </w:p>
        </w:tc>
        <w:tc>
          <w:tcPr>
            <w:tcW w:w="220" w:type="dxa"/>
            <w:vAlign w:val="bottom"/>
          </w:tcPr>
          <w:p>
            <w:pPr>
              <w:jc w:val="center"/>
              <w:spacing w:after="0"/>
              <w:rPr>
                <w:sz w:val="20"/>
                <w:szCs w:val="20"/>
                <w:color w:val="auto"/>
              </w:rPr>
            </w:pPr>
            <w:r>
              <w:rPr>
                <w:rFonts w:ascii="Arial" w:cs="Arial" w:eastAsia="Arial" w:hAnsi="Arial"/>
                <w:sz w:val="5"/>
                <w:szCs w:val="5"/>
                <w:color w:val="auto"/>
                <w:w w:val="79"/>
              </w:rPr>
              <w:t> </w:t>
            </w:r>
          </w:p>
        </w:tc>
        <w:tc>
          <w:tcPr>
            <w:tcW w:w="2540" w:type="dxa"/>
            <w:vAlign w:val="bottom"/>
            <w:gridSpan w:val="4"/>
          </w:tcPr>
          <w:p>
            <w:pPr>
              <w:jc w:val="right"/>
              <w:ind w:right="2340"/>
              <w:spacing w:after="0"/>
              <w:rPr>
                <w:sz w:val="20"/>
                <w:szCs w:val="20"/>
                <w:color w:val="auto"/>
              </w:rPr>
            </w:pPr>
            <w:r>
              <w:rPr>
                <w:rFonts w:ascii="Arial" w:cs="Arial" w:eastAsia="Arial" w:hAnsi="Arial"/>
                <w:sz w:val="13"/>
                <w:szCs w:val="13"/>
                <w:color w:val="auto"/>
                <w:w w:val="75"/>
              </w:rPr>
              <w:t>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tcBorders>
              <w:bottom w:val="single" w:sz="8" w:color="auto"/>
            </w:tcBorders>
            <w:gridSpan w:val="9"/>
          </w:tcPr>
          <w:p>
            <w:pPr>
              <w:jc w:val="center"/>
              <w:ind w:left="29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800" w:type="dxa"/>
            <w:vAlign w:val="bottom"/>
            <w:tcBorders>
              <w:bottom w:val="single" w:sz="8" w:color="auto"/>
            </w:tcBorders>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
              <w:spacing w:after="0" w:line="148"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40"/>
              <w:spacing w:after="0" w:line="148"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b w:val="1"/>
                <w:bCs w:val="1"/>
                <w:color w:val="auto"/>
              </w:rPr>
              <w:t>Test volume:</w:t>
            </w:r>
          </w:p>
        </w:tc>
        <w:tc>
          <w:tcPr>
            <w:tcW w:w="1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4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72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40" w:type="dxa"/>
            <w:vAlign w:val="bottom"/>
            <w:gridSpan w:val="2"/>
          </w:tcPr>
          <w:p>
            <w:pPr>
              <w:spacing w:after="0"/>
              <w:rPr>
                <w:sz w:val="20"/>
                <w:szCs w:val="20"/>
                <w:color w:val="auto"/>
              </w:rPr>
            </w:pPr>
            <w:r>
              <w:rPr>
                <w:rFonts w:ascii="Arial" w:cs="Arial" w:eastAsia="Arial" w:hAnsi="Arial"/>
                <w:sz w:val="14"/>
                <w:szCs w:val="14"/>
                <w:color w:val="auto"/>
              </w:rPr>
              <w:t>Total test volume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tcPr>
          <w:p>
            <w:pPr>
              <w:jc w:val="right"/>
              <w:ind w:right="260"/>
              <w:spacing w:after="0"/>
              <w:rPr>
                <w:sz w:val="20"/>
                <w:szCs w:val="20"/>
                <w:color w:val="auto"/>
              </w:rPr>
            </w:pPr>
            <w:r>
              <w:rPr>
                <w:rFonts w:ascii="Arial" w:cs="Arial" w:eastAsia="Arial" w:hAnsi="Arial"/>
                <w:sz w:val="14"/>
                <w:szCs w:val="14"/>
                <w:color w:val="auto"/>
              </w:rPr>
              <w:t>107,934</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200" w:type="dxa"/>
            <w:vAlign w:val="bottom"/>
            <w:tcBorders>
              <w:bottom w:val="single" w:sz="8" w:color="auto"/>
            </w:tcBorders>
          </w:tcPr>
          <w:p>
            <w:pPr>
              <w:spacing w:after="0"/>
              <w:rPr>
                <w:sz w:val="6"/>
                <w:szCs w:val="6"/>
                <w:color w:val="auto"/>
              </w:rPr>
            </w:pPr>
          </w:p>
        </w:tc>
        <w:tc>
          <w:tcPr>
            <w:tcW w:w="1640" w:type="dxa"/>
            <w:vAlign w:val="bottom"/>
          </w:tcPr>
          <w:p>
            <w:pPr>
              <w:spacing w:after="0"/>
              <w:rPr>
                <w:sz w:val="6"/>
                <w:szCs w:val="6"/>
                <w:color w:val="auto"/>
              </w:rPr>
            </w:pPr>
          </w:p>
        </w:tc>
        <w:tc>
          <w:tcPr>
            <w:tcW w:w="7680" w:type="dxa"/>
            <w:vAlign w:val="bottom"/>
            <w:gridSpan w:val="16"/>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40" w:type="dxa"/>
            <w:vAlign w:val="bottom"/>
            <w:gridSpan w:val="2"/>
          </w:tcPr>
          <w:p>
            <w:pPr>
              <w:spacing w:after="0"/>
              <w:rPr>
                <w:sz w:val="20"/>
                <w:szCs w:val="20"/>
                <w:color w:val="auto"/>
              </w:rPr>
            </w:pPr>
            <w:r>
              <w:rPr>
                <w:rFonts w:ascii="Arial" w:cs="Arial" w:eastAsia="Arial" w:hAnsi="Arial"/>
                <w:sz w:val="14"/>
                <w:szCs w:val="14"/>
                <w:color w:val="auto"/>
              </w:rPr>
              <w:t xml:space="preserve">We estimate our total test volume to be        </w:t>
            </w:r>
          </w:p>
        </w:tc>
        <w:tc>
          <w:tcPr>
            <w:tcW w:w="7680" w:type="dxa"/>
            <w:vAlign w:val="bottom"/>
            <w:gridSpan w:val="16"/>
          </w:tcPr>
          <w:p>
            <w:pPr>
              <w:ind w:left="80"/>
              <w:spacing w:after="0"/>
              <w:rPr>
                <w:sz w:val="20"/>
                <w:szCs w:val="20"/>
                <w:color w:val="auto"/>
              </w:rPr>
            </w:pPr>
            <w:r>
              <w:rPr>
                <w:rFonts w:ascii="Arial" w:cs="Arial" w:eastAsia="Arial" w:hAnsi="Arial"/>
                <w:sz w:val="14"/>
                <w:szCs w:val="14"/>
                <w:color w:val="auto"/>
              </w:rPr>
              <w:t>for the three months ended September 30, 2025, compared to 107,934 for the three months ended September 30, 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220" w:type="dxa"/>
            <w:vAlign w:val="bottom"/>
            <w:gridSpan w:val="5"/>
          </w:tcPr>
          <w:p>
            <w:pPr>
              <w:spacing w:after="0"/>
              <w:rPr>
                <w:sz w:val="20"/>
                <w:szCs w:val="20"/>
                <w:color w:val="auto"/>
              </w:rPr>
            </w:pPr>
            <w:r>
              <w:rPr>
                <w:rFonts w:ascii="Arial" w:cs="Arial" w:eastAsia="Arial" w:hAnsi="Arial"/>
                <w:sz w:val="14"/>
                <w:szCs w:val="14"/>
                <w:color w:val="auto"/>
              </w:rPr>
              <w:t xml:space="preserve">Additionally, we expect to report that we had approximately $       </w:t>
            </w:r>
          </w:p>
        </w:tc>
        <w:tc>
          <w:tcPr>
            <w:tcW w:w="4180" w:type="dxa"/>
            <w:vAlign w:val="bottom"/>
            <w:gridSpan w:val="6"/>
          </w:tcPr>
          <w:p>
            <w:pPr>
              <w:jc w:val="right"/>
              <w:ind w:right="440"/>
              <w:spacing w:after="0"/>
              <w:rPr>
                <w:sz w:val="20"/>
                <w:szCs w:val="20"/>
                <w:color w:val="auto"/>
              </w:rPr>
            </w:pPr>
            <w:r>
              <w:rPr>
                <w:rFonts w:ascii="Arial" w:cs="Arial" w:eastAsia="Arial" w:hAnsi="Arial"/>
                <w:sz w:val="14"/>
                <w:szCs w:val="14"/>
                <w:color w:val="auto"/>
                <w:w w:val="99"/>
              </w:rPr>
              <w:t>million in cash and cash equivalents at September 30, 2025.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Risk factors summary</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business is subject to a number of risks of which you should be aware before making an investment decision. These risks include the following:</w:t>
      </w:r>
    </w:p>
    <w:p>
      <w:pPr>
        <w:spacing w:after="0" w:line="112" w:lineRule="exact"/>
        <w:rPr>
          <w:sz w:val="20"/>
          <w:szCs w:val="20"/>
          <w:color w:val="auto"/>
        </w:rPr>
      </w:pPr>
    </w:p>
    <w:p>
      <w:pPr>
        <w:ind w:left="5580" w:right="1880" w:hanging="5397"/>
        <w:spacing w:after="0" w:line="707" w:lineRule="auto"/>
        <w:tabs>
          <w:tab w:leader="none" w:pos="402"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limited operating history and rapid growth make it difficult to evaluate our future prospects and the risks and challenges we may encounter. 11</w:t>
      </w:r>
    </w:p>
    <w:p>
      <w:pPr>
        <w:sectPr>
          <w:pgSz w:w="11900" w:h="16838" w:orient="portrait"/>
          <w:cols w:equalWidth="0" w:num="1">
            <w:col w:w="11100"/>
          </w:cols>
          <w:pgMar w:left="300" w:top="38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777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37776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0" w:hanging="21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primarily generate revenue from sales of our molecular diagnostic tests and we are highly dependent on them for our success.</w:t>
      </w:r>
    </w:p>
    <w:p>
      <w:pPr>
        <w:spacing w:after="0" w:line="111" w:lineRule="exact"/>
        <w:rPr>
          <w:rFonts w:ascii="Arial" w:cs="Arial" w:eastAsia="Arial" w:hAnsi="Arial"/>
          <w:sz w:val="14"/>
          <w:szCs w:val="14"/>
          <w:color w:val="auto"/>
        </w:rPr>
      </w:pPr>
    </w:p>
    <w:p>
      <w:pPr>
        <w:ind w:left="400" w:right="2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the government and other third-party payors fail to provide coverage and adequate payment for our existing and future tests, our revenue and prospects for profitability will be harmed.</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revenue may be adversely affected if we are unable to successfully obtain reimbursement from the Medicare program and state Medicaid programs.</w:t>
      </w:r>
    </w:p>
    <w:p>
      <w:pPr>
        <w:spacing w:after="0" w:line="111" w:lineRule="exact"/>
        <w:rPr>
          <w:rFonts w:ascii="Arial" w:cs="Arial" w:eastAsia="Arial" w:hAnsi="Arial"/>
          <w:sz w:val="14"/>
          <w:szCs w:val="14"/>
          <w:color w:val="auto"/>
        </w:rPr>
      </w:pPr>
    </w:p>
    <w:p>
      <w:pPr>
        <w:ind w:left="400" w:right="14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9" w:lineRule="exact"/>
        <w:rPr>
          <w:rFonts w:ascii="Arial" w:cs="Arial" w:eastAsia="Arial" w:hAnsi="Arial"/>
          <w:sz w:val="14"/>
          <w:szCs w:val="14"/>
          <w:color w:val="auto"/>
        </w:rPr>
      </w:pPr>
    </w:p>
    <w:p>
      <w:pPr>
        <w:ind w:left="400" w:right="120" w:hanging="217"/>
        <w:spacing w:after="0" w:line="309" w:lineRule="auto"/>
        <w:tabs>
          <w:tab w:leader="none" w:pos="4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45" w:lineRule="exact"/>
        <w:rPr>
          <w:rFonts w:ascii="Arial" w:cs="Arial" w:eastAsia="Arial" w:hAnsi="Arial"/>
          <w:sz w:val="13"/>
          <w:szCs w:val="13"/>
          <w:color w:val="auto"/>
        </w:rPr>
      </w:pPr>
    </w:p>
    <w:p>
      <w:pPr>
        <w:ind w:left="400" w:right="2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loss of key members of our senior management team or our inability to attract and retain highly skilled scientists, technicians, clinicians, and sales representatives could adversely affect our business.</w:t>
      </w:r>
    </w:p>
    <w:p>
      <w:pPr>
        <w:spacing w:after="0" w:line="69" w:lineRule="exact"/>
        <w:rPr>
          <w:rFonts w:ascii="Arial" w:cs="Arial" w:eastAsia="Arial" w:hAnsi="Arial"/>
          <w:sz w:val="14"/>
          <w:szCs w:val="14"/>
          <w:color w:val="auto"/>
        </w:rPr>
      </w:pPr>
    </w:p>
    <w:p>
      <w:pPr>
        <w:ind w:left="400" w:right="6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our existing laboratory facilities become damaged or inoperable or we are required to vacate our existing facilities, our ability to perform our tests and pursue our research and development efforts may be jeopardized.</w:t>
      </w:r>
    </w:p>
    <w:p>
      <w:pPr>
        <w:spacing w:after="0" w:line="69" w:lineRule="exact"/>
        <w:rPr>
          <w:rFonts w:ascii="Arial" w:cs="Arial" w:eastAsia="Arial" w:hAnsi="Arial"/>
          <w:sz w:val="14"/>
          <w:szCs w:val="14"/>
          <w:color w:val="auto"/>
        </w:rPr>
      </w:pPr>
    </w:p>
    <w:p>
      <w:pPr>
        <w:ind w:left="400" w:right="54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tests in development may not be clinically effective or may never achieve significant commercial market acceptance and our test offerings that we have recently launched may not be commercially successful.</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our products do not meet the expectations of patients and our customers, our operating results, reputation and business could suffer.</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International trade policies, including tariffs, sanctions and trade barriers may adversely affect our business, financial condition, results of operations and prospects.</w:t>
      </w:r>
    </w:p>
    <w:p>
      <w:pPr>
        <w:spacing w:after="0" w:line="111" w:lineRule="exact"/>
        <w:rPr>
          <w:rFonts w:ascii="Arial" w:cs="Arial" w:eastAsia="Arial" w:hAnsi="Arial"/>
          <w:sz w:val="14"/>
          <w:szCs w:val="14"/>
          <w:color w:val="auto"/>
        </w:rPr>
      </w:pPr>
    </w:p>
    <w:p>
      <w:pPr>
        <w:ind w:left="400" w:hanging="217"/>
        <w:spacing w:after="0" w:line="269"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product development and commercialization involve a lengthy and complex process and we may be unable to develop or commercialize new products on a timely basis or at all.</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inability to effectively protect our proprietary technologies could harm our competitive position.</w:t>
      </w:r>
    </w:p>
    <w:p>
      <w:pPr>
        <w:spacing w:after="0" w:line="111" w:lineRule="exact"/>
        <w:rPr>
          <w:rFonts w:ascii="Arial" w:cs="Arial" w:eastAsia="Arial" w:hAnsi="Arial"/>
          <w:sz w:val="14"/>
          <w:szCs w:val="14"/>
          <w:color w:val="auto"/>
        </w:rPr>
      </w:pPr>
    </w:p>
    <w:p>
      <w:pPr>
        <w:jc w:val="both"/>
        <w:ind w:left="400" w:right="380" w:hanging="217"/>
        <w:spacing w:after="0" w:line="252"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70" w:lineRule="exact"/>
        <w:rPr>
          <w:sz w:val="20"/>
          <w:szCs w:val="20"/>
          <w:color w:val="auto"/>
        </w:rPr>
      </w:pPr>
    </w:p>
    <w:p>
      <w:pPr>
        <w:ind w:left="180" w:right="20"/>
        <w:spacing w:after="0" w:line="246" w:lineRule="auto"/>
        <w:rPr>
          <w:sz w:val="20"/>
          <w:szCs w:val="20"/>
          <w:color w:val="auto"/>
        </w:rPr>
      </w:pPr>
      <w:r>
        <w:rPr>
          <w:rFonts w:ascii="Arial" w:cs="Arial" w:eastAsia="Arial" w:hAnsi="Arial"/>
          <w:sz w:val="14"/>
          <w:szCs w:val="14"/>
          <w:color w:val="auto"/>
        </w:rPr>
        <w:t>The summary risk factors described above should be read together with the text of the full risk factors in the section titled “Risk factors” and the other information set forth in this prospectus, including our financial statements and the related notes.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060"/>
          </w:cols>
          <w:pgMar w:left="300" w:top="385"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86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386397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Channels for disclosure of information</w:t>
      </w:r>
    </w:p>
    <w:p>
      <w:pPr>
        <w:spacing w:after="0" w:line="105" w:lineRule="exact"/>
        <w:rPr>
          <w:sz w:val="20"/>
          <w:szCs w:val="20"/>
          <w:color w:val="auto"/>
        </w:rPr>
      </w:pPr>
    </w:p>
    <w:p>
      <w:pPr>
        <w:ind w:left="180" w:right="100"/>
        <w:spacing w:after="0" w:line="269" w:lineRule="auto"/>
        <w:rPr>
          <w:sz w:val="20"/>
          <w:szCs w:val="20"/>
          <w:color w:val="auto"/>
        </w:rPr>
      </w:pPr>
      <w:r>
        <w:rPr>
          <w:rFonts w:ascii="Arial" w:cs="Arial" w:eastAsia="Arial" w:hAnsi="Arial"/>
          <w:sz w:val="14"/>
          <w:szCs w:val="14"/>
          <w:color w:val="auto"/>
        </w:rPr>
        <w:t>Following the closing of this offering, in addition to filings with the Securities and Exchange Commission (SEC), we intend to announce material information to the public via the investor relations page on our website, press releases, public conference calls, public webcasts, our X handle (@BillionToOneInc) and our LinkedIn feed.</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Any updates to the list of disclosure channels through which we will announce information will be posted on the investor relations page on our website.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Corporate and other information</w:t>
      </w:r>
    </w:p>
    <w:p>
      <w:pPr>
        <w:spacing w:after="0" w:line="115" w:lineRule="exact"/>
        <w:rPr>
          <w:sz w:val="20"/>
          <w:szCs w:val="20"/>
          <w:color w:val="auto"/>
        </w:rPr>
      </w:pPr>
    </w:p>
    <w:p>
      <w:pPr>
        <w:ind w:left="180" w:right="40"/>
        <w:spacing w:after="0" w:line="252" w:lineRule="auto"/>
        <w:rPr>
          <w:sz w:val="20"/>
          <w:szCs w:val="20"/>
          <w:color w:val="auto"/>
        </w:rPr>
      </w:pPr>
      <w:r>
        <w:rPr>
          <w:rFonts w:ascii="Arial" w:cs="Arial" w:eastAsia="Arial" w:hAnsi="Arial"/>
          <w:sz w:val="14"/>
          <w:szCs w:val="14"/>
          <w:color w:val="auto"/>
        </w:rPr>
        <w:t>We commenced operations in 2016 as a Delaware corporation. Our principal executive offices are located at 1035 O’Brien Drive, Menlo Park, CA 94025. Our telephone number is (650) 460-2551. Our website address is www.billiontoone.com. The information contained on, or that can be accessed through, our website is not incorporated by reference into this prospectus, and you should not consider any information contained on, or that can be accessed through, our website as part of this prospectus.</w:t>
      </w:r>
    </w:p>
    <w:p>
      <w:pPr>
        <w:spacing w:after="0" w:line="80" w:lineRule="exact"/>
        <w:rPr>
          <w:sz w:val="20"/>
          <w:szCs w:val="20"/>
          <w:color w:val="auto"/>
        </w:rPr>
      </w:pPr>
    </w:p>
    <w:p>
      <w:pPr>
        <w:ind w:left="180" w:right="60"/>
        <w:spacing w:after="0" w:line="258" w:lineRule="auto"/>
        <w:rPr>
          <w:sz w:val="20"/>
          <w:szCs w:val="20"/>
          <w:color w:val="auto"/>
        </w:rPr>
      </w:pPr>
      <w:r>
        <w:rPr>
          <w:rFonts w:ascii="Arial" w:cs="Arial" w:eastAsia="Arial" w:hAnsi="Arial"/>
          <w:sz w:val="14"/>
          <w:szCs w:val="14"/>
          <w:color w:val="auto"/>
        </w:rPr>
        <w:t xml:space="preserve">“BillionToOne” and the BillionToOne logo, UNITY Complete, Northstar Select, Northstar Response, UNITY Screen (registered in the EU and UK), Quantitative Counting Templates, QCTs, UNITY Fetal Risk, UNITY Aneuploidy, UNITY Fetal Antigen, Tumor Methylation Score, and other trademarks or service marks of BillionToOne, Inc. appearing in this prospectus are the property of BillionToOne, Inc. This prospectus contains additional trade names, trademarks, and service marks of others, which are the property of their respective owners.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4"/>
          <w:szCs w:val="14"/>
          <w:color w:val="auto"/>
        </w:rPr>
        <w:t xml:space="preserve"> or </w:t>
      </w:r>
      <w:r>
        <w:rPr>
          <w:rFonts w:ascii="Arial" w:cs="Arial" w:eastAsia="Arial" w:hAnsi="Arial"/>
          <w:sz w:val="20"/>
          <w:szCs w:val="20"/>
          <w:color w:val="auto"/>
          <w:vertAlign w:val="superscript"/>
        </w:rPr>
        <w:t>™</w:t>
      </w:r>
      <w:r>
        <w:rPr>
          <w:rFonts w:ascii="Arial" w:cs="Arial" w:eastAsia="Arial" w:hAnsi="Arial"/>
          <w:sz w:val="14"/>
          <w:szCs w:val="14"/>
          <w:color w:val="auto"/>
        </w:rPr>
        <w:t xml:space="preserve"> symbols.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5" w:lineRule="exact"/>
        <w:rPr>
          <w:sz w:val="20"/>
          <w:szCs w:val="20"/>
          <w:color w:val="auto"/>
        </w:rPr>
      </w:pPr>
    </w:p>
    <w:p>
      <w:pPr>
        <w:ind w:left="180"/>
        <w:spacing w:after="0" w:line="269"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(the JOBS Act). An emerging growth company may take advantage of specified reduced reporting and other burdens that are otherwise applicable generally to public companies. These provisions include:</w:t>
      </w:r>
    </w:p>
    <w:p>
      <w:pPr>
        <w:spacing w:after="0" w:line="69" w:lineRule="exact"/>
        <w:rPr>
          <w:sz w:val="20"/>
          <w:szCs w:val="20"/>
          <w:color w:val="auto"/>
        </w:rPr>
      </w:pPr>
    </w:p>
    <w:p>
      <w:pPr>
        <w:ind w:left="400" w:right="340" w:hanging="217"/>
        <w:spacing w:after="0" w:line="269"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requirement to have only two years of audited financial statements and only two years of related selected financial data and management’s discussion and analysis of financial condition and results of operations disclosure in this prospectus;</w:t>
      </w:r>
    </w:p>
    <w:p>
      <w:pPr>
        <w:spacing w:after="0" w:line="69" w:lineRule="exact"/>
        <w:rPr>
          <w:rFonts w:ascii="Arial" w:cs="Arial" w:eastAsia="Arial" w:hAnsi="Arial"/>
          <w:sz w:val="14"/>
          <w:szCs w:val="14"/>
          <w:color w:val="auto"/>
        </w:rPr>
      </w:pPr>
    </w:p>
    <w:p>
      <w:pPr>
        <w:ind w:left="400" w:right="60" w:hanging="217"/>
        <w:spacing w:after="0" w:line="269"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 exemption from the auditor attestation requirement in the assessment of our internal control over financial reporting pursuant to Section 404 of the Sarbanes-Oxley Act of 2002;</w:t>
      </w:r>
    </w:p>
    <w:p>
      <w:pPr>
        <w:spacing w:after="0" w:line="69" w:lineRule="exact"/>
        <w:rPr>
          <w:rFonts w:ascii="Arial" w:cs="Arial" w:eastAsia="Arial" w:hAnsi="Arial"/>
          <w:sz w:val="14"/>
          <w:szCs w:val="14"/>
          <w:color w:val="auto"/>
        </w:rPr>
      </w:pPr>
    </w:p>
    <w:p>
      <w:pPr>
        <w:ind w:left="400" w:right="640" w:hanging="217"/>
        <w:spacing w:after="0" w:line="269"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 exemption from implementation of new or revised financial accounting standards until they would apply to private companies and from compliance with any new requirements adopted by the Public Company Accounting Oversight Board requiring mandatory audit firm rotation;</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arrangements; and</w:t>
      </w:r>
    </w:p>
    <w:p>
      <w:pPr>
        <w:spacing w:after="0" w:line="111" w:lineRule="exact"/>
        <w:rPr>
          <w:rFonts w:ascii="Arial" w:cs="Arial" w:eastAsia="Arial" w:hAnsi="Arial"/>
          <w:sz w:val="14"/>
          <w:szCs w:val="14"/>
          <w:color w:val="auto"/>
        </w:rPr>
      </w:pPr>
    </w:p>
    <w:p>
      <w:pPr>
        <w:ind w:left="400" w:hanging="217"/>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requirement to seek nonbinding advisory votes on executive compensation or golden parachute arrangements.</w:t>
      </w:r>
    </w:p>
    <w:p>
      <w:pPr>
        <w:spacing w:after="0" w:line="101" w:lineRule="exact"/>
        <w:rPr>
          <w:sz w:val="20"/>
          <w:szCs w:val="20"/>
          <w:color w:val="auto"/>
        </w:rPr>
      </w:pPr>
    </w:p>
    <w:p>
      <w:pPr>
        <w:ind w:left="180" w:right="260"/>
        <w:spacing w:after="0" w:line="269" w:lineRule="auto"/>
        <w:rPr>
          <w:sz w:val="20"/>
          <w:szCs w:val="20"/>
          <w:color w:val="auto"/>
        </w:rPr>
      </w:pPr>
      <w:r>
        <w:rPr>
          <w:rFonts w:ascii="Arial" w:cs="Arial" w:eastAsia="Arial" w:hAnsi="Arial"/>
          <w:sz w:val="14"/>
          <w:szCs w:val="14"/>
          <w:color w:val="auto"/>
        </w:rPr>
        <w:t>We may take advantage of some or all these provisions until we are no longer an emerging growth company. We will remain an emerging growth company until the earlier to occur of (1) the last day of the fiscal year (a) following the fifth anniversary of the completion of this offering, (b) in which our annual gross revenue is</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00"/>
          </w:cols>
          <w:pgMar w:left="300" w:top="38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1198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11988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40"/>
        <w:spacing w:after="0" w:line="252" w:lineRule="auto"/>
        <w:rPr>
          <w:sz w:val="20"/>
          <w:szCs w:val="20"/>
          <w:color w:val="auto"/>
        </w:rPr>
      </w:pPr>
      <w:r>
        <w:rPr>
          <w:rFonts w:ascii="Arial" w:cs="Arial" w:eastAsia="Arial" w:hAnsi="Arial"/>
          <w:sz w:val="14"/>
          <w:szCs w:val="14"/>
          <w:color w:val="auto"/>
        </w:rPr>
        <w:t>$1.235 billion or more, or (c) in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70" w:lineRule="exact"/>
        <w:rPr>
          <w:sz w:val="20"/>
          <w:szCs w:val="20"/>
          <w:color w:val="auto"/>
        </w:rPr>
      </w:pPr>
    </w:p>
    <w:p>
      <w:pPr>
        <w:ind w:left="180"/>
        <w:spacing w:after="0" w:line="241" w:lineRule="auto"/>
        <w:rPr>
          <w:sz w:val="20"/>
          <w:szCs w:val="20"/>
          <w:color w:val="auto"/>
        </w:rPr>
      </w:pPr>
      <w:r>
        <w:rPr>
          <w:rFonts w:ascii="Arial" w:cs="Arial" w:eastAsia="Arial" w:hAnsi="Arial"/>
          <w:sz w:val="14"/>
          <w:szCs w:val="14"/>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 Further, it is possible that some investors will find our Class A common stock less attractive as a result of these elections, which may result in a less active trading market for our Class A common stock and higher volatility in our stock price.</w:t>
      </w: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980"/>
          </w:cols>
          <w:pgMar w:left="300" w:top="385"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630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3630930"/>
                    </a:xfrm>
                    <a:prstGeom prst="rect">
                      <a:avLst/>
                    </a:prstGeom>
                    <a:noFill/>
                  </pic:spPr>
                </pic:pic>
              </a:graphicData>
            </a:graphic>
          </wp:anchor>
        </w:drawing>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offering</w:t>
      </w:r>
    </w:p>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211"/>
        </w:trPr>
        <w:tc>
          <w:tcPr>
            <w:tcW w:w="3480" w:type="dxa"/>
            <w:vAlign w:val="bottom"/>
          </w:tcPr>
          <w:p>
            <w:pPr>
              <w:spacing w:after="0"/>
              <w:rPr>
                <w:sz w:val="20"/>
                <w:szCs w:val="20"/>
                <w:color w:val="auto"/>
              </w:rPr>
            </w:pPr>
            <w:r>
              <w:rPr>
                <w:rFonts w:ascii="Arial" w:cs="Arial" w:eastAsia="Arial" w:hAnsi="Arial"/>
                <w:sz w:val="15"/>
                <w:szCs w:val="15"/>
                <w:b w:val="1"/>
                <w:bCs w:val="1"/>
                <w:color w:val="auto"/>
              </w:rPr>
              <w:t>Class A common stock offered by us</w:t>
            </w:r>
          </w:p>
        </w:tc>
        <w:tc>
          <w:tcPr>
            <w:tcW w:w="7340" w:type="dxa"/>
            <w:vAlign w:val="bottom"/>
          </w:tcPr>
          <w:p>
            <w:pPr>
              <w:ind w:left="780"/>
              <w:spacing w:after="0"/>
              <w:rPr>
                <w:sz w:val="20"/>
                <w:szCs w:val="20"/>
                <w:color w:val="auto"/>
              </w:rPr>
            </w:pPr>
            <w:r>
              <w:rPr>
                <w:rFonts w:ascii="Arial" w:cs="Arial" w:eastAsia="Arial" w:hAnsi="Arial"/>
                <w:sz w:val="14"/>
                <w:szCs w:val="14"/>
                <w:color w:val="auto"/>
              </w:rPr>
              <w:t>         shares.</w:t>
            </w:r>
          </w:p>
        </w:tc>
      </w:tr>
      <w:tr>
        <w:trPr>
          <w:trHeight w:val="244"/>
        </w:trPr>
        <w:tc>
          <w:tcPr>
            <w:tcW w:w="3480" w:type="dxa"/>
            <w:vAlign w:val="bottom"/>
          </w:tcPr>
          <w:p>
            <w:pPr>
              <w:spacing w:after="0"/>
              <w:rPr>
                <w:sz w:val="20"/>
                <w:szCs w:val="20"/>
                <w:color w:val="auto"/>
              </w:rPr>
            </w:pPr>
            <w:r>
              <w:rPr>
                <w:rFonts w:ascii="Arial" w:cs="Arial" w:eastAsia="Arial" w:hAnsi="Arial"/>
                <w:sz w:val="15"/>
                <w:szCs w:val="15"/>
                <w:b w:val="1"/>
                <w:bCs w:val="1"/>
                <w:color w:val="auto"/>
              </w:rPr>
              <w:t>Option to purchase additional shares</w:t>
            </w:r>
          </w:p>
        </w:tc>
        <w:tc>
          <w:tcPr>
            <w:tcW w:w="7340" w:type="dxa"/>
            <w:vAlign w:val="bottom"/>
          </w:tcPr>
          <w:p>
            <w:pPr>
              <w:ind w:left="780"/>
              <w:spacing w:after="0"/>
              <w:rPr>
                <w:sz w:val="20"/>
                <w:szCs w:val="20"/>
                <w:color w:val="auto"/>
              </w:rPr>
            </w:pPr>
            <w:r>
              <w:rPr>
                <w:rFonts w:ascii="Arial" w:cs="Arial" w:eastAsia="Arial" w:hAnsi="Arial"/>
                <w:sz w:val="14"/>
                <w:szCs w:val="14"/>
                <w:color w:val="auto"/>
                <w:w w:val="98"/>
              </w:rPr>
              <w:t>We have granted the underwriters an option to purchase up to         additional shares of Class A common</w:t>
            </w:r>
          </w:p>
        </w:tc>
      </w:tr>
      <w:tr>
        <w:trPr>
          <w:trHeight w:val="185"/>
        </w:trPr>
        <w:tc>
          <w:tcPr>
            <w:tcW w:w="3480" w:type="dxa"/>
            <w:vAlign w:val="bottom"/>
          </w:tcPr>
          <w:p>
            <w:pPr>
              <w:spacing w:after="0"/>
              <w:rPr>
                <w:sz w:val="16"/>
                <w:szCs w:val="16"/>
                <w:color w:val="auto"/>
              </w:rPr>
            </w:pPr>
          </w:p>
        </w:tc>
        <w:tc>
          <w:tcPr>
            <w:tcW w:w="7340" w:type="dxa"/>
            <w:vAlign w:val="bottom"/>
          </w:tcPr>
          <w:p>
            <w:pPr>
              <w:ind w:left="780"/>
              <w:spacing w:after="0"/>
              <w:rPr>
                <w:sz w:val="20"/>
                <w:szCs w:val="20"/>
                <w:color w:val="auto"/>
              </w:rPr>
            </w:pPr>
            <w:r>
              <w:rPr>
                <w:rFonts w:ascii="Arial" w:cs="Arial" w:eastAsia="Arial" w:hAnsi="Arial"/>
                <w:sz w:val="14"/>
                <w:szCs w:val="14"/>
                <w:color w:val="auto"/>
              </w:rPr>
              <w:t>stock from us at any time within 30 days from the date of this prospectus.</w:t>
            </w:r>
          </w:p>
        </w:tc>
      </w:tr>
    </w:tbl>
    <w:p>
      <w:pPr>
        <w:spacing w:after="0" w:line="84" w:lineRule="exact"/>
        <w:rPr>
          <w:sz w:val="20"/>
          <w:szCs w:val="20"/>
          <w:color w:val="auto"/>
        </w:rPr>
      </w:pPr>
    </w:p>
    <w:p>
      <w:pPr>
        <w:sectPr>
          <w:pgSz w:w="11900" w:h="16838" w:orient="portrait"/>
          <w:cols w:equalWidth="0" w:num="1">
            <w:col w:w="11280"/>
          </w:cols>
          <w:pgMar w:left="300" w:top="385" w:right="319" w:bottom="1440" w:gutter="0" w:footer="0" w:header="0"/>
        </w:sectPr>
      </w:pPr>
    </w:p>
    <w:p>
      <w:pPr>
        <w:ind w:left="180"/>
        <w:spacing w:after="0" w:line="287" w:lineRule="auto"/>
        <w:rPr>
          <w:sz w:val="20"/>
          <w:szCs w:val="20"/>
          <w:color w:val="auto"/>
        </w:rPr>
      </w:pPr>
      <w:r>
        <w:rPr>
          <w:rFonts w:ascii="Arial" w:cs="Arial" w:eastAsia="Arial" w:hAnsi="Arial"/>
          <w:sz w:val="15"/>
          <w:szCs w:val="15"/>
          <w:b w:val="1"/>
          <w:bCs w:val="1"/>
          <w:color w:val="auto"/>
        </w:rPr>
        <w:t>Class A common stock to be outstanding immediately after this offering</w:t>
      </w:r>
    </w:p>
    <w:p>
      <w:pPr>
        <w:spacing w:after="0" w:line="49" w:lineRule="exact"/>
        <w:rPr>
          <w:sz w:val="20"/>
          <w:szCs w:val="20"/>
          <w:color w:val="auto"/>
        </w:rPr>
      </w:pPr>
    </w:p>
    <w:p>
      <w:pPr>
        <w:ind w:left="180"/>
        <w:spacing w:after="0" w:line="287" w:lineRule="auto"/>
        <w:rPr>
          <w:sz w:val="20"/>
          <w:szCs w:val="20"/>
          <w:color w:val="auto"/>
        </w:rPr>
      </w:pPr>
      <w:r>
        <w:rPr>
          <w:rFonts w:ascii="Arial" w:cs="Arial" w:eastAsia="Arial" w:hAnsi="Arial"/>
          <w:sz w:val="15"/>
          <w:szCs w:val="15"/>
          <w:b w:val="1"/>
          <w:bCs w:val="1"/>
          <w:color w:val="auto"/>
        </w:rPr>
        <w:t>Class B common stock to be outstanding immediately after this offering</w:t>
      </w:r>
    </w:p>
    <w:p>
      <w:pPr>
        <w:spacing w:after="0" w:line="20" w:lineRule="exact"/>
        <w:rPr>
          <w:sz w:val="20"/>
          <w:szCs w:val="20"/>
          <w:color w:val="auto"/>
        </w:rPr>
      </w:pPr>
      <w:r>
        <w:rPr>
          <w:sz w:val="20"/>
          <w:szCs w:val="20"/>
          <w:color w:val="auto"/>
        </w:rPr>
        <w:br w:type="column"/>
      </w:r>
    </w:p>
    <w:p>
      <w:pPr>
        <w:ind w:left="7" w:right="500" w:hanging="7"/>
        <w:spacing w:after="0" w:line="269" w:lineRule="auto"/>
        <w:tabs>
          <w:tab w:leader="none" w:pos="1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shares (or      shares if the underwriters exercise their option to purchase additional shares of Class A common stock in full).</w:t>
      </w:r>
    </w:p>
    <w:p>
      <w:pPr>
        <w:spacing w:after="0" w:line="100" w:lineRule="exact"/>
        <w:rPr>
          <w:rFonts w:ascii="Arial" w:cs="Arial" w:eastAsia="Arial" w:hAnsi="Arial"/>
          <w:sz w:val="14"/>
          <w:szCs w:val="14"/>
          <w:color w:val="auto"/>
        </w:rPr>
      </w:pPr>
    </w:p>
    <w:p>
      <w:pPr>
        <w:ind w:left="147" w:hanging="147"/>
        <w:spacing w:after="0"/>
        <w:tabs>
          <w:tab w:leader="none" w:pos="1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shares.</w:t>
      </w:r>
    </w:p>
    <w:p>
      <w:pPr>
        <w:spacing w:after="0" w:line="285" w:lineRule="exact"/>
        <w:rPr>
          <w:sz w:val="20"/>
          <w:szCs w:val="20"/>
          <w:color w:val="auto"/>
        </w:rPr>
      </w:pPr>
    </w:p>
    <w:p>
      <w:pPr>
        <w:sectPr>
          <w:pgSz w:w="11900" w:h="16838" w:orient="portrait"/>
          <w:cols w:equalWidth="0" w:num="2">
            <w:col w:w="4140" w:space="293"/>
            <w:col w:w="6847"/>
          </w:cols>
          <w:pgMar w:left="300" w:top="385"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020" w:type="dxa"/>
            <w:vAlign w:val="bottom"/>
          </w:tcPr>
          <w:p>
            <w:pPr>
              <w:ind w:left="180"/>
              <w:spacing w:after="0"/>
              <w:rPr>
                <w:sz w:val="20"/>
                <w:szCs w:val="20"/>
                <w:color w:val="auto"/>
              </w:rPr>
            </w:pPr>
            <w:r>
              <w:rPr>
                <w:rFonts w:ascii="Arial" w:cs="Arial" w:eastAsia="Arial" w:hAnsi="Arial"/>
                <w:sz w:val="15"/>
                <w:szCs w:val="15"/>
                <w:b w:val="1"/>
                <w:bCs w:val="1"/>
                <w:color w:val="auto"/>
              </w:rPr>
              <w:t>Total Class A and Class B common stock to be</w:t>
            </w:r>
          </w:p>
        </w:tc>
        <w:tc>
          <w:tcPr>
            <w:tcW w:w="7260" w:type="dxa"/>
            <w:vAlign w:val="bottom"/>
          </w:tcPr>
          <w:p>
            <w:pPr>
              <w:ind w:left="420"/>
              <w:spacing w:after="0"/>
              <w:rPr>
                <w:sz w:val="20"/>
                <w:szCs w:val="20"/>
                <w:color w:val="auto"/>
              </w:rPr>
            </w:pPr>
            <w:r>
              <w:rPr>
                <w:rFonts w:ascii="Arial" w:cs="Arial" w:eastAsia="Arial" w:hAnsi="Arial"/>
                <w:sz w:val="14"/>
                <w:szCs w:val="14"/>
                <w:color w:val="auto"/>
              </w:rPr>
              <w:t>         shares (or         shares if the underwriters exercise their option to purchase additional shares of</w:t>
            </w:r>
          </w:p>
        </w:tc>
      </w:tr>
      <w:tr>
        <w:trPr>
          <w:trHeight w:val="218"/>
        </w:trPr>
        <w:tc>
          <w:tcPr>
            <w:tcW w:w="4020" w:type="dxa"/>
            <w:vAlign w:val="bottom"/>
          </w:tcPr>
          <w:p>
            <w:pPr>
              <w:ind w:left="180"/>
              <w:spacing w:after="0"/>
              <w:rPr>
                <w:sz w:val="20"/>
                <w:szCs w:val="20"/>
                <w:color w:val="auto"/>
              </w:rPr>
            </w:pPr>
            <w:r>
              <w:rPr>
                <w:rFonts w:ascii="Arial" w:cs="Arial" w:eastAsia="Arial" w:hAnsi="Arial"/>
                <w:sz w:val="15"/>
                <w:szCs w:val="15"/>
                <w:b w:val="1"/>
                <w:bCs w:val="1"/>
                <w:color w:val="auto"/>
              </w:rPr>
              <w:t>outstanding immediately after this offering</w:t>
            </w:r>
          </w:p>
        </w:tc>
        <w:tc>
          <w:tcPr>
            <w:tcW w:w="7260" w:type="dxa"/>
            <w:vAlign w:val="bottom"/>
          </w:tcPr>
          <w:p>
            <w:pPr>
              <w:ind w:left="420"/>
              <w:spacing w:after="0"/>
              <w:rPr>
                <w:sz w:val="20"/>
                <w:szCs w:val="20"/>
                <w:color w:val="auto"/>
              </w:rPr>
            </w:pPr>
            <w:r>
              <w:rPr>
                <w:rFonts w:ascii="Arial" w:cs="Arial" w:eastAsia="Arial" w:hAnsi="Arial"/>
                <w:sz w:val="14"/>
                <w:szCs w:val="14"/>
                <w:color w:val="auto"/>
              </w:rPr>
              <w:t>Class A common stock in full).</w:t>
            </w:r>
          </w:p>
        </w:tc>
      </w:tr>
      <w:tr>
        <w:trPr>
          <w:trHeight w:val="244"/>
        </w:trPr>
        <w:tc>
          <w:tcPr>
            <w:tcW w:w="4020" w:type="dxa"/>
            <w:vAlign w:val="bottom"/>
          </w:tcPr>
          <w:p>
            <w:pPr>
              <w:ind w:left="180"/>
              <w:spacing w:after="0"/>
              <w:rPr>
                <w:sz w:val="20"/>
                <w:szCs w:val="20"/>
                <w:color w:val="auto"/>
              </w:rPr>
            </w:pPr>
            <w:r>
              <w:rPr>
                <w:rFonts w:ascii="Arial" w:cs="Arial" w:eastAsia="Arial" w:hAnsi="Arial"/>
                <w:sz w:val="15"/>
                <w:szCs w:val="15"/>
                <w:b w:val="1"/>
                <w:bCs w:val="1"/>
                <w:color w:val="auto"/>
              </w:rPr>
              <w:t>Use of proceeds</w:t>
            </w:r>
          </w:p>
        </w:tc>
        <w:tc>
          <w:tcPr>
            <w:tcW w:w="7260" w:type="dxa"/>
            <w:vAlign w:val="bottom"/>
          </w:tcPr>
          <w:p>
            <w:pPr>
              <w:ind w:left="420"/>
              <w:spacing w:after="0"/>
              <w:rPr>
                <w:sz w:val="20"/>
                <w:szCs w:val="20"/>
                <w:color w:val="auto"/>
              </w:rPr>
            </w:pPr>
            <w:r>
              <w:rPr>
                <w:rFonts w:ascii="Arial" w:cs="Arial" w:eastAsia="Arial" w:hAnsi="Arial"/>
                <w:sz w:val="14"/>
                <w:szCs w:val="14"/>
                <w:color w:val="auto"/>
              </w:rPr>
              <w:t>We estimate the net proceeds from the sale of shares of our Class A common stock this offering will be</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approximately $         million, or $         million if the underwriters exercise their option to purchase</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additional shares of Class A common stock in full, assuming an initial public offering price of $         per</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share, which is the midpoint of the estimated offering price range set forth on the cover page of this</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prospectus, and after deducting the underwriting discounts and commissions and estimated offering</w:t>
            </w:r>
          </w:p>
        </w:tc>
      </w:tr>
      <w:tr>
        <w:trPr>
          <w:trHeight w:val="185"/>
        </w:trPr>
        <w:tc>
          <w:tcPr>
            <w:tcW w:w="4020" w:type="dxa"/>
            <w:vAlign w:val="bottom"/>
          </w:tcPr>
          <w:p>
            <w:pPr>
              <w:spacing w:after="0"/>
              <w:rPr>
                <w:sz w:val="16"/>
                <w:szCs w:val="16"/>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expenses payable by us.</w:t>
            </w:r>
          </w:p>
        </w:tc>
      </w:tr>
      <w:tr>
        <w:trPr>
          <w:trHeight w:val="246"/>
        </w:trPr>
        <w:tc>
          <w:tcPr>
            <w:tcW w:w="4020" w:type="dxa"/>
            <w:vAlign w:val="bottom"/>
          </w:tcPr>
          <w:p>
            <w:pPr>
              <w:spacing w:after="0"/>
              <w:rPr>
                <w:sz w:val="21"/>
                <w:szCs w:val="21"/>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We currently intend to use the net proceeds from this offering, together with our existing cash and cash</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equivalents, for working capital and other general corporate purposes, including to fund our growth,</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research and development initiatives, technology development, working capital, and operating expenses.</w:t>
            </w:r>
          </w:p>
        </w:tc>
      </w:tr>
      <w:tr>
        <w:trPr>
          <w:trHeight w:val="185"/>
        </w:trPr>
        <w:tc>
          <w:tcPr>
            <w:tcW w:w="4020" w:type="dxa"/>
            <w:vAlign w:val="bottom"/>
          </w:tcPr>
          <w:p>
            <w:pPr>
              <w:spacing w:after="0"/>
              <w:rPr>
                <w:sz w:val="16"/>
                <w:szCs w:val="16"/>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See the section titled “Use of proceeds” for additional information.</w:t>
            </w:r>
          </w:p>
        </w:tc>
      </w:tr>
      <w:tr>
        <w:trPr>
          <w:trHeight w:val="246"/>
        </w:trPr>
        <w:tc>
          <w:tcPr>
            <w:tcW w:w="4020" w:type="dxa"/>
            <w:vAlign w:val="bottom"/>
          </w:tcPr>
          <w:p>
            <w:pPr>
              <w:ind w:left="180"/>
              <w:spacing w:after="0"/>
              <w:rPr>
                <w:sz w:val="20"/>
                <w:szCs w:val="20"/>
                <w:color w:val="auto"/>
              </w:rPr>
            </w:pPr>
            <w:r>
              <w:rPr>
                <w:rFonts w:ascii="Arial" w:cs="Arial" w:eastAsia="Arial" w:hAnsi="Arial"/>
                <w:sz w:val="15"/>
                <w:szCs w:val="15"/>
                <w:b w:val="1"/>
                <w:bCs w:val="1"/>
                <w:color w:val="auto"/>
              </w:rPr>
              <w:t>Voting rights</w:t>
            </w:r>
          </w:p>
        </w:tc>
        <w:tc>
          <w:tcPr>
            <w:tcW w:w="7260" w:type="dxa"/>
            <w:vAlign w:val="bottom"/>
          </w:tcPr>
          <w:p>
            <w:pPr>
              <w:ind w:left="420"/>
              <w:spacing w:after="0"/>
              <w:rPr>
                <w:sz w:val="20"/>
                <w:szCs w:val="20"/>
                <w:color w:val="auto"/>
              </w:rPr>
            </w:pPr>
            <w:r>
              <w:rPr>
                <w:rFonts w:ascii="Arial" w:cs="Arial" w:eastAsia="Arial" w:hAnsi="Arial"/>
                <w:sz w:val="14"/>
                <w:szCs w:val="14"/>
                <w:color w:val="auto"/>
              </w:rPr>
              <w:t>Each share of our Class A common stock entitles its holder to one vote on all matters to be voted on by</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stockholders generally. Each share of our Class B common stock entitles its holder to 15 votes on all</w:t>
            </w:r>
          </w:p>
        </w:tc>
      </w:tr>
      <w:tr>
        <w:trPr>
          <w:trHeight w:val="185"/>
        </w:trPr>
        <w:tc>
          <w:tcPr>
            <w:tcW w:w="4020" w:type="dxa"/>
            <w:vAlign w:val="bottom"/>
          </w:tcPr>
          <w:p>
            <w:pPr>
              <w:spacing w:after="0"/>
              <w:rPr>
                <w:sz w:val="16"/>
                <w:szCs w:val="16"/>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matters to be voted on by stockholders generally.</w:t>
            </w:r>
          </w:p>
        </w:tc>
      </w:tr>
      <w:tr>
        <w:trPr>
          <w:trHeight w:val="246"/>
        </w:trPr>
        <w:tc>
          <w:tcPr>
            <w:tcW w:w="4020" w:type="dxa"/>
            <w:vAlign w:val="bottom"/>
          </w:tcPr>
          <w:p>
            <w:pPr>
              <w:spacing w:after="0"/>
              <w:rPr>
                <w:sz w:val="21"/>
                <w:szCs w:val="21"/>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Holders of our Class A common stock and Class B common stock will generally vote together as a single</w:t>
            </w:r>
          </w:p>
        </w:tc>
      </w:tr>
      <w:tr>
        <w:trPr>
          <w:trHeight w:val="157"/>
        </w:trPr>
        <w:tc>
          <w:tcPr>
            <w:tcW w:w="4020" w:type="dxa"/>
            <w:vAlign w:val="bottom"/>
          </w:tcPr>
          <w:p>
            <w:pPr>
              <w:spacing w:after="0"/>
              <w:rPr>
                <w:sz w:val="13"/>
                <w:szCs w:val="13"/>
                <w:color w:val="auto"/>
              </w:rPr>
            </w:pPr>
          </w:p>
        </w:tc>
        <w:tc>
          <w:tcPr>
            <w:tcW w:w="7260" w:type="dxa"/>
            <w:vAlign w:val="bottom"/>
          </w:tcPr>
          <w:p>
            <w:pPr>
              <w:ind w:left="420"/>
              <w:spacing w:after="0" w:line="157" w:lineRule="exact"/>
              <w:rPr>
                <w:sz w:val="20"/>
                <w:szCs w:val="20"/>
                <w:color w:val="auto"/>
              </w:rPr>
            </w:pPr>
            <w:r>
              <w:rPr>
                <w:rFonts w:ascii="Arial" w:cs="Arial" w:eastAsia="Arial" w:hAnsi="Arial"/>
                <w:sz w:val="14"/>
                <w:szCs w:val="14"/>
                <w:color w:val="auto"/>
              </w:rPr>
              <w:t>class, unless otherwise required by law or our amended and restated certificate of incorporation (the</w:t>
            </w:r>
          </w:p>
        </w:tc>
      </w:tr>
      <w:tr>
        <w:trPr>
          <w:trHeight w:val="185"/>
        </w:trPr>
        <w:tc>
          <w:tcPr>
            <w:tcW w:w="4020" w:type="dxa"/>
            <w:vAlign w:val="bottom"/>
          </w:tcPr>
          <w:p>
            <w:pPr>
              <w:spacing w:after="0"/>
              <w:rPr>
                <w:sz w:val="16"/>
                <w:szCs w:val="16"/>
                <w:color w:val="auto"/>
              </w:rPr>
            </w:pPr>
          </w:p>
        </w:tc>
        <w:tc>
          <w:tcPr>
            <w:tcW w:w="7260" w:type="dxa"/>
            <w:vAlign w:val="bottom"/>
          </w:tcPr>
          <w:p>
            <w:pPr>
              <w:ind w:left="420"/>
              <w:spacing w:after="0"/>
              <w:rPr>
                <w:sz w:val="20"/>
                <w:szCs w:val="20"/>
                <w:color w:val="auto"/>
              </w:rPr>
            </w:pPr>
            <w:r>
              <w:rPr>
                <w:rFonts w:ascii="Arial" w:cs="Arial" w:eastAsia="Arial" w:hAnsi="Arial"/>
                <w:sz w:val="14"/>
                <w:szCs w:val="14"/>
                <w:color w:val="auto"/>
              </w:rPr>
              <w:t>Post-IPO Certificate of Incorporation).</w:t>
            </w:r>
          </w:p>
        </w:tc>
      </w:tr>
      <w:tr>
        <w:trPr>
          <w:trHeight w:val="151"/>
        </w:trPr>
        <w:tc>
          <w:tcPr>
            <w:tcW w:w="4020" w:type="dxa"/>
            <w:vAlign w:val="bottom"/>
            <w:tcBorders>
              <w:bottom w:val="single" w:sz="8" w:color="auto"/>
            </w:tcBorders>
          </w:tcPr>
          <w:p>
            <w:pPr>
              <w:spacing w:after="0"/>
              <w:rPr>
                <w:sz w:val="13"/>
                <w:szCs w:val="13"/>
                <w:color w:val="auto"/>
              </w:rPr>
            </w:pPr>
          </w:p>
        </w:tc>
        <w:tc>
          <w:tcPr>
            <w:tcW w:w="7260" w:type="dxa"/>
            <w:vAlign w:val="bottom"/>
            <w:tcBorders>
              <w:bottom w:val="single" w:sz="8" w:color="auto"/>
            </w:tcBorders>
          </w:tcPr>
          <w:p>
            <w:pPr>
              <w:spacing w:after="0"/>
              <w:rPr>
                <w:sz w:val="13"/>
                <w:szCs w:val="13"/>
                <w:color w:val="auto"/>
              </w:rPr>
            </w:pPr>
          </w:p>
        </w:tc>
      </w:tr>
      <w:tr>
        <w:trPr>
          <w:trHeight w:val="281"/>
        </w:trPr>
        <w:tc>
          <w:tcPr>
            <w:tcW w:w="4020" w:type="dxa"/>
            <w:vAlign w:val="bottom"/>
          </w:tcPr>
          <w:p>
            <w:pPr>
              <w:spacing w:after="0"/>
              <w:rPr>
                <w:sz w:val="24"/>
                <w:szCs w:val="24"/>
                <w:color w:val="auto"/>
              </w:rPr>
            </w:pPr>
          </w:p>
        </w:tc>
        <w:tc>
          <w:tcPr>
            <w:tcW w:w="7260" w:type="dxa"/>
            <w:vAlign w:val="bottom"/>
          </w:tcPr>
          <w:p>
            <w:pPr>
              <w:ind w:left="1540"/>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280"/>
          </w:cols>
          <w:pgMar w:left="300" w:top="385"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318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4"/>
                <w:szCs w:val="14"/>
                <w:color w:val="auto"/>
              </w:rPr>
              <w:t>Oguzhan Atay, our Chief Executive Officer and Co-Founder, and David Tsao, our Chief Technology Officer</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and Co-Founders (each, a Founder, and together, the Co-Founders), will beneficially own 100% of our</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outstanding Class B common stock and, as a result, Drs. Atay and Tsao will beneficially own</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approximately         % and approximately          %, respectively, of the voting power of our outstanding</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capital stock immediately following this offering, assuming no exercise of the underwriters’ option to</w:t>
            </w:r>
          </w:p>
        </w:tc>
      </w:tr>
      <w:tr>
        <w:trPr>
          <w:trHeight w:val="185"/>
        </w:trPr>
        <w:tc>
          <w:tcPr>
            <w:tcW w:w="3180" w:type="dxa"/>
            <w:vAlign w:val="bottom"/>
            <w:tcBorders>
              <w:left w:val="single" w:sz="8" w:color="auto"/>
            </w:tcBorders>
          </w:tcPr>
          <w:p>
            <w:pPr>
              <w:spacing w:after="0"/>
              <w:rPr>
                <w:sz w:val="16"/>
                <w:szCs w:val="16"/>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purchase additional shares of Class A common stock.</w:t>
            </w:r>
          </w:p>
        </w:tc>
      </w:tr>
      <w:tr>
        <w:trPr>
          <w:trHeight w:val="246"/>
        </w:trPr>
        <w:tc>
          <w:tcPr>
            <w:tcW w:w="3180" w:type="dxa"/>
            <w:vAlign w:val="bottom"/>
            <w:tcBorders>
              <w:left w:val="single" w:sz="8" w:color="auto"/>
            </w:tcBorders>
          </w:tcPr>
          <w:p>
            <w:pPr>
              <w:spacing w:after="0"/>
              <w:rPr>
                <w:sz w:val="21"/>
                <w:szCs w:val="21"/>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As a result, our Co-Founders may have significant influence over the outcome of matters submitted to our</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stockholders for approval, including the election of our directors and the approval of any change of control</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transaction. These risks are more fully described in the section titled “Risk factors.” For additional</w:t>
            </w:r>
          </w:p>
        </w:tc>
      </w:tr>
      <w:tr>
        <w:trPr>
          <w:trHeight w:val="185"/>
        </w:trPr>
        <w:tc>
          <w:tcPr>
            <w:tcW w:w="3180" w:type="dxa"/>
            <w:vAlign w:val="bottom"/>
            <w:tcBorders>
              <w:left w:val="single" w:sz="8" w:color="auto"/>
            </w:tcBorders>
          </w:tcPr>
          <w:p>
            <w:pPr>
              <w:spacing w:after="0"/>
              <w:rPr>
                <w:sz w:val="16"/>
                <w:szCs w:val="16"/>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information, see the sections titled “Principal stockholders” and “Description of capital stock.”</w:t>
            </w:r>
          </w:p>
        </w:tc>
      </w:tr>
      <w:tr>
        <w:trPr>
          <w:trHeight w:val="246"/>
        </w:trPr>
        <w:tc>
          <w:tcPr>
            <w:tcW w:w="3180" w:type="dxa"/>
            <w:vAlign w:val="bottom"/>
            <w:tcBorders>
              <w:left w:val="single" w:sz="8" w:color="auto"/>
            </w:tcBorders>
          </w:tcPr>
          <w:p>
            <w:pPr>
              <w:spacing w:after="0"/>
              <w:rPr>
                <w:sz w:val="21"/>
                <w:szCs w:val="21"/>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All of the outstanding shares of our Class B common stock will convert automatically on a one-for-one basis</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into shares of our Class A common stock upon the earliest of (i) seven years from the date of filing the</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Post-IPO Certificate of Incorporation and (ii) the date specified by a vote of the holders of Class B common</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stock representing a majority of the outstanding shares of Class B common stock. In addition, each share of</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Class B common stock held by a Founder and such Founder’s permitted transferees will automatically</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convert into one share of Class A common stock upon the earlier of (i) the date that is between 90 days and</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270 days, as determined by our Board of Directors, after the death or incapacitation of such Founder or</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(ii) the date that is between 61 and 180 days, as determined by our Board of Directors, after the date on</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which such Founder is no longer serving as an officer or director of the Company. See the section titled</w:t>
            </w:r>
          </w:p>
        </w:tc>
      </w:tr>
      <w:tr>
        <w:trPr>
          <w:trHeight w:val="185"/>
        </w:trPr>
        <w:tc>
          <w:tcPr>
            <w:tcW w:w="3180" w:type="dxa"/>
            <w:vAlign w:val="bottom"/>
            <w:tcBorders>
              <w:left w:val="single" w:sz="8" w:color="auto"/>
            </w:tcBorders>
          </w:tcPr>
          <w:p>
            <w:pPr>
              <w:spacing w:after="0"/>
              <w:rPr>
                <w:sz w:val="16"/>
                <w:szCs w:val="16"/>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“Description of capital stock—Common stock.”</w:t>
            </w:r>
          </w:p>
        </w:tc>
      </w:tr>
      <w:tr>
        <w:trPr>
          <w:trHeight w:val="246"/>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5"/>
                <w:szCs w:val="15"/>
                <w:b w:val="1"/>
                <w:bCs w:val="1"/>
                <w:color w:val="auto"/>
              </w:rPr>
              <w:t>Directed share program</w:t>
            </w: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At our request, the underwriters have reserved up to 5% of the shares of Class A common stock being</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offered by this prospectus for sale, at the initial public offering price, to our officers, directors and employees</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through a directed share program. Shares purchased through the directed share program will not be subject</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to a lock-up restriction, except in the case of shares purchased by any of our directors or officers. We do</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not know if these parties will choose to purchase all or any portion of these reserved shares, but the</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number of shares of our Class A common stock available for sale to the general public will be reduced to</w:t>
            </w:r>
          </w:p>
        </w:tc>
      </w:tr>
      <w:tr>
        <w:trPr>
          <w:trHeight w:val="157"/>
        </w:trPr>
        <w:tc>
          <w:tcPr>
            <w:tcW w:w="3180" w:type="dxa"/>
            <w:vAlign w:val="bottom"/>
            <w:tcBorders>
              <w:left w:val="single" w:sz="8" w:color="auto"/>
            </w:tcBorders>
          </w:tcPr>
          <w:p>
            <w:pPr>
              <w:spacing w:after="0"/>
              <w:rPr>
                <w:sz w:val="13"/>
                <w:szCs w:val="13"/>
                <w:color w:val="auto"/>
              </w:rPr>
            </w:pPr>
          </w:p>
        </w:tc>
        <w:tc>
          <w:tcPr>
            <w:tcW w:w="8100" w:type="dxa"/>
            <w:vAlign w:val="bottom"/>
            <w:tcBorders>
              <w:right w:val="single" w:sz="8" w:color="auto"/>
            </w:tcBorders>
          </w:tcPr>
          <w:p>
            <w:pPr>
              <w:ind w:left="1260"/>
              <w:spacing w:after="0" w:line="157" w:lineRule="exact"/>
              <w:rPr>
                <w:sz w:val="20"/>
                <w:szCs w:val="20"/>
                <w:color w:val="auto"/>
              </w:rPr>
            </w:pPr>
            <w:r>
              <w:rPr>
                <w:rFonts w:ascii="Arial" w:cs="Arial" w:eastAsia="Arial" w:hAnsi="Arial"/>
                <w:sz w:val="14"/>
                <w:szCs w:val="14"/>
                <w:color w:val="auto"/>
              </w:rPr>
              <w:t>the extent these individuals or entities purchase such reserved shares. Any reserved shares that are not so</w:t>
            </w:r>
          </w:p>
        </w:tc>
      </w:tr>
      <w:tr>
        <w:trPr>
          <w:trHeight w:val="185"/>
        </w:trPr>
        <w:tc>
          <w:tcPr>
            <w:tcW w:w="3180" w:type="dxa"/>
            <w:vAlign w:val="bottom"/>
            <w:tcBorders>
              <w:left w:val="single" w:sz="8" w:color="auto"/>
            </w:tcBorders>
          </w:tcPr>
          <w:p>
            <w:pPr>
              <w:spacing w:after="0"/>
              <w:rPr>
                <w:sz w:val="16"/>
                <w:szCs w:val="16"/>
                <w:color w:val="auto"/>
              </w:rPr>
            </w:pPr>
          </w:p>
        </w:tc>
        <w:tc>
          <w:tcPr>
            <w:tcW w:w="8100" w:type="dxa"/>
            <w:vAlign w:val="bottom"/>
            <w:tcBorders>
              <w:right w:val="single" w:sz="8" w:color="auto"/>
            </w:tcBorders>
          </w:tcPr>
          <w:p>
            <w:pPr>
              <w:ind w:left="1260"/>
              <w:spacing w:after="0"/>
              <w:rPr>
                <w:sz w:val="20"/>
                <w:szCs w:val="20"/>
                <w:color w:val="auto"/>
              </w:rPr>
            </w:pPr>
            <w:r>
              <w:rPr>
                <w:rFonts w:ascii="Arial" w:cs="Arial" w:eastAsia="Arial" w:hAnsi="Arial"/>
                <w:sz w:val="14"/>
                <w:szCs w:val="14"/>
                <w:color w:val="auto"/>
              </w:rPr>
              <w:t>purchased will be offered by the underwriters to the</w:t>
            </w:r>
          </w:p>
        </w:tc>
      </w:tr>
      <w:tr>
        <w:trPr>
          <w:trHeight w:val="151"/>
        </w:trPr>
        <w:tc>
          <w:tcPr>
            <w:tcW w:w="3180" w:type="dxa"/>
            <w:vAlign w:val="bottom"/>
            <w:tcBorders>
              <w:left w:val="single" w:sz="8" w:color="auto"/>
              <w:bottom w:val="single" w:sz="8" w:color="auto"/>
            </w:tcBorders>
          </w:tcPr>
          <w:p>
            <w:pPr>
              <w:spacing w:after="0"/>
              <w:rPr>
                <w:sz w:val="13"/>
                <w:szCs w:val="13"/>
                <w:color w:val="auto"/>
              </w:rPr>
            </w:pPr>
          </w:p>
        </w:tc>
        <w:tc>
          <w:tcPr>
            <w:tcW w:w="8100" w:type="dxa"/>
            <w:vAlign w:val="bottom"/>
            <w:tcBorders>
              <w:bottom w:val="single" w:sz="8" w:color="auto"/>
              <w:right w:val="single" w:sz="8" w:color="auto"/>
            </w:tcBorders>
          </w:tcPr>
          <w:p>
            <w:pPr>
              <w:spacing w:after="0"/>
              <w:rPr>
                <w:sz w:val="13"/>
                <w:szCs w:val="13"/>
                <w:color w:val="auto"/>
              </w:rPr>
            </w:pPr>
          </w:p>
        </w:tc>
      </w:tr>
      <w:tr>
        <w:trPr>
          <w:trHeight w:val="281"/>
        </w:trPr>
        <w:tc>
          <w:tcPr>
            <w:tcW w:w="3180" w:type="dxa"/>
            <w:vAlign w:val="bottom"/>
          </w:tcPr>
          <w:p>
            <w:pPr>
              <w:spacing w:after="0"/>
              <w:rPr>
                <w:sz w:val="24"/>
                <w:szCs w:val="24"/>
                <w:color w:val="auto"/>
              </w:rPr>
            </w:pPr>
          </w:p>
        </w:tc>
        <w:tc>
          <w:tcPr>
            <w:tcW w:w="8100" w:type="dxa"/>
            <w:vAlign w:val="bottom"/>
          </w:tcPr>
          <w:p>
            <w:pPr>
              <w:ind w:left="2380"/>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280"/>
          </w:cols>
          <w:pgMar w:left="300" w:top="38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4090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409067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440" w:right="140"/>
        <w:spacing w:after="0" w:line="252" w:lineRule="auto"/>
        <w:rPr>
          <w:sz w:val="20"/>
          <w:szCs w:val="20"/>
          <w:color w:val="auto"/>
        </w:rPr>
      </w:pPr>
      <w:r>
        <w:rPr>
          <w:rFonts w:ascii="Arial" w:cs="Arial" w:eastAsia="Arial" w:hAnsi="Arial"/>
          <w:sz w:val="14"/>
          <w:szCs w:val="14"/>
          <w:color w:val="auto"/>
        </w:rPr>
        <w:t>general public on the same terms as the other shares offered by this prospectus. J.P. Morgan Securities LLC will administer our directed share program. See the section titled “Underwriting–Directed share program” for additional information.</w:t>
      </w:r>
    </w:p>
    <w:p>
      <w:pPr>
        <w:sectPr>
          <w:pgSz w:w="11900" w:h="16838" w:orient="portrait"/>
          <w:cols w:equalWidth="0" w:num="1">
            <w:col w:w="10980"/>
          </w:cols>
          <w:pgMar w:left="300" w:top="385" w:right="619" w:bottom="1440" w:gutter="0" w:footer="0" w:header="0"/>
        </w:sectPr>
      </w:pPr>
    </w:p>
    <w:p>
      <w:pPr>
        <w:spacing w:after="0" w:line="76"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See the section titled “Risk factors” for a discussion of factors that you should consider carefully before deciding to invest in our Class A common stock.</w:t>
      </w:r>
    </w:p>
    <w:p>
      <w:pPr>
        <w:spacing w:after="0" w:line="65" w:lineRule="exact"/>
        <w:rPr>
          <w:sz w:val="20"/>
          <w:szCs w:val="20"/>
          <w:color w:val="auto"/>
        </w:rPr>
      </w:pPr>
    </w:p>
    <w:p>
      <w:pPr>
        <w:sectPr>
          <w:pgSz w:w="11900" w:h="16838" w:orient="portrait"/>
          <w:cols w:equalWidth="0" w:num="2">
            <w:col w:w="3720" w:space="720"/>
            <w:col w:w="6540"/>
          </w:cols>
          <w:pgMar w:left="300" w:top="385" w:right="619" w:bottom="1440" w:gutter="0" w:footer="0" w:header="0"/>
          <w:type w:val="continuous"/>
        </w:sectPr>
      </w:pPr>
    </w:p>
    <w:p>
      <w:pPr>
        <w:ind w:left="180"/>
        <w:spacing w:after="0"/>
        <w:rPr>
          <w:sz w:val="20"/>
          <w:szCs w:val="20"/>
          <w:color w:val="auto"/>
        </w:rPr>
      </w:pPr>
      <w:r>
        <w:rPr>
          <w:rFonts w:ascii="Arial" w:cs="Arial" w:eastAsia="Arial" w:hAnsi="Arial"/>
          <w:sz w:val="15"/>
          <w:szCs w:val="15"/>
          <w:b w:val="1"/>
          <w:bCs w:val="1"/>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“BLLN”</w:t>
      </w:r>
    </w:p>
    <w:p>
      <w:pPr>
        <w:spacing w:after="0" w:line="133" w:lineRule="exact"/>
        <w:rPr>
          <w:sz w:val="20"/>
          <w:szCs w:val="20"/>
          <w:color w:val="auto"/>
        </w:rPr>
      </w:pPr>
    </w:p>
    <w:p>
      <w:pPr>
        <w:sectPr>
          <w:pgSz w:w="11900" w:h="16838" w:orient="portrait"/>
          <w:cols w:equalWidth="0" w:num="2">
            <w:col w:w="4200" w:space="240"/>
            <w:col w:w="6540"/>
          </w:cols>
          <w:pgMar w:left="300" w:top="385" w:right="619" w:bottom="1440" w:gutter="0" w:footer="0" w:header="0"/>
          <w:type w:val="continuous"/>
        </w:sectPr>
      </w:pPr>
    </w:p>
    <w:p>
      <w:pPr>
        <w:ind w:left="180" w:right="120"/>
        <w:spacing w:after="0" w:line="252" w:lineRule="auto"/>
        <w:rPr>
          <w:sz w:val="20"/>
          <w:szCs w:val="20"/>
          <w:color w:val="auto"/>
        </w:rPr>
      </w:pPr>
      <w:r>
        <w:rPr>
          <w:rFonts w:ascii="Arial" w:cs="Arial" w:eastAsia="Arial" w:hAnsi="Arial"/>
          <w:sz w:val="14"/>
          <w:szCs w:val="14"/>
          <w:color w:val="auto"/>
        </w:rPr>
        <w:t>The number of shares of our common stock to be outstanding after this offering is based on 35,616,629 shares of our Class A common stock and 4,552,650 shares of our Class B common stock outstanding as of June 30, 2025, after giving effect to the Preferred Stock Conversion, the Reclassification and the Class B Stock Exchange (each as defined below), in each case as if they had occurred on June 30, 2025, and excludes:</w:t>
      </w:r>
    </w:p>
    <w:p>
      <w:pPr>
        <w:spacing w:after="0" w:line="80" w:lineRule="exact"/>
        <w:rPr>
          <w:sz w:val="20"/>
          <w:szCs w:val="20"/>
          <w:color w:val="auto"/>
        </w:rPr>
      </w:pPr>
    </w:p>
    <w:p>
      <w:pPr>
        <w:ind w:left="400" w:right="100" w:hanging="217"/>
        <w:spacing w:after="0" w:line="269"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8,930,919 shares of our Class A common stock issuable upon the exercise of stock options outstanding as of June 30, 2025 under our 2018 Stock Plan, as amended (the 2018 Plan), at a weighted-average exercise price of $10.59 per share;</w:t>
      </w:r>
    </w:p>
    <w:p>
      <w:pPr>
        <w:spacing w:after="0" w:line="69" w:lineRule="exact"/>
        <w:rPr>
          <w:rFonts w:ascii="Arial" w:cs="Arial" w:eastAsia="Arial" w:hAnsi="Arial"/>
          <w:sz w:val="14"/>
          <w:szCs w:val="14"/>
          <w:color w:val="auto"/>
        </w:rPr>
      </w:pPr>
    </w:p>
    <w:p>
      <w:pPr>
        <w:ind w:left="400" w:right="240" w:hanging="217"/>
        <w:spacing w:after="0" w:line="269"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1,224,549 shares of our Class A common stock issuable upon the exercise of outstanding stock options that were granted subsequent to June 30, 2025 under our 2018 Plan, at a weighted-average exercise price of $28.88 per share;</w:t>
      </w:r>
    </w:p>
    <w:p>
      <w:pPr>
        <w:spacing w:after="0" w:line="69" w:lineRule="exact"/>
        <w:rPr>
          <w:rFonts w:ascii="Arial" w:cs="Arial" w:eastAsia="Arial" w:hAnsi="Arial"/>
          <w:sz w:val="14"/>
          <w:szCs w:val="14"/>
          <w:color w:val="auto"/>
        </w:rPr>
      </w:pPr>
    </w:p>
    <w:p>
      <w:pPr>
        <w:ind w:left="400" w:right="80" w:hanging="217"/>
        <w:spacing w:after="0" w:line="269"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up to 9,660 shares of our Class A common stock issuable upon the exercise of a redeemable convertible preferred stock warrant (the A-6 Warrant) for an exercise price of $2.5879 per share;</w:t>
      </w:r>
    </w:p>
    <w:p>
      <w:pPr>
        <w:spacing w:after="0" w:line="69" w:lineRule="exact"/>
        <w:rPr>
          <w:rFonts w:ascii="Arial" w:cs="Arial" w:eastAsia="Arial" w:hAnsi="Arial"/>
          <w:sz w:val="14"/>
          <w:szCs w:val="14"/>
          <w:color w:val="auto"/>
        </w:rPr>
      </w:pPr>
    </w:p>
    <w:p>
      <w:pPr>
        <w:ind w:left="400" w:right="80" w:hanging="217"/>
        <w:spacing w:after="0" w:line="269"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up to 80,357 shares of our Class A common stock issuable upon the exercise of a 2021 common stock warrant (the 2021 Common Warrant) for an exercise price of $2.80 per share;</w:t>
      </w:r>
    </w:p>
    <w:p>
      <w:pPr>
        <w:spacing w:after="0" w:line="69" w:lineRule="exact"/>
        <w:rPr>
          <w:rFonts w:ascii="Arial" w:cs="Arial" w:eastAsia="Arial" w:hAnsi="Arial"/>
          <w:sz w:val="14"/>
          <w:szCs w:val="14"/>
          <w:color w:val="auto"/>
        </w:rPr>
      </w:pPr>
    </w:p>
    <w:p>
      <w:pPr>
        <w:ind w:left="400" w:hanging="217"/>
        <w:spacing w:after="0" w:line="269"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up to 41,209 shares of our Class A common stock issuable upon the exercise of a 2022 common stock warrant (the 2022 Common Warrant) for an exercise price of $10.92 per share;</w:t>
      </w:r>
    </w:p>
    <w:p>
      <w:pPr>
        <w:spacing w:after="0" w:line="6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5540" w:type="dxa"/>
            <w:vAlign w:val="bottom"/>
          </w:tcPr>
          <w:p>
            <w:pPr>
              <w:ind w:left="80"/>
              <w:spacing w:after="0"/>
              <w:rPr>
                <w:sz w:val="20"/>
                <w:szCs w:val="20"/>
                <w:color w:val="auto"/>
              </w:rPr>
            </w:pPr>
            <w:r>
              <w:rPr>
                <w:rFonts w:ascii="Arial" w:cs="Arial" w:eastAsia="Arial" w:hAnsi="Arial"/>
                <w:sz w:val="14"/>
                <w:szCs w:val="14"/>
                <w:color w:val="auto"/>
                <w:w w:val="99"/>
              </w:rPr>
              <w:t>         shares of our Class A common stock reserved for future issuance under our 2025</w:t>
            </w:r>
          </w:p>
        </w:tc>
        <w:tc>
          <w:tcPr>
            <w:tcW w:w="4840" w:type="dxa"/>
            <w:vAlign w:val="bottom"/>
          </w:tcPr>
          <w:p>
            <w:pPr>
              <w:ind w:left="20"/>
              <w:spacing w:after="0"/>
              <w:rPr>
                <w:sz w:val="20"/>
                <w:szCs w:val="20"/>
                <w:color w:val="auto"/>
              </w:rPr>
            </w:pPr>
            <w:r>
              <w:rPr>
                <w:rFonts w:ascii="Arial" w:cs="Arial" w:eastAsia="Arial" w:hAnsi="Arial"/>
                <w:sz w:val="14"/>
                <w:szCs w:val="14"/>
                <w:color w:val="auto"/>
              </w:rPr>
              <w:t>Equity Incentive Plan (the 2025 Plan), which will become effective upon the</w:t>
            </w:r>
          </w:p>
        </w:tc>
      </w:tr>
      <w:tr>
        <w:trPr>
          <w:trHeight w:val="157"/>
        </w:trPr>
        <w:tc>
          <w:tcPr>
            <w:tcW w:w="140" w:type="dxa"/>
            <w:vAlign w:val="bottom"/>
          </w:tcPr>
          <w:p>
            <w:pPr>
              <w:spacing w:after="0"/>
              <w:rPr>
                <w:sz w:val="13"/>
                <w:szCs w:val="13"/>
                <w:color w:val="auto"/>
              </w:rPr>
            </w:pPr>
          </w:p>
        </w:tc>
        <w:tc>
          <w:tcPr>
            <w:tcW w:w="103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effectiveness of the registration statement of which this prospectus forms a part, as well as any future increases in the number of shares of our Class A common stock</w:t>
            </w:r>
          </w:p>
        </w:tc>
      </w:tr>
      <w:tr>
        <w:trPr>
          <w:trHeight w:val="185"/>
        </w:trPr>
        <w:tc>
          <w:tcPr>
            <w:tcW w:w="140" w:type="dxa"/>
            <w:vAlign w:val="bottom"/>
          </w:tcPr>
          <w:p>
            <w:pPr>
              <w:spacing w:after="0"/>
              <w:rPr>
                <w:sz w:val="16"/>
                <w:szCs w:val="16"/>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reserved for issuance under the 2025 Plan; and</w:t>
            </w:r>
          </w:p>
        </w:tc>
        <w:tc>
          <w:tcPr>
            <w:tcW w:w="4840" w:type="dxa"/>
            <w:vAlign w:val="bottom"/>
          </w:tcPr>
          <w:p>
            <w:pPr>
              <w:spacing w:after="0"/>
              <w:rPr>
                <w:sz w:val="16"/>
                <w:szCs w:val="16"/>
                <w:color w:val="auto"/>
              </w:rPr>
            </w:pPr>
          </w:p>
        </w:tc>
      </w:tr>
      <w:tr>
        <w:trPr>
          <w:trHeight w:val="24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5540" w:type="dxa"/>
            <w:vAlign w:val="bottom"/>
          </w:tcPr>
          <w:p>
            <w:pPr>
              <w:ind w:left="80"/>
              <w:spacing w:after="0"/>
              <w:rPr>
                <w:sz w:val="20"/>
                <w:szCs w:val="20"/>
                <w:color w:val="auto"/>
              </w:rPr>
            </w:pPr>
            <w:r>
              <w:rPr>
                <w:rFonts w:ascii="Arial" w:cs="Arial" w:eastAsia="Arial" w:hAnsi="Arial"/>
                <w:sz w:val="14"/>
                <w:szCs w:val="14"/>
                <w:color w:val="auto"/>
                <w:w w:val="99"/>
              </w:rPr>
              <w:t>         shares of our Class A common stock reserved for future issuance under our 2025</w:t>
            </w:r>
          </w:p>
        </w:tc>
        <w:tc>
          <w:tcPr>
            <w:tcW w:w="4840" w:type="dxa"/>
            <w:vAlign w:val="bottom"/>
          </w:tcPr>
          <w:p>
            <w:pPr>
              <w:ind w:left="20"/>
              <w:spacing w:after="0"/>
              <w:rPr>
                <w:sz w:val="20"/>
                <w:szCs w:val="20"/>
                <w:color w:val="auto"/>
              </w:rPr>
            </w:pPr>
            <w:r>
              <w:rPr>
                <w:rFonts w:ascii="Arial" w:cs="Arial" w:eastAsia="Arial" w:hAnsi="Arial"/>
                <w:sz w:val="14"/>
                <w:szCs w:val="14"/>
                <w:color w:val="auto"/>
                <w:w w:val="99"/>
              </w:rPr>
              <w:t>Employee Stock Purchase Plan (ESPP), which will become effective upon the</w:t>
            </w:r>
          </w:p>
        </w:tc>
      </w:tr>
      <w:tr>
        <w:trPr>
          <w:trHeight w:val="157"/>
        </w:trPr>
        <w:tc>
          <w:tcPr>
            <w:tcW w:w="140" w:type="dxa"/>
            <w:vAlign w:val="bottom"/>
          </w:tcPr>
          <w:p>
            <w:pPr>
              <w:spacing w:after="0"/>
              <w:rPr>
                <w:sz w:val="13"/>
                <w:szCs w:val="13"/>
                <w:color w:val="auto"/>
              </w:rPr>
            </w:pPr>
          </w:p>
        </w:tc>
        <w:tc>
          <w:tcPr>
            <w:tcW w:w="103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effectiveness of the registration statement of which this prospectus forms a part, as well as any future increases in the number of shares of our Class A common stock</w:t>
            </w:r>
          </w:p>
        </w:tc>
      </w:tr>
      <w:tr>
        <w:trPr>
          <w:trHeight w:val="185"/>
        </w:trPr>
        <w:tc>
          <w:tcPr>
            <w:tcW w:w="140" w:type="dxa"/>
            <w:vAlign w:val="bottom"/>
          </w:tcPr>
          <w:p>
            <w:pPr>
              <w:spacing w:after="0"/>
              <w:rPr>
                <w:sz w:val="16"/>
                <w:szCs w:val="16"/>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reserved for issuance under the ESPP.</w:t>
            </w:r>
          </w:p>
        </w:tc>
        <w:tc>
          <w:tcPr>
            <w:tcW w:w="4840" w:type="dxa"/>
            <w:vAlign w:val="bottom"/>
          </w:tcPr>
          <w:p>
            <w:pPr>
              <w:spacing w:after="0"/>
              <w:rPr>
                <w:sz w:val="16"/>
                <w:szCs w:val="16"/>
                <w:color w:val="auto"/>
              </w:rPr>
            </w:pPr>
          </w:p>
        </w:tc>
      </w:tr>
    </w:tbl>
    <w:p>
      <w:pPr>
        <w:spacing w:after="0" w:line="8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12" w:lineRule="exact"/>
        <w:rPr>
          <w:sz w:val="20"/>
          <w:szCs w:val="20"/>
          <w:color w:val="auto"/>
        </w:rPr>
      </w:pPr>
    </w:p>
    <w:p>
      <w:pPr>
        <w:ind w:left="400" w:right="60" w:hanging="217"/>
        <w:spacing w:after="0" w:line="269" w:lineRule="auto"/>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automatic conversion of all 29,084,235 outstanding shares of our redeemable convertible preferred stock into an aggregate of 29,084,235 shares of our common stock immediately prior to the completion of this offering (the Preferred Stock Conversion);</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automatic adjustment of the A-6 Warrant into a warrant to purchase 9,660 shares of our common stock immediately prior to the completion of this offering;</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980"/>
          </w:cols>
          <w:pgMar w:left="300" w:top="385" w:right="6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1151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1151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0" w:right="240" w:hanging="217"/>
        <w:spacing w:after="0" w:line="252"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filing and effectiveness of our Post-IPO Certificate of Incorporation immediately prior to the completion of this offering, which, among other things, will reclassify all outstanding shares of our common stock into an equal number of shares of Class A common stock (the Reclassification), and the adoption of our amended and restated bylaws (the Post-IPO Bylaws), which will become effective upon the filing of our Post-IPO Certificate of Incorporation;</w:t>
      </w:r>
    </w:p>
    <w:p>
      <w:pPr>
        <w:spacing w:after="0" w:line="80" w:lineRule="exact"/>
        <w:rPr>
          <w:rFonts w:ascii="Arial" w:cs="Arial" w:eastAsia="Arial" w:hAnsi="Arial"/>
          <w:sz w:val="14"/>
          <w:szCs w:val="14"/>
          <w:color w:val="auto"/>
        </w:rPr>
      </w:pPr>
    </w:p>
    <w:p>
      <w:pPr>
        <w:ind w:left="400" w:hanging="217"/>
        <w:spacing w:after="0" w:line="269"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exchange of an aggregate of 4,552,650 shares of Class A common stock held by our Co-Founders, for an equivalent number of shares of our Class B common stock, to be effected immediately prior to the completion of this offering pursuant to the terms of an exchange agreement entered into with us (the Class B Stock Exchange);</w:t>
      </w:r>
    </w:p>
    <w:p>
      <w:pPr>
        <w:spacing w:after="0" w:line="69" w:lineRule="exact"/>
        <w:rPr>
          <w:rFonts w:ascii="Arial" w:cs="Arial" w:eastAsia="Arial" w:hAnsi="Arial"/>
          <w:sz w:val="14"/>
          <w:szCs w:val="14"/>
          <w:color w:val="auto"/>
        </w:rPr>
      </w:pPr>
    </w:p>
    <w:p>
      <w:pPr>
        <w:ind w:left="400" w:hanging="217"/>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 exercise, settlement or termination of the outstanding options or warrants described above; and</w:t>
      </w:r>
    </w:p>
    <w:p>
      <w:pPr>
        <w:spacing w:after="0" w:line="112" w:lineRule="exact"/>
        <w:rPr>
          <w:sz w:val="20"/>
          <w:szCs w:val="20"/>
          <w:color w:val="auto"/>
        </w:rPr>
      </w:pPr>
    </w:p>
    <w:p>
      <w:pPr>
        <w:ind w:left="180"/>
        <w:spacing w:after="0"/>
        <w:tabs>
          <w:tab w:leader="none" w:pos="380" w:val="left"/>
        </w:tabs>
        <w:rPr>
          <w:sz w:val="20"/>
          <w:szCs w:val="20"/>
          <w:color w:val="auto"/>
        </w:rPr>
      </w:pPr>
      <w:r>
        <w:rPr>
          <w:rFonts w:ascii="Arial" w:cs="Arial" w:eastAsia="Arial" w:hAnsi="Arial"/>
          <w:sz w:val="14"/>
          <w:szCs w:val="14"/>
          <w:color w:val="auto"/>
        </w:rPr>
        <w:t>•</w:t>
        <w:tab/>
        <w:t>no exercise by the underwriters of their option to purchase up to         additional shares of our Class A common stock in this offering.</w:t>
      </w: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20"/>
          </w:cols>
          <w:pgMar w:left="300" w:top="385" w:right="5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4850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48501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Summary financial data</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following table sets forth our summary statements of operations data for the years ended December 31, 2023 and 2024 and the six months ended June 30, 2024 and 2025, as well as our summary balance sheet data as of June 30, 2025. We derived the summary statements of operations data for the years ended December 31, 2023 and 2024 from our audited financial statements included elsewhere in this prospectus. The summary condensed statements of operations data for the six months ended June 30, 2025 and 2024 and summary balance sheet data as of June 30, 2025 have been derived from our unaudited financial statements included elsewhere in this prospectus. Our historical results are not necessarily indicative of the results that may be expected in the future. When you read this summary financial data, it is important that you read it together with the historical financial statements and the related notes included elsewhere in this prospectus, as well as the section titled “Management’s discussion and analysis of financial condition and results of operations.”</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157"/>
        </w:trPr>
        <w:tc>
          <w:tcPr>
            <w:tcW w:w="66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per share data)</w:t>
            </w:r>
          </w:p>
        </w:tc>
        <w:tc>
          <w:tcPr>
            <w:tcW w:w="160" w:type="dxa"/>
            <w:vAlign w:val="bottom"/>
          </w:tcPr>
          <w:p>
            <w:pPr>
              <w:spacing w:after="0"/>
              <w:rPr>
                <w:sz w:val="13"/>
                <w:szCs w:val="13"/>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18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6660" w:type="dxa"/>
            <w:vAlign w:val="bottom"/>
            <w:tcBorders>
              <w:bottom w:val="single" w:sz="8" w:color="auto"/>
            </w:tcBorders>
            <w:vMerge w:val="continue"/>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6"/>
              </w:rPr>
              <w:t> </w:t>
            </w:r>
          </w:p>
        </w:tc>
        <w:tc>
          <w:tcPr>
            <w:tcW w:w="94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w w:val="88"/>
              </w:rPr>
              <w:t>     2023</w:t>
            </w: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8"/>
              </w:rPr>
              <w:t>        2024</w:t>
            </w:r>
          </w:p>
        </w:tc>
        <w:tc>
          <w:tcPr>
            <w:tcW w:w="4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960" w:type="dxa"/>
            <w:vAlign w:val="bottom"/>
            <w:tcBorders>
              <w:top w:val="single" w:sz="8" w:color="auto"/>
              <w:bottom w:val="single" w:sz="8" w:color="auto"/>
            </w:tcBorders>
            <w:gridSpan w:val="2"/>
          </w:tcPr>
          <w:p>
            <w:pPr>
              <w:jc w:val="right"/>
              <w:ind w:right="440"/>
              <w:spacing w:after="0" w:line="138" w:lineRule="exact"/>
              <w:rPr>
                <w:sz w:val="20"/>
                <w:szCs w:val="20"/>
                <w:color w:val="auto"/>
              </w:rPr>
            </w:pPr>
            <w:r>
              <w:rPr>
                <w:rFonts w:ascii="Arial" w:cs="Arial" w:eastAsia="Arial" w:hAnsi="Arial"/>
                <w:sz w:val="13"/>
                <w:szCs w:val="13"/>
                <w:b w:val="1"/>
                <w:bCs w:val="1"/>
                <w:color w:val="auto"/>
                <w:w w:val="88"/>
              </w:rPr>
              <w:t>     2024</w:t>
            </w: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60" w:type="dxa"/>
            <w:vAlign w:val="bottom"/>
            <w:tcBorders>
              <w:top w:val="single" w:sz="8" w:color="auto"/>
              <w:bottom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92"/>
              </w:rPr>
              <w:t>     2025</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E5E5E5"/>
          </w:tcPr>
          <w:p>
            <w:pPr>
              <w:spacing w:after="0" w:line="148" w:lineRule="exact"/>
              <w:rPr>
                <w:sz w:val="20"/>
                <w:szCs w:val="20"/>
                <w:color w:val="auto"/>
              </w:rPr>
            </w:pPr>
            <w:r>
              <w:rPr>
                <w:rFonts w:ascii="Arial" w:cs="Arial" w:eastAsia="Arial" w:hAnsi="Arial"/>
                <w:sz w:val="14"/>
                <w:szCs w:val="14"/>
                <w:b w:val="1"/>
                <w:bCs w:val="1"/>
                <w:color w:val="auto"/>
              </w:rPr>
              <w:t>Statements of operations data:</w:t>
            </w:r>
          </w:p>
        </w:tc>
        <w:tc>
          <w:tcPr>
            <w:tcW w:w="1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660" w:type="dxa"/>
            <w:vAlign w:val="bottom"/>
          </w:tcPr>
          <w:p>
            <w:pPr>
              <w:spacing w:after="0" w:line="157" w:lineRule="exact"/>
              <w:rPr>
                <w:sz w:val="20"/>
                <w:szCs w:val="20"/>
                <w:color w:val="auto"/>
              </w:rPr>
            </w:pPr>
            <w:r>
              <w:rPr>
                <w:rFonts w:ascii="Arial" w:cs="Arial" w:eastAsia="Arial" w:hAnsi="Arial"/>
                <w:sz w:val="14"/>
                <w:szCs w:val="14"/>
                <w:color w:val="auto"/>
              </w:rPr>
              <w:t>Revenue</w:t>
            </w:r>
          </w:p>
        </w:tc>
        <w:tc>
          <w:tcPr>
            <w:tcW w:w="160" w:type="dxa"/>
            <w:vAlign w:val="bottom"/>
          </w:tcPr>
          <w:p>
            <w:pPr>
              <w:jc w:val="right"/>
              <w:ind w:right="12"/>
              <w:spacing w:after="0" w:line="157"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71,729</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152,582</w:t>
            </w:r>
          </w:p>
        </w:tc>
        <w:tc>
          <w:tcPr>
            <w:tcW w:w="200" w:type="dxa"/>
            <w:vAlign w:val="bottom"/>
          </w:tcPr>
          <w:p>
            <w:pPr>
              <w:jc w:val="right"/>
              <w:ind w:right="52"/>
              <w:spacing w:after="0" w:line="157"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69,086</w:t>
            </w:r>
          </w:p>
        </w:tc>
        <w:tc>
          <w:tcPr>
            <w:tcW w:w="220" w:type="dxa"/>
            <w:vAlign w:val="bottom"/>
          </w:tcPr>
          <w:p>
            <w:pPr>
              <w:jc w:val="right"/>
              <w:ind w:right="72"/>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125,536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Cost of revenue</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54,421</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71,667</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34,105</w:t>
            </w:r>
          </w:p>
        </w:tc>
        <w:tc>
          <w:tcPr>
            <w:tcW w:w="2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44,098</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line="159" w:lineRule="exact"/>
              <w:rPr>
                <w:sz w:val="20"/>
                <w:szCs w:val="20"/>
                <w:color w:val="auto"/>
              </w:rPr>
            </w:pPr>
            <w:r>
              <w:rPr>
                <w:rFonts w:ascii="Arial" w:cs="Arial" w:eastAsia="Arial" w:hAnsi="Arial"/>
                <w:sz w:val="14"/>
                <w:szCs w:val="14"/>
                <w:color w:val="auto"/>
              </w:rPr>
              <w:t>Gross profit</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420"/>
              <w:spacing w:after="0" w:line="159" w:lineRule="exact"/>
              <w:rPr>
                <w:sz w:val="20"/>
                <w:szCs w:val="20"/>
                <w:color w:val="auto"/>
              </w:rPr>
            </w:pPr>
            <w:r>
              <w:rPr>
                <w:rFonts w:ascii="Arial" w:cs="Arial" w:eastAsia="Arial" w:hAnsi="Arial"/>
                <w:sz w:val="14"/>
                <w:szCs w:val="14"/>
                <w:color w:val="auto"/>
              </w:rPr>
              <w:t>17,308</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420"/>
              <w:spacing w:after="0" w:line="159" w:lineRule="exact"/>
              <w:rPr>
                <w:sz w:val="20"/>
                <w:szCs w:val="20"/>
                <w:color w:val="auto"/>
              </w:rPr>
            </w:pPr>
            <w:r>
              <w:rPr>
                <w:rFonts w:ascii="Arial" w:cs="Arial" w:eastAsia="Arial" w:hAnsi="Arial"/>
                <w:sz w:val="14"/>
                <w:szCs w:val="14"/>
                <w:color w:val="auto"/>
              </w:rPr>
              <w:t>80,915</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40"/>
              <w:spacing w:after="0" w:line="159" w:lineRule="exact"/>
              <w:rPr>
                <w:sz w:val="20"/>
                <w:szCs w:val="20"/>
                <w:color w:val="auto"/>
              </w:rPr>
            </w:pPr>
            <w:r>
              <w:rPr>
                <w:rFonts w:ascii="Arial" w:cs="Arial" w:eastAsia="Arial" w:hAnsi="Arial"/>
                <w:sz w:val="14"/>
                <w:szCs w:val="14"/>
                <w:color w:val="auto"/>
              </w:rPr>
              <w:t>34,981</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81,438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Operating expenses:</w:t>
            </w:r>
          </w:p>
        </w:tc>
        <w:tc>
          <w:tcPr>
            <w:tcW w:w="1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tcPr>
          <w:p>
            <w:pPr>
              <w:ind w:left="140"/>
              <w:spacing w:after="0" w:line="157"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22,414</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36,596</w:t>
            </w:r>
          </w:p>
        </w:tc>
        <w:tc>
          <w:tcPr>
            <w:tcW w:w="200" w:type="dxa"/>
            <w:vAlign w:val="bottom"/>
          </w:tcPr>
          <w:p>
            <w:pPr>
              <w:spacing w:after="0"/>
              <w:rPr>
                <w:sz w:val="13"/>
                <w:szCs w:val="13"/>
                <w:color w:val="auto"/>
              </w:rPr>
            </w:pPr>
          </w:p>
        </w:tc>
        <w:tc>
          <w:tcPr>
            <w:tcW w:w="96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16,050</w:t>
            </w:r>
          </w:p>
        </w:tc>
        <w:tc>
          <w:tcPr>
            <w:tcW w:w="220" w:type="dxa"/>
            <w:vAlign w:val="bottom"/>
          </w:tcPr>
          <w:p>
            <w:pPr>
              <w:spacing w:after="0"/>
              <w:rPr>
                <w:sz w:val="13"/>
                <w:szCs w:val="13"/>
                <w:color w:val="auto"/>
              </w:rPr>
            </w:pP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22,181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64,389</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91,465</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41,751</w:t>
            </w:r>
          </w:p>
        </w:tc>
        <w:tc>
          <w:tcPr>
            <w:tcW w:w="2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63,199</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280"/>
              <w:spacing w:after="0" w:line="159" w:lineRule="exact"/>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420"/>
              <w:spacing w:after="0" w:line="159" w:lineRule="exact"/>
              <w:rPr>
                <w:sz w:val="20"/>
                <w:szCs w:val="20"/>
                <w:color w:val="auto"/>
              </w:rPr>
            </w:pPr>
            <w:r>
              <w:rPr>
                <w:rFonts w:ascii="Arial" w:cs="Arial" w:eastAsia="Arial" w:hAnsi="Arial"/>
                <w:sz w:val="14"/>
                <w:szCs w:val="14"/>
                <w:color w:val="auto"/>
              </w:rPr>
              <w:t>86,803</w:t>
            </w: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420"/>
              <w:spacing w:after="0" w:line="159" w:lineRule="exact"/>
              <w:rPr>
                <w:sz w:val="20"/>
                <w:szCs w:val="20"/>
                <w:color w:val="auto"/>
              </w:rPr>
            </w:pPr>
            <w:r>
              <w:rPr>
                <w:rFonts w:ascii="Arial" w:cs="Arial" w:eastAsia="Arial" w:hAnsi="Arial"/>
                <w:sz w:val="14"/>
                <w:szCs w:val="14"/>
                <w:color w:val="auto"/>
              </w:rPr>
              <w:t>128,061</w:t>
            </w: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440"/>
              <w:spacing w:after="0" w:line="159" w:lineRule="exact"/>
              <w:rPr>
                <w:sz w:val="20"/>
                <w:szCs w:val="20"/>
                <w:color w:val="auto"/>
              </w:rPr>
            </w:pPr>
            <w:r>
              <w:rPr>
                <w:rFonts w:ascii="Arial" w:cs="Arial" w:eastAsia="Arial" w:hAnsi="Arial"/>
                <w:sz w:val="14"/>
                <w:szCs w:val="14"/>
                <w:color w:val="auto"/>
              </w:rPr>
              <w:t>57,801</w:t>
            </w: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85,380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spacing w:after="0" w:line="157" w:lineRule="exact"/>
              <w:rPr>
                <w:sz w:val="20"/>
                <w:szCs w:val="20"/>
                <w:color w:val="auto"/>
              </w:rPr>
            </w:pPr>
            <w:r>
              <w:rPr>
                <w:rFonts w:ascii="Arial" w:cs="Arial" w:eastAsia="Arial" w:hAnsi="Arial"/>
                <w:sz w:val="14"/>
                <w:szCs w:val="14"/>
                <w:b w:val="1"/>
                <w:bCs w:val="1"/>
                <w:color w:val="auto"/>
              </w:rPr>
              <w:t>Loss from operations</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(69,495)</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(47,146)</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00"/>
              <w:spacing w:after="0" w:line="157" w:lineRule="exact"/>
              <w:rPr>
                <w:sz w:val="20"/>
                <w:szCs w:val="20"/>
                <w:color w:val="auto"/>
              </w:rPr>
            </w:pPr>
            <w:r>
              <w:rPr>
                <w:rFonts w:ascii="Arial" w:cs="Arial" w:eastAsia="Arial" w:hAnsi="Arial"/>
                <w:sz w:val="14"/>
                <w:szCs w:val="14"/>
                <w:color w:val="auto"/>
              </w:rPr>
              <w:t>(22,820)</w:t>
            </w:r>
          </w:p>
        </w:tc>
        <w:tc>
          <w:tcPr>
            <w:tcW w:w="2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58"/>
        </w:trPr>
        <w:tc>
          <w:tcPr>
            <w:tcW w:w="6660" w:type="dxa"/>
            <w:vAlign w:val="bottom"/>
          </w:tcPr>
          <w:p>
            <w:pPr>
              <w:spacing w:after="0" w:line="159" w:lineRule="exact"/>
              <w:rPr>
                <w:sz w:val="20"/>
                <w:szCs w:val="20"/>
                <w:color w:val="auto"/>
              </w:rPr>
            </w:pPr>
            <w:r>
              <w:rPr>
                <w:rFonts w:ascii="Arial" w:cs="Arial" w:eastAsia="Arial" w:hAnsi="Arial"/>
                <w:sz w:val="14"/>
                <w:szCs w:val="14"/>
                <w:color w:val="auto"/>
              </w:rPr>
              <w:t>Other income (expense):</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Interest income</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3,456</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5,819</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2,196</w:t>
            </w:r>
          </w:p>
        </w:tc>
        <w:tc>
          <w:tcPr>
            <w:tcW w:w="2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2,957</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tcPr>
          <w:p>
            <w:pPr>
              <w:ind w:left="140"/>
              <w:spacing w:after="0" w:line="157"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3"/>
                <w:szCs w:val="13"/>
                <w:color w:val="auto"/>
              </w:rPr>
            </w:pP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(3,272)</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(2,386)</w:t>
            </w:r>
          </w:p>
        </w:tc>
        <w:tc>
          <w:tcPr>
            <w:tcW w:w="200" w:type="dxa"/>
            <w:vAlign w:val="bottom"/>
          </w:tcPr>
          <w:p>
            <w:pPr>
              <w:spacing w:after="0"/>
              <w:rPr>
                <w:sz w:val="13"/>
                <w:szCs w:val="13"/>
                <w:color w:val="auto"/>
              </w:rPr>
            </w:pPr>
          </w:p>
        </w:tc>
        <w:tc>
          <w:tcPr>
            <w:tcW w:w="96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(1,917)</w:t>
            </w:r>
          </w:p>
        </w:tc>
        <w:tc>
          <w:tcPr>
            <w:tcW w:w="220" w:type="dxa"/>
            <w:vAlign w:val="bottom"/>
          </w:tcPr>
          <w:p>
            <w:pPr>
              <w:spacing w:after="0"/>
              <w:rPr>
                <w:sz w:val="13"/>
                <w:szCs w:val="13"/>
                <w:color w:val="auto"/>
              </w:rPr>
            </w:pPr>
          </w:p>
        </w:tc>
        <w:tc>
          <w:tcPr>
            <w:tcW w:w="64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Net gain on extinguishment of debt</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7,289</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8,635</w:t>
            </w:r>
          </w:p>
        </w:tc>
        <w:tc>
          <w:tcPr>
            <w:tcW w:w="2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60" w:type="dxa"/>
            <w:vAlign w:val="bottom"/>
          </w:tcPr>
          <w:p>
            <w:pPr>
              <w:ind w:left="140"/>
              <w:spacing w:after="0" w:line="157" w:lineRule="exact"/>
              <w:rPr>
                <w:sz w:val="20"/>
                <w:szCs w:val="20"/>
                <w:color w:val="auto"/>
              </w:rPr>
            </w:pPr>
            <w:r>
              <w:rPr>
                <w:rFonts w:ascii="Arial" w:cs="Arial" w:eastAsia="Arial" w:hAnsi="Arial"/>
                <w:sz w:val="14"/>
                <w:szCs w:val="14"/>
                <w:color w:val="auto"/>
              </w:rPr>
              <w:t>Change in fair value of term loan</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(3,137)</w:t>
            </w:r>
          </w:p>
        </w:tc>
        <w:tc>
          <w:tcPr>
            <w:tcW w:w="200" w:type="dxa"/>
            <w:vAlign w:val="bottom"/>
          </w:tcPr>
          <w:p>
            <w:pPr>
              <w:spacing w:after="0"/>
              <w:rPr>
                <w:sz w:val="13"/>
                <w:szCs w:val="13"/>
                <w:color w:val="auto"/>
              </w:rPr>
            </w:pPr>
          </w:p>
        </w:tc>
        <w:tc>
          <w:tcPr>
            <w:tcW w:w="96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Change in fair value of convertible notes</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(12,921)</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(835)</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00"/>
              <w:spacing w:after="0" w:line="157" w:lineRule="exact"/>
              <w:rPr>
                <w:sz w:val="20"/>
                <w:szCs w:val="20"/>
                <w:color w:val="auto"/>
              </w:rPr>
            </w:pPr>
            <w:r>
              <w:rPr>
                <w:rFonts w:ascii="Arial" w:cs="Arial" w:eastAsia="Arial" w:hAnsi="Arial"/>
                <w:sz w:val="14"/>
                <w:szCs w:val="14"/>
                <w:color w:val="auto"/>
              </w:rPr>
              <w:t>(835)</w:t>
            </w:r>
          </w:p>
        </w:tc>
        <w:tc>
          <w:tcPr>
            <w:tcW w:w="2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660" w:type="dxa"/>
            <w:vAlign w:val="bottom"/>
          </w:tcPr>
          <w:p>
            <w:pPr>
              <w:ind w:left="140"/>
              <w:spacing w:after="0" w:line="157" w:lineRule="exact"/>
              <w:rPr>
                <w:sz w:val="20"/>
                <w:szCs w:val="20"/>
                <w:color w:val="auto"/>
              </w:rPr>
            </w:pPr>
            <w:r>
              <w:rPr>
                <w:rFonts w:ascii="Arial" w:cs="Arial" w:eastAsia="Arial" w:hAnsi="Arial"/>
                <w:sz w:val="14"/>
                <w:szCs w:val="14"/>
                <w:color w:val="auto"/>
              </w:rPr>
              <w:t>Other expenses, net</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(442)</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(1,145)</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0"/>
              <w:spacing w:after="0" w:line="157" w:lineRule="exact"/>
              <w:rPr>
                <w:sz w:val="20"/>
                <w:szCs w:val="20"/>
                <w:color w:val="auto"/>
              </w:rPr>
            </w:pPr>
            <w:r>
              <w:rPr>
                <w:rFonts w:ascii="Arial" w:cs="Arial" w:eastAsia="Arial" w:hAnsi="Arial"/>
                <w:sz w:val="14"/>
                <w:szCs w:val="14"/>
                <w:color w:val="auto"/>
              </w:rPr>
              <w:t>(443)</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Total other (expense) income</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(13,179)</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5,605</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7,636</w:t>
            </w:r>
          </w:p>
        </w:tc>
        <w:tc>
          <w:tcPr>
            <w:tcW w:w="2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58"/>
        </w:trPr>
        <w:tc>
          <w:tcPr>
            <w:tcW w:w="6660" w:type="dxa"/>
            <w:vAlign w:val="bottom"/>
          </w:tcPr>
          <w:p>
            <w:pPr>
              <w:ind w:left="280"/>
              <w:spacing w:after="0" w:line="159" w:lineRule="exact"/>
              <w:rPr>
                <w:sz w:val="20"/>
                <w:szCs w:val="20"/>
                <w:color w:val="auto"/>
              </w:rPr>
            </w:pPr>
            <w:r>
              <w:rPr>
                <w:rFonts w:ascii="Arial" w:cs="Arial" w:eastAsia="Arial" w:hAnsi="Arial"/>
                <w:sz w:val="14"/>
                <w:szCs w:val="14"/>
                <w:color w:val="auto"/>
              </w:rPr>
              <w:t>Loss before provisions for income taxes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9" w:lineRule="exact"/>
              <w:rPr>
                <w:sz w:val="20"/>
                <w:szCs w:val="20"/>
                <w:color w:val="auto"/>
              </w:rPr>
            </w:pPr>
            <w:r>
              <w:rPr>
                <w:rFonts w:ascii="Arial" w:cs="Arial" w:eastAsia="Arial" w:hAnsi="Arial"/>
                <w:sz w:val="14"/>
                <w:szCs w:val="14"/>
                <w:color w:val="auto"/>
              </w:rPr>
              <w:t>(82,674)</w:t>
            </w: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gridSpan w:val="2"/>
          </w:tcPr>
          <w:p>
            <w:pPr>
              <w:jc w:val="right"/>
              <w:ind w:right="380"/>
              <w:spacing w:after="0" w:line="159" w:lineRule="exact"/>
              <w:rPr>
                <w:sz w:val="20"/>
                <w:szCs w:val="20"/>
                <w:color w:val="auto"/>
              </w:rPr>
            </w:pPr>
            <w:r>
              <w:rPr>
                <w:rFonts w:ascii="Arial" w:cs="Arial" w:eastAsia="Arial" w:hAnsi="Arial"/>
                <w:sz w:val="14"/>
                <w:szCs w:val="14"/>
                <w:color w:val="auto"/>
              </w:rPr>
              <w:t>(41,541)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00"/>
              <w:spacing w:after="0" w:line="159" w:lineRule="exact"/>
              <w:rPr>
                <w:sz w:val="20"/>
                <w:szCs w:val="20"/>
                <w:color w:val="auto"/>
              </w:rPr>
            </w:pPr>
            <w:r>
              <w:rPr>
                <w:rFonts w:ascii="Arial" w:cs="Arial" w:eastAsia="Arial" w:hAnsi="Arial"/>
                <w:sz w:val="14"/>
                <w:szCs w:val="14"/>
                <w:color w:val="auto"/>
              </w:rPr>
              <w:t>(15,184)</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(4,120)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E5E5E5"/>
          </w:tcPr>
          <w:p>
            <w:pPr>
              <w:spacing w:after="0"/>
              <w:rPr>
                <w:sz w:val="13"/>
                <w:szCs w:val="13"/>
                <w:color w:val="auto"/>
              </w:rPr>
            </w:pPr>
          </w:p>
        </w:tc>
        <w:tc>
          <w:tcPr>
            <w:tcW w:w="9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420"/>
              <w:spacing w:after="0" w:line="157" w:lineRule="exact"/>
              <w:rPr>
                <w:sz w:val="20"/>
                <w:szCs w:val="20"/>
                <w:color w:val="auto"/>
              </w:rPr>
            </w:pPr>
            <w:r>
              <w:rPr>
                <w:rFonts w:ascii="Arial" w:cs="Arial" w:eastAsia="Arial" w:hAnsi="Arial"/>
                <w:sz w:val="14"/>
                <w:szCs w:val="14"/>
                <w:color w:val="auto"/>
              </w:rPr>
              <w:t>29</w:t>
            </w:r>
          </w:p>
        </w:tc>
        <w:tc>
          <w:tcPr>
            <w:tcW w:w="200" w:type="dxa"/>
            <w:vAlign w:val="bottom"/>
            <w:shd w:val="clear" w:color="auto" w:fill="E5E5E5"/>
          </w:tcPr>
          <w:p>
            <w:pPr>
              <w:spacing w:after="0"/>
              <w:rPr>
                <w:sz w:val="13"/>
                <w:szCs w:val="13"/>
                <w:color w:val="auto"/>
              </w:rPr>
            </w:pPr>
          </w:p>
        </w:tc>
        <w:tc>
          <w:tcPr>
            <w:tcW w:w="96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5</w:t>
            </w:r>
          </w:p>
        </w:tc>
        <w:tc>
          <w:tcPr>
            <w:tcW w:w="2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114</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line="159" w:lineRule="exact"/>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5"/>
              </w:rPr>
              <w:t>(82,683)</w:t>
            </w:r>
          </w:p>
        </w:tc>
        <w:tc>
          <w:tcPr>
            <w:tcW w:w="4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(41,570)</w:t>
            </w:r>
          </w:p>
        </w:tc>
        <w:tc>
          <w:tcPr>
            <w:tcW w:w="4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5"/>
              </w:rPr>
              <w:t>(15,189)</w:t>
            </w:r>
          </w:p>
        </w:tc>
        <w:tc>
          <w:tcPr>
            <w:tcW w:w="44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(4,234)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60" w:type="dxa"/>
            <w:vAlign w:val="bottom"/>
            <w:shd w:val="clear" w:color="auto" w:fill="E5E5E5"/>
          </w:tcPr>
          <w:p>
            <w:pPr>
              <w:spacing w:after="0" w:line="139" w:lineRule="exact"/>
              <w:rPr>
                <w:sz w:val="20"/>
                <w:szCs w:val="20"/>
                <w:color w:val="auto"/>
              </w:rPr>
            </w:pPr>
            <w:r>
              <w:rPr>
                <w:rFonts w:ascii="Arial" w:cs="Arial" w:eastAsia="Arial" w:hAnsi="Arial"/>
                <w:sz w:val="11"/>
                <w:szCs w:val="11"/>
                <w:color w:val="auto"/>
              </w:rPr>
              <w:t>Net loss per share, basic and diluted</w:t>
            </w:r>
            <w:r>
              <w:rPr>
                <w:rFonts w:ascii="Arial" w:cs="Arial" w:eastAsia="Arial" w:hAnsi="Arial"/>
                <w:sz w:val="16"/>
                <w:szCs w:val="16"/>
                <w:color w:val="auto"/>
                <w:vertAlign w:val="superscript"/>
              </w:rPr>
              <w:t>(1)</w:t>
            </w:r>
          </w:p>
        </w:tc>
        <w:tc>
          <w:tcPr>
            <w:tcW w:w="160" w:type="dxa"/>
            <w:vAlign w:val="bottom"/>
            <w:shd w:val="clear" w:color="auto" w:fill="E5E5E5"/>
          </w:tcPr>
          <w:p>
            <w:pPr>
              <w:jc w:val="right"/>
              <w:ind w:right="12"/>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5E5E5"/>
          </w:tcPr>
          <w:p>
            <w:pPr>
              <w:jc w:val="right"/>
              <w:ind w:right="380"/>
              <w:spacing w:after="0" w:line="139" w:lineRule="exact"/>
              <w:rPr>
                <w:sz w:val="20"/>
                <w:szCs w:val="20"/>
                <w:color w:val="auto"/>
              </w:rPr>
            </w:pPr>
            <w:r>
              <w:rPr>
                <w:rFonts w:ascii="Arial" w:cs="Arial" w:eastAsia="Arial" w:hAnsi="Arial"/>
                <w:sz w:val="14"/>
                <w:szCs w:val="14"/>
                <w:color w:val="auto"/>
              </w:rPr>
              <w:t>(8.45)</w:t>
            </w:r>
          </w:p>
        </w:tc>
        <w:tc>
          <w:tcPr>
            <w:tcW w:w="100" w:type="dxa"/>
            <w:vAlign w:val="bottom"/>
            <w:shd w:val="clear" w:color="auto" w:fill="E5E5E5"/>
          </w:tcPr>
          <w:p>
            <w:pPr>
              <w:jc w:val="right"/>
              <w:spacing w:after="0" w:line="13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5E5"/>
          </w:tcPr>
          <w:p>
            <w:pPr>
              <w:jc w:val="right"/>
              <w:ind w:right="380"/>
              <w:spacing w:after="0" w:line="139" w:lineRule="exact"/>
              <w:rPr>
                <w:sz w:val="20"/>
                <w:szCs w:val="20"/>
                <w:color w:val="auto"/>
              </w:rPr>
            </w:pPr>
            <w:r>
              <w:rPr>
                <w:rFonts w:ascii="Arial" w:cs="Arial" w:eastAsia="Arial" w:hAnsi="Arial"/>
                <w:sz w:val="14"/>
                <w:szCs w:val="14"/>
                <w:color w:val="auto"/>
              </w:rPr>
              <w:t>(4.12)</w:t>
            </w:r>
          </w:p>
        </w:tc>
        <w:tc>
          <w:tcPr>
            <w:tcW w:w="200" w:type="dxa"/>
            <w:vAlign w:val="bottom"/>
            <w:shd w:val="clear" w:color="auto" w:fill="E5E5E5"/>
          </w:tcPr>
          <w:p>
            <w:pPr>
              <w:jc w:val="right"/>
              <w:ind w:right="52"/>
              <w:spacing w:after="0" w:line="13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E5E5E5"/>
          </w:tcPr>
          <w:p>
            <w:pPr>
              <w:jc w:val="right"/>
              <w:ind w:right="400"/>
              <w:spacing w:after="0" w:line="139" w:lineRule="exact"/>
              <w:rPr>
                <w:sz w:val="20"/>
                <w:szCs w:val="20"/>
                <w:color w:val="auto"/>
              </w:rPr>
            </w:pPr>
            <w:r>
              <w:rPr>
                <w:rFonts w:ascii="Arial" w:cs="Arial" w:eastAsia="Arial" w:hAnsi="Arial"/>
                <w:sz w:val="14"/>
                <w:szCs w:val="14"/>
                <w:color w:val="auto"/>
              </w:rPr>
              <w:t>(1.52)</w:t>
            </w:r>
          </w:p>
        </w:tc>
        <w:tc>
          <w:tcPr>
            <w:tcW w:w="220" w:type="dxa"/>
            <w:vAlign w:val="bottom"/>
            <w:shd w:val="clear" w:color="auto" w:fill="E5E5E5"/>
          </w:tcPr>
          <w:p>
            <w:pPr>
              <w:jc w:val="right"/>
              <w:ind w:right="72"/>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E5E5E5"/>
          </w:tcPr>
          <w:p>
            <w:pPr>
              <w:jc w:val="right"/>
              <w:ind w:right="60"/>
              <w:spacing w:after="0" w:line="139"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line="180" w:lineRule="exact"/>
              <w:rPr>
                <w:sz w:val="20"/>
                <w:szCs w:val="20"/>
                <w:color w:val="auto"/>
              </w:rPr>
            </w:pPr>
            <w:r>
              <w:rPr>
                <w:rFonts w:ascii="Arial" w:cs="Arial" w:eastAsia="Arial" w:hAnsi="Arial"/>
                <w:sz w:val="14"/>
                <w:szCs w:val="14"/>
                <w:color w:val="auto"/>
              </w:rPr>
              <w:t>Weighted-average shares used in computing net loss per share, basic and diluted</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20"/>
              <w:spacing w:after="0" w:line="139" w:lineRule="exact"/>
              <w:rPr>
                <w:sz w:val="20"/>
                <w:szCs w:val="20"/>
                <w:color w:val="auto"/>
              </w:rPr>
            </w:pPr>
            <w:r>
              <w:rPr>
                <w:rFonts w:ascii="Arial" w:cs="Arial" w:eastAsia="Arial" w:hAnsi="Arial"/>
                <w:sz w:val="14"/>
                <w:szCs w:val="14"/>
                <w:color w:val="auto"/>
              </w:rPr>
              <w:t>9,783</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20"/>
              <w:spacing w:after="0" w:line="139" w:lineRule="exact"/>
              <w:rPr>
                <w:sz w:val="20"/>
                <w:szCs w:val="20"/>
                <w:color w:val="auto"/>
              </w:rPr>
            </w:pPr>
            <w:r>
              <w:rPr>
                <w:rFonts w:ascii="Arial" w:cs="Arial" w:eastAsia="Arial" w:hAnsi="Arial"/>
                <w:sz w:val="14"/>
                <w:szCs w:val="14"/>
                <w:color w:val="auto"/>
              </w:rPr>
              <w:t>10,080</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40"/>
              <w:spacing w:after="0" w:line="139" w:lineRule="exact"/>
              <w:rPr>
                <w:sz w:val="20"/>
                <w:szCs w:val="20"/>
                <w:color w:val="auto"/>
              </w:rPr>
            </w:pPr>
            <w:r>
              <w:rPr>
                <w:rFonts w:ascii="Arial" w:cs="Arial" w:eastAsia="Arial" w:hAnsi="Arial"/>
                <w:sz w:val="14"/>
                <w:szCs w:val="14"/>
                <w:color w:val="auto"/>
              </w:rPr>
              <w:t>10,020</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10,349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60" w:type="dxa"/>
            <w:vAlign w:val="bottom"/>
            <w:shd w:val="clear" w:color="auto" w:fill="E5E5E5"/>
          </w:tcPr>
          <w:p>
            <w:pPr>
              <w:spacing w:after="0" w:line="139" w:lineRule="exact"/>
              <w:rPr>
                <w:sz w:val="20"/>
                <w:szCs w:val="20"/>
                <w:color w:val="auto"/>
              </w:rPr>
            </w:pPr>
            <w:r>
              <w:rPr>
                <w:rFonts w:ascii="Arial" w:cs="Arial" w:eastAsia="Arial" w:hAnsi="Arial"/>
                <w:sz w:val="11"/>
                <w:szCs w:val="11"/>
                <w:color w:val="auto"/>
              </w:rPr>
              <w:t>Pro forma net loss per share, basic and diluted</w:t>
            </w:r>
            <w:r>
              <w:rPr>
                <w:rFonts w:ascii="Arial" w:cs="Arial" w:eastAsia="Arial" w:hAnsi="Arial"/>
                <w:sz w:val="16"/>
                <w:szCs w:val="16"/>
                <w:color w:val="auto"/>
                <w:vertAlign w:val="superscript"/>
              </w:rPr>
              <w:t>(2)</w:t>
            </w:r>
          </w:p>
        </w:tc>
        <w:tc>
          <w:tcPr>
            <w:tcW w:w="16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right="5060" w:hanging="139"/>
        <w:spacing w:after="0" w:line="287" w:lineRule="auto"/>
        <w:rPr>
          <w:sz w:val="20"/>
          <w:szCs w:val="20"/>
          <w:color w:val="auto"/>
        </w:rPr>
      </w:pPr>
      <w:r>
        <w:rPr>
          <w:rFonts w:ascii="Arial" w:cs="Arial" w:eastAsia="Arial" w:hAnsi="Arial"/>
          <w:sz w:val="14"/>
          <w:szCs w:val="14"/>
          <w:color w:val="auto"/>
        </w:rPr>
        <w:t>Pro forma weighted-average shares used in computing pro forma net loss per share, basic and diluted</w:t>
      </w:r>
      <w:r>
        <w:rPr>
          <w:rFonts w:ascii="Arial" w:cs="Arial" w:eastAsia="Arial" w:hAnsi="Arial"/>
          <w:sz w:val="20"/>
          <w:szCs w:val="20"/>
          <w:color w:val="auto"/>
          <w:vertAlign w:val="superscript"/>
        </w:rPr>
        <w:t>(2)</w:t>
      </w:r>
    </w:p>
    <w:p>
      <w:pPr>
        <w:spacing w:after="0" w:line="120" w:lineRule="exact"/>
        <w:rPr>
          <w:sz w:val="20"/>
          <w:szCs w:val="20"/>
          <w:color w:val="auto"/>
        </w:rPr>
      </w:pPr>
    </w:p>
    <w:p>
      <w:pPr>
        <w:ind w:left="500" w:right="340" w:hanging="317"/>
        <w:spacing w:after="0" w:line="286" w:lineRule="auto"/>
        <w:tabs>
          <w:tab w:leader="none" w:pos="5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See Note 14 to our audited financial statements included elsewhere in this prospectus for an explanation of the calculations of our basic and diluted net loss per share attributable to common stockholders and the weighted-average shares used in computing the per share amounts.</w:t>
      </w:r>
    </w:p>
    <w:p>
      <w:pPr>
        <w:spacing w:after="0" w:line="19" w:lineRule="exact"/>
        <w:rPr>
          <w:rFonts w:ascii="Arial" w:cs="Arial" w:eastAsia="Arial" w:hAnsi="Arial"/>
          <w:sz w:val="10"/>
          <w:szCs w:val="10"/>
          <w:color w:val="auto"/>
        </w:rPr>
      </w:pPr>
    </w:p>
    <w:p>
      <w:pPr>
        <w:ind w:left="500" w:right="20" w:hanging="317"/>
        <w:spacing w:after="0" w:line="251" w:lineRule="auto"/>
        <w:tabs>
          <w:tab w:leader="none" w:pos="5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 weighted-average common shares outstanding for the period. Pro forma weighted-average common shares outstanding is computed by</w:t>
      </w:r>
    </w:p>
    <w:p>
      <w:pPr>
        <w:ind w:left="500" w:right="120"/>
        <w:spacing w:after="0" w:line="257" w:lineRule="auto"/>
        <w:rPr>
          <w:sz w:val="20"/>
          <w:szCs w:val="20"/>
          <w:color w:val="auto"/>
        </w:rPr>
      </w:pPr>
      <w:r>
        <w:rPr>
          <w:rFonts w:ascii="Arial" w:cs="Arial" w:eastAsia="Arial" w:hAnsi="Arial"/>
          <w:sz w:val="10"/>
          <w:szCs w:val="10"/>
          <w:color w:val="auto"/>
        </w:rPr>
        <w:t>adjusting the weighted-average common shares outstanding to give pro forma effect to the automatic conversion of all shares of our redeemable convertible preferred stock outstanding as of June 30, 2025 into       shares of common stock as if such conversion had occurred on January 1, 2024. Pro forma basic and diluted net loss per share attributable to common stockholders does not include the effect of the shares expected to be sold in this offering.</w:t>
      </w: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00"/>
          </w:cols>
          <w:pgMar w:left="300" w:top="38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3570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35706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As of June 30, 2025</w:t>
            </w:r>
          </w:p>
        </w:tc>
      </w:tr>
      <w:tr>
        <w:trPr>
          <w:trHeight w:val="127"/>
        </w:trPr>
        <w:tc>
          <w:tcPr>
            <w:tcW w:w="69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1"/>
                <w:szCs w:val="11"/>
                <w:color w:val="auto"/>
              </w:rPr>
            </w:pPr>
          </w:p>
        </w:tc>
      </w:tr>
      <w:tr>
        <w:trPr>
          <w:trHeight w:val="157"/>
        </w:trPr>
        <w:tc>
          <w:tcPr>
            <w:tcW w:w="6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Actual</w:t>
            </w:r>
          </w:p>
        </w:tc>
        <w:tc>
          <w:tcPr>
            <w:tcW w:w="1380" w:type="dxa"/>
            <w:vAlign w:val="bottom"/>
            <w:tcBorders>
              <w:bottom w:val="single" w:sz="8" w:color="auto"/>
            </w:tcBorders>
          </w:tcPr>
          <w:p>
            <w:pPr>
              <w:ind w:left="400"/>
              <w:spacing w:after="0" w:line="157"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18"/>
                <w:szCs w:val="18"/>
                <w:b w:val="1"/>
                <w:bCs w:val="1"/>
                <w:color w:val="auto"/>
                <w:vertAlign w:val="superscript"/>
              </w:rPr>
              <w:t>(1)</w:t>
            </w:r>
          </w:p>
        </w:tc>
        <w:tc>
          <w:tcPr>
            <w:tcW w:w="15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18"/>
                <w:szCs w:val="18"/>
                <w:b w:val="1"/>
                <w:bCs w:val="1"/>
                <w:color w:val="auto"/>
                <w:vertAlign w:val="superscript"/>
              </w:rPr>
              <w:t>(2)(3)</w:t>
            </w:r>
          </w:p>
        </w:tc>
      </w:tr>
      <w:tr>
        <w:trPr>
          <w:trHeight w:val="32"/>
        </w:trPr>
        <w:tc>
          <w:tcPr>
            <w:tcW w:w="6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940" w:type="dxa"/>
            <w:vAlign w:val="bottom"/>
            <w:shd w:val="clear" w:color="auto" w:fill="E5E5E5"/>
          </w:tcPr>
          <w:p>
            <w:pPr>
              <w:spacing w:after="0" w:line="157" w:lineRule="exact"/>
              <w:rPr>
                <w:sz w:val="20"/>
                <w:szCs w:val="20"/>
                <w:color w:val="auto"/>
              </w:rPr>
            </w:pPr>
            <w:r>
              <w:rPr>
                <w:rFonts w:ascii="Arial" w:cs="Arial" w:eastAsia="Arial" w:hAnsi="Arial"/>
                <w:sz w:val="14"/>
                <w:szCs w:val="14"/>
                <w:b w:val="1"/>
                <w:bCs w:val="1"/>
                <w:color w:val="auto"/>
              </w:rPr>
              <w:t>Balance sheet data:</w:t>
            </w:r>
          </w:p>
        </w:tc>
        <w:tc>
          <w:tcPr>
            <w:tcW w:w="110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57"/>
        </w:trPr>
        <w:tc>
          <w:tcPr>
            <w:tcW w:w="6940" w:type="dxa"/>
            <w:vAlign w:val="bottom"/>
          </w:tcPr>
          <w:p>
            <w:pPr>
              <w:spacing w:after="0" w:line="157" w:lineRule="exact"/>
              <w:rPr>
                <w:sz w:val="20"/>
                <w:szCs w:val="20"/>
                <w:color w:val="auto"/>
              </w:rPr>
            </w:pPr>
            <w:r>
              <w:rPr>
                <w:rFonts w:ascii="Arial" w:cs="Arial" w:eastAsia="Arial" w:hAnsi="Arial"/>
                <w:sz w:val="14"/>
                <w:szCs w:val="14"/>
                <w:color w:val="auto"/>
              </w:rPr>
              <w:t>Cash and cash equivalents</w:t>
            </w:r>
          </w:p>
        </w:tc>
        <w:tc>
          <w:tcPr>
            <w:tcW w:w="1100" w:type="dxa"/>
            <w:vAlign w:val="bottom"/>
          </w:tcPr>
          <w:p>
            <w:pPr>
              <w:jc w:val="right"/>
              <w:ind w:right="371"/>
              <w:spacing w:after="0" w:line="157" w:lineRule="exact"/>
              <w:rPr>
                <w:sz w:val="20"/>
                <w:szCs w:val="20"/>
                <w:color w:val="auto"/>
              </w:rPr>
            </w:pPr>
            <w:r>
              <w:rPr>
                <w:rFonts w:ascii="Arial" w:cs="Arial" w:eastAsia="Arial" w:hAnsi="Arial"/>
                <w:sz w:val="14"/>
                <w:szCs w:val="14"/>
                <w:color w:val="auto"/>
              </w:rPr>
              <w:t>$ 188,958</w:t>
            </w:r>
          </w:p>
        </w:tc>
        <w:tc>
          <w:tcPr>
            <w:tcW w:w="138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795"/>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57"/>
        </w:trPr>
        <w:tc>
          <w:tcPr>
            <w:tcW w:w="69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Working capital</w:t>
            </w:r>
            <w:r>
              <w:rPr>
                <w:rFonts w:ascii="Arial" w:cs="Arial" w:eastAsia="Arial" w:hAnsi="Arial"/>
                <w:sz w:val="18"/>
                <w:szCs w:val="18"/>
                <w:color w:val="auto"/>
                <w:vertAlign w:val="superscript"/>
              </w:rPr>
              <w:t>(4)</w:t>
            </w:r>
          </w:p>
        </w:tc>
        <w:tc>
          <w:tcPr>
            <w:tcW w:w="1100" w:type="dxa"/>
            <w:vAlign w:val="bottom"/>
            <w:shd w:val="clear" w:color="auto" w:fill="E5E5E5"/>
          </w:tcPr>
          <w:p>
            <w:pPr>
              <w:jc w:val="right"/>
              <w:ind w:right="371"/>
              <w:spacing w:after="0" w:line="157" w:lineRule="exact"/>
              <w:rPr>
                <w:sz w:val="20"/>
                <w:szCs w:val="20"/>
                <w:color w:val="auto"/>
              </w:rPr>
            </w:pPr>
            <w:r>
              <w:rPr>
                <w:rFonts w:ascii="Arial" w:cs="Arial" w:eastAsia="Arial" w:hAnsi="Arial"/>
                <w:sz w:val="14"/>
                <w:szCs w:val="14"/>
                <w:color w:val="auto"/>
              </w:rPr>
              <w:t>196,279</w:t>
            </w:r>
          </w:p>
        </w:tc>
        <w:tc>
          <w:tcPr>
            <w:tcW w:w="138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57"/>
        </w:trPr>
        <w:tc>
          <w:tcPr>
            <w:tcW w:w="694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1100" w:type="dxa"/>
            <w:vAlign w:val="bottom"/>
          </w:tcPr>
          <w:p>
            <w:pPr>
              <w:jc w:val="right"/>
              <w:ind w:right="371"/>
              <w:spacing w:after="0" w:line="157" w:lineRule="exact"/>
              <w:rPr>
                <w:sz w:val="20"/>
                <w:szCs w:val="20"/>
                <w:color w:val="auto"/>
              </w:rPr>
            </w:pPr>
            <w:r>
              <w:rPr>
                <w:rFonts w:ascii="Arial" w:cs="Arial" w:eastAsia="Arial" w:hAnsi="Arial"/>
                <w:sz w:val="14"/>
                <w:szCs w:val="14"/>
                <w:color w:val="auto"/>
              </w:rPr>
              <w:t>312,633</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9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Total liabilities</w:t>
            </w:r>
          </w:p>
        </w:tc>
        <w:tc>
          <w:tcPr>
            <w:tcW w:w="1100" w:type="dxa"/>
            <w:vAlign w:val="bottom"/>
            <w:shd w:val="clear" w:color="auto" w:fill="E5E5E5"/>
          </w:tcPr>
          <w:p>
            <w:pPr>
              <w:jc w:val="right"/>
              <w:ind w:right="371"/>
              <w:spacing w:after="0" w:line="157" w:lineRule="exact"/>
              <w:rPr>
                <w:sz w:val="20"/>
                <w:szCs w:val="20"/>
                <w:color w:val="auto"/>
              </w:rPr>
            </w:pPr>
            <w:r>
              <w:rPr>
                <w:rFonts w:ascii="Arial" w:cs="Arial" w:eastAsia="Arial" w:hAnsi="Arial"/>
                <w:sz w:val="14"/>
                <w:szCs w:val="14"/>
                <w:color w:val="auto"/>
              </w:rPr>
              <w:t>143,477</w:t>
            </w:r>
          </w:p>
        </w:tc>
        <w:tc>
          <w:tcPr>
            <w:tcW w:w="138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57"/>
        </w:trPr>
        <w:tc>
          <w:tcPr>
            <w:tcW w:w="6940" w:type="dxa"/>
            <w:vAlign w:val="bottom"/>
          </w:tcPr>
          <w:p>
            <w:pPr>
              <w:spacing w:after="0" w:line="157" w:lineRule="exact"/>
              <w:rPr>
                <w:sz w:val="20"/>
                <w:szCs w:val="20"/>
                <w:color w:val="auto"/>
              </w:rPr>
            </w:pPr>
            <w:r>
              <w:rPr>
                <w:rFonts w:ascii="Arial" w:cs="Arial" w:eastAsia="Arial" w:hAnsi="Arial"/>
                <w:sz w:val="14"/>
                <w:szCs w:val="14"/>
                <w:color w:val="auto"/>
              </w:rPr>
              <w:t>Long term debt</w:t>
            </w:r>
          </w:p>
        </w:tc>
        <w:tc>
          <w:tcPr>
            <w:tcW w:w="1100" w:type="dxa"/>
            <w:vAlign w:val="bottom"/>
          </w:tcPr>
          <w:p>
            <w:pPr>
              <w:jc w:val="right"/>
              <w:ind w:right="371"/>
              <w:spacing w:after="0" w:line="157" w:lineRule="exact"/>
              <w:rPr>
                <w:sz w:val="20"/>
                <w:szCs w:val="20"/>
                <w:color w:val="auto"/>
              </w:rPr>
            </w:pPr>
            <w:r>
              <w:rPr>
                <w:rFonts w:ascii="Arial" w:cs="Arial" w:eastAsia="Arial" w:hAnsi="Arial"/>
                <w:sz w:val="14"/>
                <w:szCs w:val="14"/>
                <w:color w:val="auto"/>
              </w:rPr>
              <w:t>52,072</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9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Redeemable convertible preferred stock</w:t>
            </w:r>
          </w:p>
        </w:tc>
        <w:tc>
          <w:tcPr>
            <w:tcW w:w="1100" w:type="dxa"/>
            <w:vAlign w:val="bottom"/>
            <w:shd w:val="clear" w:color="auto" w:fill="E5E5E5"/>
          </w:tcPr>
          <w:p>
            <w:pPr>
              <w:jc w:val="right"/>
              <w:ind w:right="371"/>
              <w:spacing w:after="0" w:line="157" w:lineRule="exact"/>
              <w:rPr>
                <w:sz w:val="20"/>
                <w:szCs w:val="20"/>
                <w:color w:val="auto"/>
              </w:rPr>
            </w:pPr>
            <w:r>
              <w:rPr>
                <w:rFonts w:ascii="Arial" w:cs="Arial" w:eastAsia="Arial" w:hAnsi="Arial"/>
                <w:sz w:val="14"/>
                <w:szCs w:val="14"/>
                <w:color w:val="auto"/>
              </w:rPr>
              <w:t>419,409</w:t>
            </w:r>
          </w:p>
        </w:tc>
        <w:tc>
          <w:tcPr>
            <w:tcW w:w="138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85"/>
        </w:trPr>
        <w:tc>
          <w:tcPr>
            <w:tcW w:w="694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1100" w:type="dxa"/>
            <w:vAlign w:val="bottom"/>
          </w:tcPr>
          <w:p>
            <w:pPr>
              <w:jc w:val="right"/>
              <w:ind w:right="331"/>
              <w:spacing w:after="0"/>
              <w:rPr>
                <w:sz w:val="20"/>
                <w:szCs w:val="20"/>
                <w:color w:val="auto"/>
              </w:rPr>
            </w:pPr>
            <w:r>
              <w:rPr>
                <w:rFonts w:ascii="Arial" w:cs="Arial" w:eastAsia="Arial" w:hAnsi="Arial"/>
                <w:sz w:val="14"/>
                <w:szCs w:val="14"/>
                <w:color w:val="auto"/>
              </w:rPr>
              <w:t>(250,253)</w:t>
            </w: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93" w:lineRule="exact"/>
        <w:rPr>
          <w:sz w:val="20"/>
          <w:szCs w:val="20"/>
          <w:color w:val="auto"/>
        </w:rPr>
      </w:pPr>
    </w:p>
    <w:p>
      <w:pPr>
        <w:ind w:left="500" w:right="40" w:hanging="317"/>
        <w:spacing w:after="0" w:line="286" w:lineRule="auto"/>
        <w:tabs>
          <w:tab w:leader="none" w:pos="5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The pro forma balance sheet data gives effect to (i) the Preferred Stock Conversion, (ii) the Reclassification, (iii) the Class B Stock Exchange, (iv) the conversion of the A-6 Warrant to a warrant to purchase common stock and the related reclassification of the warrant liability to stockholders’ equity, and (v) the filing and effectiveness of our Post-IPO Certificate of Incorporation, all of which will occur immediately prior to the completion of this offering.</w:t>
      </w:r>
    </w:p>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115"/>
        </w:trPr>
        <w:tc>
          <w:tcPr>
            <w:tcW w:w="220" w:type="dxa"/>
            <w:vAlign w:val="bottom"/>
          </w:tcPr>
          <w:p>
            <w:pPr>
              <w:jc w:val="right"/>
              <w:ind w:right="28"/>
              <w:spacing w:after="0"/>
              <w:rPr>
                <w:sz w:val="20"/>
                <w:szCs w:val="20"/>
                <w:color w:val="auto"/>
              </w:rPr>
            </w:pPr>
            <w:r>
              <w:rPr>
                <w:rFonts w:ascii="Arial" w:cs="Arial" w:eastAsia="Arial" w:hAnsi="Arial"/>
                <w:sz w:val="10"/>
                <w:szCs w:val="10"/>
                <w:color w:val="auto"/>
                <w:w w:val="97"/>
              </w:rPr>
              <w:t>(2)</w:t>
            </w:r>
          </w:p>
        </w:tc>
        <w:tc>
          <w:tcPr>
            <w:tcW w:w="10640" w:type="dxa"/>
            <w:vAlign w:val="bottom"/>
          </w:tcPr>
          <w:p>
            <w:pPr>
              <w:ind w:left="100"/>
              <w:spacing w:after="0"/>
              <w:rPr>
                <w:sz w:val="20"/>
                <w:szCs w:val="20"/>
                <w:color w:val="auto"/>
              </w:rPr>
            </w:pPr>
            <w:r>
              <w:rPr>
                <w:rFonts w:ascii="Arial" w:cs="Arial" w:eastAsia="Arial" w:hAnsi="Arial"/>
                <w:sz w:val="10"/>
                <w:szCs w:val="10"/>
                <w:color w:val="auto"/>
              </w:rPr>
              <w:t>The pro forma as adjusted balance sheet data reflects (i) the pro forma adjustments described in footnote (1) above; and (ii) the sale by us of            shares of Class A common stock in this offering at the assumed initial public</w:t>
            </w:r>
          </w:p>
        </w:tc>
      </w:tr>
      <w:tr>
        <w:trPr>
          <w:trHeight w:val="115"/>
        </w:trPr>
        <w:tc>
          <w:tcPr>
            <w:tcW w:w="220" w:type="dxa"/>
            <w:vAlign w:val="bottom"/>
          </w:tcPr>
          <w:p>
            <w:pPr>
              <w:spacing w:after="0"/>
              <w:rPr>
                <w:sz w:val="10"/>
                <w:szCs w:val="10"/>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offering price of $            per share, which is the midpoint of the estimated offering price range set forth on the cover page of this prospectus, after deducting underwriting discounts and commissions and estimated offering</w:t>
            </w:r>
          </w:p>
        </w:tc>
      </w:tr>
      <w:tr>
        <w:trPr>
          <w:trHeight w:val="137"/>
        </w:trPr>
        <w:tc>
          <w:tcPr>
            <w:tcW w:w="220" w:type="dxa"/>
            <w:vAlign w:val="bottom"/>
          </w:tcPr>
          <w:p>
            <w:pPr>
              <w:spacing w:after="0"/>
              <w:rPr>
                <w:sz w:val="11"/>
                <w:szCs w:val="11"/>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expenses payable by us.</w:t>
            </w:r>
          </w:p>
        </w:tc>
      </w:tr>
      <w:tr>
        <w:trPr>
          <w:trHeight w:val="157"/>
        </w:trPr>
        <w:tc>
          <w:tcPr>
            <w:tcW w:w="220" w:type="dxa"/>
            <w:vAlign w:val="bottom"/>
          </w:tcPr>
          <w:p>
            <w:pPr>
              <w:jc w:val="right"/>
              <w:ind w:right="28"/>
              <w:spacing w:after="0"/>
              <w:rPr>
                <w:sz w:val="20"/>
                <w:szCs w:val="20"/>
                <w:color w:val="auto"/>
              </w:rPr>
            </w:pPr>
            <w:r>
              <w:rPr>
                <w:rFonts w:ascii="Arial" w:cs="Arial" w:eastAsia="Arial" w:hAnsi="Arial"/>
                <w:sz w:val="10"/>
                <w:szCs w:val="10"/>
                <w:color w:val="auto"/>
                <w:w w:val="97"/>
              </w:rPr>
              <w:t>(3)</w:t>
            </w:r>
          </w:p>
        </w:tc>
        <w:tc>
          <w:tcPr>
            <w:tcW w:w="10640" w:type="dxa"/>
            <w:vAlign w:val="bottom"/>
          </w:tcPr>
          <w:p>
            <w:pPr>
              <w:ind w:left="100"/>
              <w:spacing w:after="0"/>
              <w:rPr>
                <w:sz w:val="20"/>
                <w:szCs w:val="20"/>
                <w:color w:val="auto"/>
              </w:rPr>
            </w:pPr>
            <w:r>
              <w:rPr>
                <w:rFonts w:ascii="Arial" w:cs="Arial" w:eastAsia="Arial" w:hAnsi="Arial"/>
                <w:sz w:val="10"/>
                <w:szCs w:val="10"/>
                <w:color w:val="auto"/>
              </w:rPr>
              <w:t>Each $1.00 increase or decrease in the assumed initial public offering price of $            per share, which is the midpoint of the estimated offering price range set forth on the cover page of this prospectus, would increase or</w:t>
            </w:r>
          </w:p>
        </w:tc>
      </w:tr>
      <w:tr>
        <w:trPr>
          <w:trHeight w:val="115"/>
        </w:trPr>
        <w:tc>
          <w:tcPr>
            <w:tcW w:w="220" w:type="dxa"/>
            <w:vAlign w:val="bottom"/>
          </w:tcPr>
          <w:p>
            <w:pPr>
              <w:spacing w:after="0"/>
              <w:rPr>
                <w:sz w:val="10"/>
                <w:szCs w:val="10"/>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decrease, as applicable, each of pro forma as adjusted cash and cash equivalents, working capital, total assets, and total stockholders’ (deficit) equity by approximately $            million, assuming that the number of shares</w:t>
            </w:r>
          </w:p>
        </w:tc>
      </w:tr>
      <w:tr>
        <w:trPr>
          <w:trHeight w:val="115"/>
        </w:trPr>
        <w:tc>
          <w:tcPr>
            <w:tcW w:w="220" w:type="dxa"/>
            <w:vAlign w:val="bottom"/>
          </w:tcPr>
          <w:p>
            <w:pPr>
              <w:spacing w:after="0"/>
              <w:rPr>
                <w:sz w:val="10"/>
                <w:szCs w:val="10"/>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offered by us, as set forth on the cover page of this prospectus, remains the same, after deducting underwriting discounts and commissions and estimated offering expenses payable by us. Similarly, each increase or decrease of</w:t>
            </w:r>
          </w:p>
        </w:tc>
      </w:tr>
      <w:tr>
        <w:trPr>
          <w:trHeight w:val="115"/>
        </w:trPr>
        <w:tc>
          <w:tcPr>
            <w:tcW w:w="220" w:type="dxa"/>
            <w:vAlign w:val="bottom"/>
          </w:tcPr>
          <w:p>
            <w:pPr>
              <w:spacing w:after="0"/>
              <w:rPr>
                <w:sz w:val="10"/>
                <w:szCs w:val="10"/>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1.0 million shares offered by us would increase or decrease, as applicable, each of pro forma as adjusted cash and cash equivalents, working capital, total assets, and total stockholders’ (deficit) equity by approximately</w:t>
            </w:r>
          </w:p>
        </w:tc>
      </w:tr>
      <w:tr>
        <w:trPr>
          <w:trHeight w:val="115"/>
        </w:trPr>
        <w:tc>
          <w:tcPr>
            <w:tcW w:w="220" w:type="dxa"/>
            <w:vAlign w:val="bottom"/>
          </w:tcPr>
          <w:p>
            <w:pPr>
              <w:spacing w:after="0"/>
              <w:rPr>
                <w:sz w:val="10"/>
                <w:szCs w:val="10"/>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            million, assuming the assumed initial public offering price per share remains the same, after deducting underwriting discounts and commissions and estimated offering expenses payable by us. The pro forma as</w:t>
            </w:r>
          </w:p>
        </w:tc>
      </w:tr>
      <w:tr>
        <w:trPr>
          <w:trHeight w:val="137"/>
        </w:trPr>
        <w:tc>
          <w:tcPr>
            <w:tcW w:w="220" w:type="dxa"/>
            <w:vAlign w:val="bottom"/>
          </w:tcPr>
          <w:p>
            <w:pPr>
              <w:spacing w:after="0"/>
              <w:rPr>
                <w:sz w:val="11"/>
                <w:szCs w:val="11"/>
                <w:color w:val="auto"/>
              </w:rPr>
            </w:pPr>
          </w:p>
        </w:tc>
        <w:tc>
          <w:tcPr>
            <w:tcW w:w="10640" w:type="dxa"/>
            <w:vAlign w:val="bottom"/>
          </w:tcPr>
          <w:p>
            <w:pPr>
              <w:ind w:left="100"/>
              <w:spacing w:after="0"/>
              <w:rPr>
                <w:sz w:val="20"/>
                <w:szCs w:val="20"/>
                <w:color w:val="auto"/>
              </w:rPr>
            </w:pPr>
            <w:r>
              <w:rPr>
                <w:rFonts w:ascii="Arial" w:cs="Arial" w:eastAsia="Arial" w:hAnsi="Arial"/>
                <w:sz w:val="10"/>
                <w:szCs w:val="10"/>
                <w:color w:val="auto"/>
              </w:rPr>
              <w:t>adjusted information is illustrative only, and we will adjust this information based on the actual initial public offering price, number of shares offered, and other terms of this offering determined at pricing.</w:t>
            </w:r>
          </w:p>
        </w:tc>
      </w:tr>
    </w:tbl>
    <w:p>
      <w:pPr>
        <w:spacing w:after="0" w:line="41" w:lineRule="exact"/>
        <w:rPr>
          <w:sz w:val="20"/>
          <w:szCs w:val="20"/>
          <w:color w:val="auto"/>
        </w:rPr>
      </w:pPr>
    </w:p>
    <w:p>
      <w:pPr>
        <w:ind w:left="500" w:hanging="317"/>
        <w:spacing w:after="0"/>
        <w:tabs>
          <w:tab w:leader="none" w:pos="500"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We define working capital as current assets </w:t>
      </w:r>
      <w:r>
        <w:rPr>
          <w:rFonts w:ascii="Arial" w:cs="Arial" w:eastAsia="Arial" w:hAnsi="Arial"/>
          <w:sz w:val="10"/>
          <w:szCs w:val="10"/>
          <w:i w:val="1"/>
          <w:iCs w:val="1"/>
          <w:color w:val="auto"/>
        </w:rPr>
        <w:t>less</w:t>
      </w:r>
      <w:r>
        <w:rPr>
          <w:rFonts w:ascii="Arial" w:cs="Arial" w:eastAsia="Arial" w:hAnsi="Arial"/>
          <w:sz w:val="10"/>
          <w:szCs w:val="10"/>
          <w:color w:val="auto"/>
        </w:rPr>
        <w:t xml:space="preserve"> current liabilities. See our financial statements and related notes appearing elsewhere in this prospectus for further details regarding our current assets and current liabilities.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Non-GAAP financial measures</w:t>
      </w:r>
    </w:p>
    <w:p>
      <w:pPr>
        <w:spacing w:after="0" w:line="115" w:lineRule="exact"/>
        <w:rPr>
          <w:sz w:val="20"/>
          <w:szCs w:val="20"/>
          <w:color w:val="auto"/>
        </w:rPr>
      </w:pPr>
    </w:p>
    <w:p>
      <w:pPr>
        <w:ind w:left="180" w:right="100"/>
        <w:spacing w:after="0" w:line="258" w:lineRule="auto"/>
        <w:rPr>
          <w:sz w:val="20"/>
          <w:szCs w:val="20"/>
          <w:color w:val="auto"/>
        </w:rPr>
      </w:pPr>
      <w:r>
        <w:rPr>
          <w:rFonts w:ascii="Arial" w:cs="Arial" w:eastAsia="Arial" w:hAnsi="Arial"/>
          <w:sz w:val="13"/>
          <w:szCs w:val="13"/>
          <w:color w:val="auto"/>
        </w:rPr>
        <w:t>To supplement our financial statements, which are prepared and presented in accordance with generally accepted accounting principles in the United States (GAAP), we use the following non-GAAP financial measures for financial and operational decision-making and as a means to assist us in evaluating period-to-period comparisons. By excluding the impact of certain items that we believe do not directly reflect our underlying operations, we are of the opinion that non-GAAP operating loss and non-GAAP net loss provide meaningful supplemental information regarding our performance. However, there are a number of limitations related to the use of non-GAAP financial measures, and</w:t>
      </w:r>
    </w:p>
    <w:p>
      <w:pPr>
        <w:spacing w:after="0" w:line="1" w:lineRule="exact"/>
        <w:rPr>
          <w:sz w:val="20"/>
          <w:szCs w:val="20"/>
          <w:color w:val="auto"/>
        </w:rPr>
      </w:pPr>
    </w:p>
    <w:p>
      <w:pPr>
        <w:ind w:left="180" w:right="420"/>
        <w:spacing w:after="0" w:line="241" w:lineRule="auto"/>
        <w:rPr>
          <w:sz w:val="20"/>
          <w:szCs w:val="20"/>
          <w:color w:val="auto"/>
        </w:rPr>
      </w:pPr>
      <w:r>
        <w:rPr>
          <w:rFonts w:ascii="Arial" w:cs="Arial" w:eastAsia="Arial" w:hAnsi="Arial"/>
          <w:sz w:val="14"/>
          <w:szCs w:val="14"/>
          <w:color w:val="auto"/>
        </w:rPr>
        <w:t>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100"/>
          </w:cols>
          <w:pgMar w:left="300" w:top="38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69150" cy="13455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134556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0" w:right="360"/>
        <w:spacing w:after="0" w:line="252" w:lineRule="auto"/>
        <w:rPr>
          <w:sz w:val="20"/>
          <w:szCs w:val="20"/>
          <w:color w:val="auto"/>
        </w:rPr>
      </w:pPr>
      <w:r>
        <w:rPr>
          <w:rFonts w:ascii="Arial" w:cs="Arial" w:eastAsia="Arial" w:hAnsi="Arial"/>
          <w:sz w:val="14"/>
          <w:szCs w:val="14"/>
          <w:color w:val="auto"/>
        </w:rPr>
        <w:t>The following table summarizes our non-GAAP financial measures for each period presented below. See the section titled “Management’s discussion and analysis of financial condition and results of operations—Non-GAAP financial measures” for additional information and reconciliations of our non-GAAP financial measures to the most directly comparable financial measures prepared in accordance with GAAP.</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0" w:type="dxa"/>
            <w:vAlign w:val="bottom"/>
          </w:tcPr>
          <w:p>
            <w:pPr>
              <w:spacing w:after="0"/>
              <w:rPr>
                <w:sz w:val="13"/>
                <w:szCs w:val="13"/>
                <w:color w:val="auto"/>
              </w:rPr>
            </w:pPr>
          </w:p>
        </w:tc>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2080" w:type="dxa"/>
            <w:vAlign w:val="bottom"/>
            <w:gridSpan w:val="5"/>
          </w:tcPr>
          <w:p>
            <w:pPr>
              <w:ind w:left="1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9"/>
              </w:rPr>
              <w:t> </w:t>
            </w:r>
          </w:p>
        </w:tc>
        <w:tc>
          <w:tcPr>
            <w:tcW w:w="800" w:type="dxa"/>
            <w:vAlign w:val="bottom"/>
            <w:tcBorders>
              <w:top w:val="single" w:sz="8" w:color="auto"/>
            </w:tcBorders>
          </w:tcPr>
          <w:p>
            <w:pPr>
              <w:jc w:val="right"/>
              <w:ind w:right="192"/>
              <w:spacing w:after="0" w:line="138" w:lineRule="exact"/>
              <w:rPr>
                <w:sz w:val="20"/>
                <w:szCs w:val="20"/>
                <w:color w:val="auto"/>
              </w:rPr>
            </w:pPr>
            <w:r>
              <w:rPr>
                <w:rFonts w:ascii="Arial" w:cs="Arial" w:eastAsia="Arial" w:hAnsi="Arial"/>
                <w:sz w:val="13"/>
                <w:szCs w:val="13"/>
                <w:b w:val="1"/>
                <w:bCs w:val="1"/>
                <w:color w:val="auto"/>
                <w:w w:val="83"/>
              </w:rPr>
              <w:t>      2023</w:t>
            </w: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480" w:type="dxa"/>
            <w:vAlign w:val="bottom"/>
            <w:tcBorders>
              <w:top w:val="single" w:sz="8" w:color="auto"/>
            </w:tcBorders>
          </w:tcPr>
          <w:p>
            <w:pPr>
              <w:jc w:val="center"/>
              <w:ind w:left="11"/>
              <w:spacing w:after="0" w:line="138" w:lineRule="exact"/>
              <w:rPr>
                <w:sz w:val="20"/>
                <w:szCs w:val="20"/>
                <w:color w:val="auto"/>
              </w:rPr>
            </w:pPr>
            <w:r>
              <w:rPr>
                <w:rFonts w:ascii="Arial" w:cs="Arial" w:eastAsia="Arial" w:hAnsi="Arial"/>
                <w:sz w:val="13"/>
                <w:szCs w:val="13"/>
                <w:b w:val="1"/>
                <w:bCs w:val="1"/>
                <w:color w:val="auto"/>
                <w:w w:val="81"/>
              </w:rPr>
              <w:t>   2024</w:t>
            </w:r>
          </w:p>
        </w:tc>
        <w:tc>
          <w:tcPr>
            <w:tcW w:w="500" w:type="dxa"/>
            <w:vAlign w:val="bottom"/>
          </w:tcPr>
          <w:p>
            <w:pPr>
              <w:spacing w:after="0"/>
              <w:rPr>
                <w:sz w:val="11"/>
                <w:szCs w:val="11"/>
                <w:color w:val="auto"/>
              </w:rPr>
            </w:pPr>
          </w:p>
        </w:tc>
        <w:tc>
          <w:tcPr>
            <w:tcW w:w="2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20" w:type="dxa"/>
            <w:vAlign w:val="bottom"/>
            <w:tcBorders>
              <w:top w:val="single" w:sz="8" w:color="auto"/>
            </w:tcBorders>
          </w:tcPr>
          <w:p>
            <w:pPr>
              <w:jc w:val="right"/>
              <w:ind w:right="212"/>
              <w:spacing w:after="0" w:line="138" w:lineRule="exact"/>
              <w:rPr>
                <w:sz w:val="20"/>
                <w:szCs w:val="20"/>
                <w:color w:val="auto"/>
              </w:rPr>
            </w:pPr>
            <w:r>
              <w:rPr>
                <w:rFonts w:ascii="Arial" w:cs="Arial" w:eastAsia="Arial" w:hAnsi="Arial"/>
                <w:sz w:val="13"/>
                <w:szCs w:val="13"/>
                <w:b w:val="1"/>
                <w:bCs w:val="1"/>
                <w:color w:val="auto"/>
                <w:w w:val="83"/>
              </w:rPr>
              <w:t>      2024</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xml:space="preserve">    </w:t>
            </w: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5"/>
              </w:rPr>
              <w:t>   2025</w:t>
            </w: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980" w:type="dxa"/>
            <w:vAlign w:val="bottom"/>
            <w:tcBorders>
              <w:top w:val="single" w:sz="8" w:color="auto"/>
            </w:tcBorders>
            <w:shd w:val="clear" w:color="auto" w:fill="E5E5E5"/>
          </w:tcPr>
          <w:p>
            <w:pPr>
              <w:spacing w:after="0" w:line="148" w:lineRule="exact"/>
              <w:rPr>
                <w:sz w:val="20"/>
                <w:szCs w:val="20"/>
                <w:color w:val="auto"/>
              </w:rPr>
            </w:pPr>
            <w:r>
              <w:rPr>
                <w:rFonts w:ascii="Arial" w:cs="Arial" w:eastAsia="Arial" w:hAnsi="Arial"/>
                <w:sz w:val="14"/>
                <w:szCs w:val="14"/>
                <w:color w:val="auto"/>
              </w:rPr>
              <w:t>Non-GAAP income (loss) from operations</w:t>
            </w:r>
          </w:p>
        </w:tc>
        <w:tc>
          <w:tcPr>
            <w:tcW w:w="2600" w:type="dxa"/>
            <w:vAlign w:val="bottom"/>
            <w:tcBorders>
              <w:top w:val="single" w:sz="8" w:color="auto"/>
            </w:tcBorders>
            <w:gridSpan w:val="2"/>
            <w:shd w:val="clear" w:color="auto" w:fill="E5E5E5"/>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5E5E5"/>
          </w:tcPr>
          <w:p>
            <w:pPr>
              <w:jc w:val="right"/>
              <w:ind w:right="152"/>
              <w:spacing w:after="0" w:line="148" w:lineRule="exact"/>
              <w:rPr>
                <w:sz w:val="20"/>
                <w:szCs w:val="20"/>
                <w:color w:val="auto"/>
              </w:rPr>
            </w:pPr>
            <w:r>
              <w:rPr>
                <w:rFonts w:ascii="Arial" w:cs="Arial" w:eastAsia="Arial" w:hAnsi="Arial"/>
                <w:sz w:val="14"/>
                <w:szCs w:val="14"/>
                <w:color w:val="auto"/>
              </w:rPr>
              <w:t>(64,641)</w:t>
            </w:r>
          </w:p>
        </w:tc>
        <w:tc>
          <w:tcPr>
            <w:tcW w:w="460" w:type="dxa"/>
            <w:vAlign w:val="bottom"/>
            <w:tcBorders>
              <w:top w:val="single" w:sz="8" w:color="auto"/>
            </w:tcBorders>
            <w:shd w:val="clear" w:color="auto" w:fill="E5E5E5"/>
          </w:tcPr>
          <w:p>
            <w:pPr>
              <w:jc w:val="right"/>
              <w:ind w:right="74"/>
              <w:spacing w:after="0" w:line="148"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E5E5E5"/>
          </w:tcPr>
          <w:p>
            <w:pPr>
              <w:jc w:val="center"/>
              <w:ind w:right="420"/>
              <w:spacing w:after="0" w:line="148" w:lineRule="exact"/>
              <w:rPr>
                <w:sz w:val="20"/>
                <w:szCs w:val="20"/>
                <w:color w:val="auto"/>
              </w:rPr>
            </w:pPr>
            <w:r>
              <w:rPr>
                <w:rFonts w:ascii="Arial" w:cs="Arial" w:eastAsia="Arial" w:hAnsi="Arial"/>
                <w:sz w:val="14"/>
                <w:szCs w:val="14"/>
                <w:color w:val="auto"/>
                <w:w w:val="99"/>
              </w:rPr>
              <w:t>(38,784)</w:t>
            </w:r>
          </w:p>
        </w:tc>
        <w:tc>
          <w:tcPr>
            <w:tcW w:w="200" w:type="dxa"/>
            <w:vAlign w:val="bottom"/>
            <w:tcBorders>
              <w:top w:val="single" w:sz="8" w:color="auto"/>
            </w:tcBorders>
            <w:shd w:val="clear" w:color="auto" w:fill="E5E5E5"/>
          </w:tcPr>
          <w:p>
            <w:pPr>
              <w:jc w:val="right"/>
              <w:ind w:right="54"/>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5E5E5"/>
          </w:tcPr>
          <w:p>
            <w:pPr>
              <w:jc w:val="right"/>
              <w:ind w:right="172"/>
              <w:spacing w:after="0" w:line="148" w:lineRule="exact"/>
              <w:rPr>
                <w:sz w:val="20"/>
                <w:szCs w:val="20"/>
                <w:color w:val="auto"/>
              </w:rPr>
            </w:pPr>
            <w:r>
              <w:rPr>
                <w:rFonts w:ascii="Arial" w:cs="Arial" w:eastAsia="Arial" w:hAnsi="Arial"/>
                <w:sz w:val="14"/>
                <w:szCs w:val="14"/>
                <w:color w:val="auto"/>
              </w:rPr>
              <w:t>(18,915)</w:t>
            </w:r>
          </w:p>
        </w:tc>
        <w:tc>
          <w:tcPr>
            <w:tcW w:w="560" w:type="dxa"/>
            <w:vAlign w:val="bottom"/>
            <w:tcBorders>
              <w:top w:val="single" w:sz="8" w:color="auto"/>
            </w:tcBorders>
            <w:shd w:val="clear" w:color="auto" w:fill="E5E5E5"/>
          </w:tcPr>
          <w:p>
            <w:pPr>
              <w:jc w:val="right"/>
              <w:ind w:right="194"/>
              <w:spacing w:after="0" w:line="148"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shd w:val="clear" w:color="auto" w:fill="E5E5E5"/>
          </w:tcPr>
          <w:p>
            <w:pPr>
              <w:jc w:val="right"/>
              <w:ind w:right="100"/>
              <w:spacing w:after="0" w:line="148" w:lineRule="exact"/>
              <w:rPr>
                <w:sz w:val="20"/>
                <w:szCs w:val="20"/>
                <w:color w:val="auto"/>
              </w:rPr>
            </w:pPr>
            <w:r>
              <w:rPr>
                <w:rFonts w:ascii="Arial" w:cs="Arial" w:eastAsia="Arial" w:hAnsi="Arial"/>
                <w:sz w:val="14"/>
                <w:szCs w:val="14"/>
                <w:color w:val="auto"/>
              </w:rPr>
              <w:t>1,164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980" w:type="dxa"/>
            <w:vAlign w:val="bottom"/>
          </w:tcPr>
          <w:p>
            <w:pPr>
              <w:spacing w:after="0" w:line="157" w:lineRule="exact"/>
              <w:rPr>
                <w:sz w:val="20"/>
                <w:szCs w:val="20"/>
                <w:color w:val="auto"/>
              </w:rPr>
            </w:pPr>
            <w:r>
              <w:rPr>
                <w:rFonts w:ascii="Arial" w:cs="Arial" w:eastAsia="Arial" w:hAnsi="Arial"/>
                <w:sz w:val="14"/>
                <w:szCs w:val="14"/>
                <w:color w:val="auto"/>
              </w:rPr>
              <w:t>Non-GAAP net income (loss)</w:t>
            </w: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2"/>
              <w:spacing w:after="0" w:line="157" w:lineRule="exact"/>
              <w:rPr>
                <w:sz w:val="20"/>
                <w:szCs w:val="20"/>
                <w:color w:val="auto"/>
              </w:rPr>
            </w:pPr>
            <w:r>
              <w:rPr>
                <w:rFonts w:ascii="Arial" w:cs="Arial" w:eastAsia="Arial" w:hAnsi="Arial"/>
                <w:sz w:val="14"/>
                <w:szCs w:val="14"/>
                <w:color w:val="auto"/>
              </w:rPr>
              <w:t>(64,908)</w:t>
            </w:r>
          </w:p>
        </w:tc>
        <w:tc>
          <w:tcPr>
            <w:tcW w:w="460" w:type="dxa"/>
            <w:vAlign w:val="bottom"/>
          </w:tcPr>
          <w:p>
            <w:pPr>
              <w:spacing w:after="0"/>
              <w:rPr>
                <w:sz w:val="13"/>
                <w:szCs w:val="13"/>
                <w:color w:val="auto"/>
              </w:rPr>
            </w:pPr>
          </w:p>
        </w:tc>
        <w:tc>
          <w:tcPr>
            <w:tcW w:w="98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9"/>
              </w:rPr>
              <w:t>(36,525)</w:t>
            </w:r>
          </w:p>
        </w:tc>
        <w:tc>
          <w:tcPr>
            <w:tcW w:w="200" w:type="dxa"/>
            <w:vAlign w:val="bottom"/>
          </w:tcPr>
          <w:p>
            <w:pPr>
              <w:spacing w:after="0"/>
              <w:rPr>
                <w:sz w:val="13"/>
                <w:szCs w:val="13"/>
                <w:color w:val="auto"/>
              </w:rPr>
            </w:pPr>
          </w:p>
        </w:tc>
        <w:tc>
          <w:tcPr>
            <w:tcW w:w="820" w:type="dxa"/>
            <w:vAlign w:val="bottom"/>
          </w:tcPr>
          <w:p>
            <w:pPr>
              <w:jc w:val="right"/>
              <w:ind w:right="172"/>
              <w:spacing w:after="0" w:line="157" w:lineRule="exact"/>
              <w:rPr>
                <w:sz w:val="20"/>
                <w:szCs w:val="20"/>
                <w:color w:val="auto"/>
              </w:rPr>
            </w:pPr>
            <w:r>
              <w:rPr>
                <w:rFonts w:ascii="Arial" w:cs="Arial" w:eastAsia="Arial" w:hAnsi="Arial"/>
                <w:sz w:val="14"/>
                <w:szCs w:val="14"/>
                <w:color w:val="auto"/>
              </w:rPr>
              <w:t>(19,084)</w:t>
            </w:r>
          </w:p>
        </w:tc>
        <w:tc>
          <w:tcPr>
            <w:tcW w:w="560" w:type="dxa"/>
            <w:vAlign w:val="bottom"/>
          </w:tcPr>
          <w:p>
            <w:pPr>
              <w:spacing w:after="0"/>
              <w:rPr>
                <w:sz w:val="13"/>
                <w:szCs w:val="13"/>
                <w:color w:val="auto"/>
              </w:rPr>
            </w:pPr>
          </w:p>
        </w:tc>
        <w:tc>
          <w:tcPr>
            <w:tcW w:w="5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3,974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9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EBITDA</w:t>
            </w:r>
          </w:p>
        </w:tc>
        <w:tc>
          <w:tcPr>
            <w:tcW w:w="24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152"/>
              <w:spacing w:after="0" w:line="157" w:lineRule="exact"/>
              <w:rPr>
                <w:sz w:val="20"/>
                <w:szCs w:val="20"/>
                <w:color w:val="auto"/>
              </w:rPr>
            </w:pPr>
            <w:r>
              <w:rPr>
                <w:rFonts w:ascii="Arial" w:cs="Arial" w:eastAsia="Arial" w:hAnsi="Arial"/>
                <w:sz w:val="14"/>
                <w:szCs w:val="14"/>
                <w:color w:val="auto"/>
              </w:rPr>
              <w:t>(76,984)</w:t>
            </w:r>
          </w:p>
        </w:tc>
        <w:tc>
          <w:tcPr>
            <w:tcW w:w="460" w:type="dxa"/>
            <w:vAlign w:val="bottom"/>
            <w:shd w:val="clear" w:color="auto" w:fill="E5E5E5"/>
          </w:tcPr>
          <w:p>
            <w:pPr>
              <w:spacing w:after="0"/>
              <w:rPr>
                <w:sz w:val="13"/>
                <w:szCs w:val="13"/>
                <w:color w:val="auto"/>
              </w:rPr>
            </w:pPr>
          </w:p>
        </w:tc>
        <w:tc>
          <w:tcPr>
            <w:tcW w:w="980" w:type="dxa"/>
            <w:vAlign w:val="bottom"/>
            <w:gridSpan w:val="2"/>
            <w:shd w:val="clear" w:color="auto" w:fill="E5E5E5"/>
          </w:tcPr>
          <w:p>
            <w:pPr>
              <w:jc w:val="center"/>
              <w:ind w:right="420"/>
              <w:spacing w:after="0" w:line="157" w:lineRule="exact"/>
              <w:rPr>
                <w:sz w:val="20"/>
                <w:szCs w:val="20"/>
                <w:color w:val="auto"/>
              </w:rPr>
            </w:pPr>
            <w:r>
              <w:rPr>
                <w:rFonts w:ascii="Arial" w:cs="Arial" w:eastAsia="Arial" w:hAnsi="Arial"/>
                <w:sz w:val="14"/>
                <w:szCs w:val="14"/>
                <w:color w:val="auto"/>
                <w:w w:val="99"/>
              </w:rPr>
              <w:t>(37,934)</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172"/>
              <w:spacing w:after="0" w:line="157" w:lineRule="exact"/>
              <w:rPr>
                <w:sz w:val="20"/>
                <w:szCs w:val="20"/>
                <w:color w:val="auto"/>
              </w:rPr>
            </w:pPr>
            <w:r>
              <w:rPr>
                <w:rFonts w:ascii="Arial" w:cs="Arial" w:eastAsia="Arial" w:hAnsi="Arial"/>
                <w:sz w:val="14"/>
                <w:szCs w:val="14"/>
                <w:color w:val="auto"/>
              </w:rPr>
              <w:t>(12,031)</w:t>
            </w:r>
          </w:p>
        </w:tc>
        <w:tc>
          <w:tcPr>
            <w:tcW w:w="560" w:type="dxa"/>
            <w:vAlign w:val="bottom"/>
            <w:shd w:val="clear" w:color="auto" w:fill="E5E5E5"/>
          </w:tcPr>
          <w:p>
            <w:pPr>
              <w:spacing w:after="0"/>
              <w:rPr>
                <w:sz w:val="13"/>
                <w:szCs w:val="13"/>
                <w:color w:val="auto"/>
              </w:rPr>
            </w:pPr>
          </w:p>
        </w:tc>
        <w:tc>
          <w:tcPr>
            <w:tcW w:w="52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(3,465)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Adjusted EBITDA</w:t>
            </w: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(59,209)</w:t>
            </w:r>
          </w:p>
        </w:tc>
        <w:tc>
          <w:tcPr>
            <w:tcW w:w="46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(32,889)</w:t>
            </w:r>
          </w:p>
        </w:tc>
        <w:tc>
          <w:tcPr>
            <w:tcW w:w="20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(15,926)</w:t>
            </w:r>
          </w:p>
        </w:tc>
        <w:tc>
          <w:tcPr>
            <w:tcW w:w="5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4,743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40" w:type="dxa"/>
            <w:vAlign w:val="bottom"/>
          </w:tcPr>
          <w:p>
            <w:pPr>
              <w:jc w:val="right"/>
              <w:ind w:right="81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8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w:t>
      </w:r>
    </w:p>
    <w:p>
      <w:pPr>
        <w:spacing w:after="0" w:line="127"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carefully consider the following risks and uncertainties described below, together with all of the other information contained in this prospectus, including our financial statements and the related notes and the section titled “Management’s discussion and analysis of financial condition and results of operations,” before making a decision to invest in our Class A common stock. The risks and uncertainties described below are not the only ones we may face. Our business, financial results, or prospects could also be harmed by additional risks and uncertainties not currently known to us or that we currently do not believe are material to disclose. Any of the following risks could have an adverse effect on our business, financial results, and prospects and could cause the market price of our Class A common stock to decline, which would cause you to lose all or part of your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strategy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and rapid growth make it difficult to evaluate our future prospects and the risks and challenges we may encounter.</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were founded in 2016 and received our first commercial test sample in 2019. We have since experienced rapid growth in revenue, headcount, adoption of our products and testing volume. We operate in a highly competitive market characterized by rapid technological advances.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accurately project the future performance of our business.</w:t>
      </w:r>
    </w:p>
    <w:p>
      <w:pPr>
        <w:spacing w:after="0" w:line="77"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intend to continue to expand our overall business, customer base, headcount and operations, and managing our growth will also require significant expenditures and allocation of valuable management resources. Continued growth increases the challenges involved in:</w:t>
      </w:r>
    </w:p>
    <w:p>
      <w:pPr>
        <w:spacing w:after="0" w:line="69" w:lineRule="exact"/>
        <w:rPr>
          <w:sz w:val="20"/>
          <w:szCs w:val="20"/>
          <w:color w:val="auto"/>
        </w:rPr>
      </w:pPr>
    </w:p>
    <w:p>
      <w:pPr>
        <w:ind w:left="220" w:hanging="216"/>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recruiting, training and retaining sufficient skilled technical, marketing, sales and management personnel;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preserving our high performing culture, core values and entrepreneurial environment;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developing and improving our internal administrative infrastructure, particularly our financial, operational, compliance, recordkeeping, communications and other internal systems;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maintaining high levels of satisfaction with our products among our customers;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effectively managing expenses related to any future growth.</w:t>
      </w:r>
    </w:p>
    <w:p>
      <w:pPr>
        <w:spacing w:after="0" w:line="112"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have encountered in the past, and will encounter in the future, risks and uncertainties frequently experienced by growing companies with limited operating histories in rapidly changing industries. Our future financial performance and our ability to commercialize our products, to increase our sales and to compete effectively will depend, in part, on our ability to manage our potential future growth effectively, without compromising quality.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38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primarily generate revenue from sales of our molecular diagnostic tests and we are highly dependent on them for our success.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execute our growth strategy and become or remain profitable is highly dependent on the continued adoption and use of our molecular diagnostic tests, which are our primary source of revenue. Continued adoption and use of our tests will depend on several factors, including the prices we charge for our tests, the scope of coverage and amount of reimbursement available from third-party payors for our tests, the availability of clinical data that supports the value of our tests and the inclusion of our tests in industry treatment guidelines. In addition, many healthcare providers have existing relationships with companies that develop molecular diagnostic tests, including our competitors, and may continue to use their tests instead of ours. If we are unable to achieve or maintain commercial success for our tests, our business, results of operations and financial condition would be materially and adversely affected. We cannot assure that our tests will continue to maintain or gain market acceptance, and any failure to do so would materially harm our business and results of operations.</w:t>
      </w:r>
    </w:p>
    <w:p>
      <w:pPr>
        <w:spacing w:after="0" w:line="208" w:lineRule="exact"/>
        <w:rPr>
          <w:sz w:val="20"/>
          <w:szCs w:val="20"/>
          <w:color w:val="auto"/>
        </w:rPr>
      </w:pPr>
    </w:p>
    <w:p>
      <w:pPr>
        <w:ind w:right="760"/>
        <w:spacing w:after="0" w:line="278" w:lineRule="auto"/>
        <w:rPr>
          <w:sz w:val="20"/>
          <w:szCs w:val="20"/>
          <w:color w:val="auto"/>
        </w:rPr>
      </w:pPr>
      <w:r>
        <w:rPr>
          <w:rFonts w:ascii="Arial" w:cs="Arial" w:eastAsia="Arial" w:hAnsi="Arial"/>
          <w:sz w:val="14"/>
          <w:szCs w:val="14"/>
          <w:b w:val="1"/>
          <w:bCs w:val="1"/>
          <w:i w:val="1"/>
          <w:iCs w:val="1"/>
          <w:color w:val="auto"/>
        </w:rPr>
        <w:t>If the government and other third-party payors fail to provide coverage and adequate payment for our existing and future tests, our revenue and prospects for profitability will be harmed.</w:t>
      </w:r>
    </w:p>
    <w:p>
      <w:pPr>
        <w:spacing w:after="0" w:line="4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Our business depends on our ability to obtain and maintain adequate coverage and reimbursement from third-party payors and patients. Reimbursement from third-party payors for our tests represented more than 90% of our revenue for each of the years ended December 31, 2023 and 2024, and we expect government and commercial third-party payors to continue to be our primary source of payments. If we are unable to obtain or maintain coverage or adequate reimbursement from, or achieve in-network status with, third-party payors for our existing or future tests, our ability to generate revenue will be limited. For example, physicians may be reluctant to order our tests due to the potential of a substantial out-of-pocket cost to the patient if reimbursement coverage is unavailable or insufficient.</w:t>
      </w:r>
    </w:p>
    <w:p>
      <w:pPr>
        <w:spacing w:after="0" w:line="87"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insurance landscape, particularly for molecular diagnostics, is continually changing and our efforts to broaden reimbursement for our tests with third-party payors may not be successful. Third parties, such as commercial health insurers and government programs, from whom we have received reimbursement may withdraw coverage or decrease the amount of reimbursement for our tests at any time and for any reason, or may otherwise adopt requirements, programs or policies that may restrict or adversely affect our business. In addition, in some cases, our tests or their uses within certain populations are considered experimental by third-party payors and, as a result, some payors have decided not to cover or reimburse for such tests. Some payors may not load our Proprietary Laboratory Analyses (PLA) codes into their system, necessitating us to bill multiple codes for multiple conditions analyzed in a single panel test, resulting in varied billing practices and limiting our reimbursement in those situations. Payors may also dispute our billing or coding practices. Based on any of the foregoing, third-party payors may also decide to deny payment or recoup payment for testing that they contend to have been not medically necessary, against their coverage determinations, or for which they have otherwise overpaid, and we may be required to refund reimbursements already received or otherwise bring legal action to defend our position. We deal with demands for overpayment recoupment from third-party payors from time to time in the ordinary course of our business, and it is likely that we will continue to do so in the future. If a third-party payor denies payment for testing, the reimbursement revenue for our testing could decline. If a third-party payor successfully proves that payment for prior testing was in breach of contract or otherwise contrary to law, they may recoup payment or bring legal action to do so, which amounts could be significant and would adversely impact our results of operations, and it may decrease reimbursement going forward. We may also decide to negotiate and settle with a third-party payor in order to resolve an allegation of overpayment.</w:t>
      </w:r>
    </w:p>
    <w:p>
      <w:pPr>
        <w:spacing w:after="0" w:line="84"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In addition, third-party reimbursement for our tests is based on professional society practice guidelines around the tests performed by our products. These guidelines are issued by medical professional societies in the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60"/>
          </w:cols>
          <w:pgMar w:left="300" w:top="3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prenatal and oncology clinical areas, such as ACOG for our prenatal tests and the National Comprehensive Cancer Network (NCCN) for our oncology tests. While ACOG guidelines generally acknowledge that NIPT is the most sensitive screening option for, and/or are generally supportive of NIPT in, average-risk pregnancies in addition to high-risk pregnancies, and NCCN is generally supportive of comprehensive genomic profiling tests, a category that includes Northstar Select, not all of our current tests are covered under practice guidelines, and we cannot predict whether our future tests will be covered by such guidelines. Further, medical professional societies, at times, change their guidelines. 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79"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While our primary prenatal tests, such as carrier testing and aneuploidy, have broad guideline support and payor coverage, certain add-ons of our prenatal tests, such as the 22q microdeletion component of UNITY Aneuploidy NIPT or the single-gene NIPT component of our UNITY Fetal Risk Screen, are covered by only a small number of insurance companies, due to more limited, or non-existent, medical guideline support. In oncology, Northstar Select is covered broadly by Medicare, but more narrowly for only certain indications (e.g., lung cancer) by commercial third-party payors. Northstar Response is currently neither covered by Medicare nor by many insurance companies.</w:t>
      </w:r>
    </w:p>
    <w:p>
      <w:pPr>
        <w:spacing w:after="0" w:line="85" w:lineRule="exact"/>
        <w:rPr>
          <w:sz w:val="20"/>
          <w:szCs w:val="20"/>
          <w:color w:val="auto"/>
        </w:rPr>
      </w:pPr>
    </w:p>
    <w:p>
      <w:pPr>
        <w:ind w:right="500"/>
        <w:spacing w:after="0" w:line="269" w:lineRule="auto"/>
        <w:rPr>
          <w:sz w:val="20"/>
          <w:szCs w:val="20"/>
          <w:color w:val="auto"/>
        </w:rPr>
      </w:pPr>
      <w:r>
        <w:rPr>
          <w:rFonts w:ascii="Arial" w:cs="Arial" w:eastAsia="Arial" w:hAnsi="Arial"/>
          <w:sz w:val="14"/>
          <w:szCs w:val="14"/>
          <w:color w:val="auto"/>
        </w:rPr>
        <w:t>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If a third-party payor denies coverage, it may be difficult for us to collect from the patient. In particular, we are often unable to collect the full amount of a patient’s responsibility where we are an out-of-network provider and the patient is left with a large balance, despite our efforts to collect. As a result, we cannot always collect the full amount due for our tests when third-party payors deny coverage, cover only a portion of the invoiced amount or the patient has a large cost-sharing obligation. We believe that our billing policies and our patient collection practices are compliant with applicable laws and reimbursement policies. However, from time to time we receive inquiries from third-party payors regarding our billing policies and collection practices. We address these inquiries as and when they arise, but there is no guarantee that we will always be successful in addressing such concerns, which may result in a third-party payor deciding to reimburse for our tests at a lower rate or not at all, seeking recoupment of amounts previously paid to us, or bringing legal action to seek recoupment of previous amounts paid. Any of such occurrences could cause third-party payor revenue for our testing, which represented more than 90% of our revenue for each of the years ended December 31, 2023 and 2024, to decline. Additionally, if we were required to make a repayment, such repayment could be significant, which would adversely impact our results of operations, and we might be required to restate our financials from a prior period, which would likely cause the market price of our Class A common stock to decline. As part of our revenue recognition process, we estimate the expected amount of consideration to be received from our tests using all the information (historical, current and forecasted)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claims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 for tests performed in prior periods.</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00" w:top="38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Given the efforts to control and reduce healthcare costs, in the United States and internationally, available levels of reimbursement may change for our current and future products, if authorized for marketing. Third-party reimbursement and coverage may not be available or adequate in either the United States or international markets, which may reduce the demand for our products or our ability to sell our products on a profitable basis. Additionally, the U.S. government may propose and pass legislation designed to reduce the cost of healthcare. We expect that there will continue to be federal and state proposals to implement governmental controls or impose healthcare requirements. In addition, the Medicare and Medicaid programs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may be adversely affected if we are unable to successfully obtain reimbursement from the Medicare program and state Medicaid programs.</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The Centers for Medicare &amp; Medicaid Services (CMS) plays a crucial role in determining reimbursement rates for all Current Procedural Terminology (CPT) codes, which are vital for billing and payment for our tests. Annually, CMS publishes these rates in the Clinical Laboratory Fee Schedule (CLFS), providing a comprehensive guideline for laboratories and healthcare providers. If CMS decides to alter the reimbursement rates for the CPT codes associated with the company’s tests, it could have an adverse effect on our revenues. Any such changes could impact not only Medicare coverage but also the reimbursement landscape from Medicaid programs and commercial third-party payors because many private insurance companies and state Medicaid plans establish their payment rates as a percentage of the amounts that Medicare allocates for the same CPT codes. Consequently, any modifications in CMS’s reimbursement structure could lead to reduced coverage or lower reimbursement rates for our tests.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Protecting Access to Medicare Act of 2014 (PAMA) introduced a multi -year pricing program and new payment methodology to calculate the rates for tests listed under the CLFS that are reimbursable by Medicare Part B. Under PAMA, services payable by Medicare under the CLFS are adjusted based on negotiated payment rates paid by private payors for the same test reported by an “applicable laboratory” to CMS. However, the PAMA reporting requirements were suspended in 2021 and have continued to be delayed, most recently until 2026, which in turn has not resulted in rate reductions under the Medicare Part B CLFS. Accordingly, any decrease in the reimbursement we receive under the CLFS due to PAMA in the future may negatively impact our revenue when the PAMA rates are implemented. In addition, federal budgetary limitations and changes in healthcare policy, such as the creation of broad limits for our tests and requirements that beneficiaries of federal health care programs pay for, or pay for higher portions of, clinical laboratory tests or services received, could substantially diminish the utilization of our tests, increase costs and adversely affect our ability to generate revenue and achieve profitability.</w:t>
      </w:r>
    </w:p>
    <w:p>
      <w:pPr>
        <w:spacing w:after="0" w:line="90"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It is estimated that nearly half of all births in the United States are to state Medicaid program beneficiaries. Each state’s Medicaid program has its own coverage determinations related to our testing, and several state Medicaid programs do not provide coverage for our testing.</w:t>
      </w:r>
      <w:r>
        <w:rPr>
          <w:rFonts w:ascii="Arial" w:cs="Arial" w:eastAsia="Arial" w:hAnsi="Arial"/>
          <w:sz w:val="20"/>
          <w:szCs w:val="20"/>
          <w:color w:val="auto"/>
          <w:vertAlign w:val="superscript"/>
        </w:rPr>
        <w:t>22</w:t>
      </w:r>
      <w:r>
        <w:rPr>
          <w:rFonts w:ascii="Arial" w:cs="Arial" w:eastAsia="Arial" w:hAnsi="Arial"/>
          <w:sz w:val="14"/>
          <w:szCs w:val="14"/>
          <w:color w:val="auto"/>
        </w:rPr>
        <w:t xml:space="preserve"> Even if our testing is covered by a state Medicaid program, we must be recognized as an enrolled Medicaid provider by the state in which the Medicaid beneficiary receiving the services resides in order for us to be reimbursed by a state’s Medicaid program, including under a Medicaid managed care plan. Furthermore, in certain states that have implemented managed care organizations (MCOs) that are typically operated by commercial third-party payors, we may also need to contract with one or more MCOs as a participating network provider for us to be reimbursed for testing services that we provide to a Medicaid beneficiary in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8613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5" w:lineRule="exact"/>
        <w:rPr>
          <w:sz w:val="20"/>
          <w:szCs w:val="20"/>
          <w:color w:val="auto"/>
        </w:rPr>
      </w:pPr>
    </w:p>
    <w:p>
      <w:pPr>
        <w:ind w:left="320" w:right="200" w:hanging="316"/>
        <w:spacing w:after="0" w:line="202" w:lineRule="auto"/>
        <w:tabs>
          <w:tab w:leader="none" w:pos="320" w:val="left"/>
        </w:tabs>
        <w:numPr>
          <w:ilvl w:val="0"/>
          <w:numId w:val="30"/>
        </w:numPr>
        <w:rPr>
          <w:rFonts w:ascii="Arial" w:cs="Arial" w:eastAsia="Arial" w:hAnsi="Arial"/>
          <w:sz w:val="16"/>
          <w:szCs w:val="16"/>
          <w:color w:val="auto"/>
          <w:vertAlign w:val="superscript"/>
        </w:rPr>
      </w:pPr>
      <w:r>
        <w:rPr>
          <w:rFonts w:ascii="Arial" w:cs="Arial" w:eastAsia="Arial" w:hAnsi="Arial"/>
          <w:sz w:val="10"/>
          <w:szCs w:val="10"/>
          <w:color w:val="auto"/>
        </w:rPr>
        <w:t>Our carrier screen test is not covered by Alabama, Michigan, or Nevada, and our aneuploidy test is not covered by Nebraska, Nevada or Utah. State Medicaid coverage for our RhD and fetal antigen tests is currently uncommon. Our oncology test are covered at the federal level by Medicare. Medicaid coverage for our oncology tests is less relevant, as the vast majority of cancer patients do not have Medicaid coverage.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60"/>
          </w:cols>
          <w:pgMar w:left="300" w:top="3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Our Union City laboratory, where our prenatal tests are processed, is currently enrolled as a Medicaid provider in over 40 states. However, even if we are recognized as a Medicaid provider in a state, the Medicaid reimbursement amounts are sometimes as low, or lower, than the Medicare reimbursement rate. In addition, from time to time we receive requests from state Medicaid programs seeking information or documents to determine eligibility for and the amount of Medicaid reimbursement. As a result of all of these factors, some state Medicaid programs may only reimburse our testing at a low dollar amount, or not at all. Low or zero-dollar Medicaid reimbursement rates for our tests could have an adverse effect on our business and revenue.</w:t>
      </w:r>
    </w:p>
    <w:p>
      <w:pPr>
        <w:spacing w:after="0" w:line="194"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5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Billing for our tests is complex, time-consuming and expensive. Depending on the billing arrangement and applicable law, we bill various payors, such as Medicare, Medicaid, health plans, insurance companies and patients, all of which may have different billing requirements. Several factors make the billing process complex, including:</w:t>
      </w:r>
    </w:p>
    <w:p>
      <w:pPr>
        <w:spacing w:after="0" w:line="69" w:lineRule="exact"/>
        <w:rPr>
          <w:sz w:val="20"/>
          <w:szCs w:val="20"/>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differences between the list prices for our tests and the reimbursement rates of payors;</w:t>
      </w:r>
    </w:p>
    <w:p>
      <w:pPr>
        <w:spacing w:after="0" w:line="111" w:lineRule="exact"/>
        <w:rPr>
          <w:rFonts w:ascii="Arial" w:cs="Arial" w:eastAsia="Arial" w:hAnsi="Arial"/>
          <w:sz w:val="14"/>
          <w:szCs w:val="14"/>
          <w:color w:val="auto"/>
        </w:rPr>
      </w:pPr>
    </w:p>
    <w:p>
      <w:pPr>
        <w:ind w:left="220" w:right="80" w:hanging="216"/>
        <w:spacing w:after="0" w:line="269" w:lineRule="auto"/>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compliance with complex federal and state regulations related to billing government healthcare programs, including Medicare and Medicaid, to the extent our tests are covered by such programs;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differences in coverage among payors and the effect of patient co-payments or co-insurance;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differences in information, pre-authorization and other billing requirements among payors;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to codes and coding instructions governing our tests;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incorrect or missing billing information;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resources required to manage the billing and claim appeals process.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These billing complexities and the related uncertainty in obtaining payment for our tests could negatively affect our revenue and cash flow, our ability to achieve or maintain profitability and the consistency and comparability of our results of operations. In addition, if claims for our tests are not submitted to payors on a timely basis, or if we fail to comply with applicable billing requirements, it could have an adverse effect on our revenue and our business.</w:t>
      </w:r>
    </w:p>
    <w:p>
      <w:pPr>
        <w:spacing w:after="0" w:line="80"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In addition, the coding procedure used by third-party payors to identify various procedures, including our tests, during the billing process is complex, does not adapt well to our tests and may not enable coverage and adequate reimbursement rates. Third-party payors require us to identify the test for which we are seeking reimbursement using a Current Procedural Terminology (CPT) code. CPT coding plays a significant role in how our tests test are reimbursed both from commercial and governmental payors. The CPT code set is maintained by the American Medical Association (AMA). In cases where there is not a specific CPT code to describe a test, the test may be billed under an unlisted molecular pathology procedure code or through the use of a combination of single gene CPT codes, depending on the payor. PAMA authorized the adoption of new, temporary billing codes and unique test identifiers for FDA-cleared or approved tests as well as advanced diagnostic laboratory tests. The AMA has created a new section of CPT codes, Proprietary Laboratory Analyses codes (PLA), to facilitate implementation of this section of PAMA. We received PLA codes for most of our tests in 2024. Because billing third-party payors for our tests is an unpredictable, challenging, time-consuming and costly process, we may face long collection cycles and the risk that we may never collect at all, either of which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38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could adversely affect our business, results of operations and financial condition, and we may have to increase collection efforts and incur additional costs. Additionally, because next generation genomic sequencing is a rapidly evolving area of medicine, and because clinical treatment guidelines continue to develop, any changes to, or interpretations of, applicable billing and coding guidance, rules, policies, and procedures may impact our business.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192" w:lineRule="exact"/>
        <w:rPr>
          <w:sz w:val="20"/>
          <w:szCs w:val="20"/>
          <w:color w:val="auto"/>
        </w:rPr>
      </w:pPr>
    </w:p>
    <w:p>
      <w:pPr>
        <w:ind w:right="500"/>
        <w:spacing w:after="0" w:line="256" w:lineRule="auto"/>
        <w:rPr>
          <w:sz w:val="20"/>
          <w:szCs w:val="20"/>
          <w:color w:val="auto"/>
        </w:rPr>
      </w:pPr>
      <w:r>
        <w:rPr>
          <w:rFonts w:ascii="Arial" w:cs="Arial" w:eastAsia="Arial" w:hAnsi="Arial"/>
          <w:sz w:val="14"/>
          <w:szCs w:val="14"/>
          <w:b w:val="1"/>
          <w:bCs w:val="1"/>
          <w:i w:val="1"/>
          <w:iCs w:val="1"/>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7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It is difficult to predict the amounts, if any, we are able to collect for our tests from third-party payors. We are a participating in -network provider with some commercial third-party payors from whom we receive reimbursement for our molecular diagnostic tests. We also provide testing services to patients as a non-participating (out of network) provider. While we have contracts as an in network provider with some payors, we do not have contracts with all payors (out of network) and these payors may determine independently the amount that they are willing to reimburse us for our tests.</w:t>
      </w:r>
    </w:p>
    <w:p>
      <w:pPr>
        <w:spacing w:after="0" w:line="74"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Even when payors have paid a claim, they may elect at any time (subject to applicable federal or state law restrictions) to review previously paid claims for overpayment against such claims. In the event of an overpayment determination, the payor may offset the amount they determine they overpaid against amounts they owe us on current claims. There is generally a defined process and we have limited leverage to dispute these retroactive adjustments and we cannot predict when, or how often, a payor might engage in these reviews. A significant amount of these offsets by one or more payors in any given quarter could have a material effect on our results of operations and cause them to fall below expectations or guidance we may provide.</w:t>
      </w:r>
    </w:p>
    <w:p>
      <w:pPr>
        <w:spacing w:after="0" w:line="87"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Our efforts to become a participating provider of a number of government and commercial third-party payors may not be successful. Even when we have obtained positive coverage decisions for our tests from third party payors and entered into agreements with them, such agreements typically are standard form contracts and may allow payors to terminate coverage on short notice, impose significant obligations on us and create additional regulatory and compliance hurdles for us.</w:t>
      </w:r>
    </w:p>
    <w:p>
      <w:pPr>
        <w:spacing w:after="0" w:line="70"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As part of our billing operations, we appeal claim denials from third party payors, and if successful, we receive payments from these appeals. However, due to the inherent variability of the insurance landscape, we cannot guarantee future success of, or any payments from, appeals of claim denials by all payors. Historical success and payments are not indicative of future success of and payments from such appeals. To receive payments from these appeals, we may need to pursue arbitration and/or litigation, either of which would require resources and costs.</w:t>
      </w:r>
    </w:p>
    <w:p>
      <w:pPr>
        <w:spacing w:after="0" w:line="8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Due to the inherent variability and unpredictability of the insurance landscape, including, without limit, the amount that payors reimburse us for any of our tests, we estimate the amount of revenue to be recognized at the time a test is provided and record revenue adjustments if and when the cash subsequently received for a test differs from the revenue recorded for the test. Due to this variability and unpredictability, previously recorded revenue adjustments are not indicative of future revenue adjustments from actual cash collections, which may fluctuate significantly. If this variability and unpredictability results in our revenue or operating results falling below the expectations of analysts or investors or below any guidance we may provide, the market price of our Class A common stock could decline substantially.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38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b w:val="1"/>
          <w:bCs w:val="1"/>
          <w:i w:val="1"/>
          <w:iCs w:val="1"/>
          <w:color w:val="auto"/>
        </w:rPr>
        <w:t>The loss of key members of our senior management team or our inability to attract and retain highly skilled scientists, technicians, clinicians, and sales representatives could adversely affect our business.</w:t>
      </w:r>
    </w:p>
    <w:p>
      <w:pPr>
        <w:spacing w:after="0" w:line="45"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Our success depends on the skills, experience and performance of key members of our senior management team, including Oguzhan Atay, our Chief Executive Officer and David Tsao, our Chief Technology Officer (our Co-Founders). The individual and collective efforts of our Co-Founders, as well as other key employees, will be important as we continue to develop our platform and additional products, and as we expand our commercial activities. The loss or incapacity of either of our Co-Founders or other members of our executive management team could adversely affect our operations if we experience difficulties in hiring qualified successors. Our executive officers are at-will employees and we cannot guarantee their retention for any period of time. We do not maintain “key person” insurance on any of our employees, including our Co-Founders.</w:t>
      </w:r>
    </w:p>
    <w:p>
      <w:pPr>
        <w:spacing w:after="0" w:line="87"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Our expected future growth will impose significant added responsibilities on members of management, including the need to identify, recruit, maintain and integrate additional employees. Recruiting and retention difficulties can limit our ability to support our research and development and sales programs. All of our employees are at-will, which means that either we or the employee may terminate their employment at any time. 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Menlo Park, California. We also face competition from universities and public and private research institutions in recruiting and retaining highly qualified scientific personnel.</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In addition, we may have difficulties locating, recruiting or retaining qualified sales representatives. We currently sell to clinicians and healthcare providers in the United States through our own sales organization. Each of our target markets is large, distinctive and diverse. As a result, we prefer for our sales representatives to have established prenatal or oncology-focused expertise, as applicable. Competition for such employees within the molecular diagnostics industry is intense and oftentimes such individuals are subject to noncompetition and other employment restrictions by their former employer. We may not be able to attract and retain personnel or be able to build or maintain an efficient and effective sales organization, which could negatively impact sales and market acceptance of our products and limit our revenue growth and potential profitability. In particular, it may be challenging for us to recruit, train and retain sales personnel with oncology testing expertise, as we have relatively limited experience selling our products in this market compared with the prenatal testing market.</w:t>
      </w:r>
    </w:p>
    <w:p>
      <w:pPr>
        <w:spacing w:after="0" w:line="197" w:lineRule="exact"/>
        <w:rPr>
          <w:sz w:val="20"/>
          <w:szCs w:val="20"/>
          <w:color w:val="auto"/>
        </w:rPr>
      </w:pPr>
    </w:p>
    <w:p>
      <w:pPr>
        <w:ind w:right="380"/>
        <w:spacing w:after="0" w:line="278" w:lineRule="auto"/>
        <w:rPr>
          <w:sz w:val="20"/>
          <w:szCs w:val="20"/>
          <w:color w:val="auto"/>
        </w:rPr>
      </w:pPr>
      <w:r>
        <w:rPr>
          <w:rFonts w:ascii="Arial" w:cs="Arial" w:eastAsia="Arial" w:hAnsi="Arial"/>
          <w:sz w:val="14"/>
          <w:szCs w:val="14"/>
          <w:b w:val="1"/>
          <w:bCs w:val="1"/>
          <w:i w:val="1"/>
          <w:iCs w:val="1"/>
          <w:color w:val="auto"/>
        </w:rPr>
        <w:t>If our existing laboratory facilities become damaged or inoperable or we are required to vacate our existing facilities, our ability to perform our tests and pursue our research and development efforts may be jeopardized.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We currently derive nearly all of our revenue from tests performed at our laboratory facility located in Union City, California, with a small percentage of our revenue derived from a second facility in Menlo Park, California. While we expect to open a third laboratory facility in Austin, Texas in 2028, there is no assurance that we will be able to fully operationalize this facility to its capacity in a timely manner or at all. Our facility and equipment could be harmed or rendered inoperable by natural or man-made disasters, including war, fire, earthquake, flood, hurricanes, tornadoes, power loss, communications failure or terrorism, which may render it difficult or impossible for us to perform our tests and may also cause us to lose valuable stored blood samples. The inability to perform our tests or to reduce the backlog that could develop if our facility is inoperable, for even a short period of time, may result in the loss of customers or harm to our reputation, and we may be unable to regain those customers or repair our reputation. It would be difficult, time-consuming and expensive to rebuild our facility, to locate and qualify a new facility or enable a third party to practice our proprietary technology,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60"/>
          </w:cols>
          <w:pgMar w:left="300" w:top="3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as by the federal Occupational Safety and Health Administration (OSHA), and certain state analogs. On occasion, certain safety issues may be required to be reported directly to OSHA. If not remediated, these regulatory bodies could intervene and suspend our operations, which could have a material impact on our business.</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carry insurance for damage to our property and disruption of our business, but this insurance may not cover all of the risks associated with damage or disruption to our facility and business, may not provide coverage in amounts sufficient to cover our potential losses and may not continue to be available to us on acceptable terms, if at all.</w:t>
      </w:r>
    </w:p>
    <w:p>
      <w:pPr>
        <w:spacing w:after="0" w:line="187"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b w:val="1"/>
          <w:bCs w:val="1"/>
          <w:i w:val="1"/>
          <w:iCs w:val="1"/>
          <w:color w:val="auto"/>
        </w:rPr>
        <w:t>Our tests in development may not be clinically effective or may never achieve significant commercial market acceptance and our test offerings that we have recently launched may not be commercially successful.</w:t>
      </w:r>
    </w:p>
    <w:p>
      <w:pPr>
        <w:spacing w:after="0" w:line="45"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We may not succeed in achieving significant commercial market acceptance of our test offerings that we have launched in recent years or are currently developing. Our ability to successfully develop and commercialize our current tests, as well as any future tests that we may develop or acquire, may depend on several factors, including:</w:t>
      </w:r>
    </w:p>
    <w:p>
      <w:pPr>
        <w:spacing w:after="0" w:line="69" w:lineRule="exact"/>
        <w:rPr>
          <w:sz w:val="20"/>
          <w:szCs w:val="20"/>
          <w:color w:val="auto"/>
        </w:rPr>
      </w:pPr>
    </w:p>
    <w:p>
      <w:pPr>
        <w:ind w:left="220" w:hanging="216"/>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convince the medical community and consumers of our tests of their potential advantages over existing tests or other competing products or services;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market current and future products in new and existing markets;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collaborate with pharmaceutical companies;</w:t>
      </w:r>
    </w:p>
    <w:p>
      <w:pPr>
        <w:spacing w:after="0" w:line="111" w:lineRule="exact"/>
        <w:rPr>
          <w:rFonts w:ascii="Arial" w:cs="Arial" w:eastAsia="Arial" w:hAnsi="Arial"/>
          <w:sz w:val="14"/>
          <w:szCs w:val="14"/>
          <w:color w:val="auto"/>
        </w:rPr>
      </w:pPr>
    </w:p>
    <w:p>
      <w:pPr>
        <w:ind w:left="220" w:right="560" w:hanging="216"/>
        <w:spacing w:after="0" w:line="269" w:lineRule="auto"/>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agreement by third-party payors to reimburse our tests, the scope and extent of which will affect patients’ willingness or ability to pay for our tests and will likely heavily influence physicians’ decisions to recommend our tests; and/or</w:t>
      </w:r>
    </w:p>
    <w:p>
      <w:pPr>
        <w:spacing w:after="0" w:line="69" w:lineRule="exact"/>
        <w:rPr>
          <w:rFonts w:ascii="Arial" w:cs="Arial" w:eastAsia="Arial" w:hAnsi="Arial"/>
          <w:sz w:val="14"/>
          <w:szCs w:val="14"/>
          <w:color w:val="auto"/>
        </w:rPr>
      </w:pPr>
    </w:p>
    <w:p>
      <w:pPr>
        <w:ind w:left="220" w:right="480" w:hanging="216"/>
        <w:spacing w:after="0" w:line="269" w:lineRule="auto"/>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willingness of physicians to utilize our molecular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69"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We may have to spend substantial time and money to overcome obstacles to commercial acceptance of our tests, and our anticipated timeline to launch new test offerings may not occur at the time we expect.</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tests we enhance or develop may not be clinically effective or commercially successful, may not ultimately meet our desired target product profile, or may not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collaborations that may be essential to our clinical development and commercialization efforts. Clinical development requires large numbers of patient specimens and, for certain products, may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 future products may require. Our ongoing research and development and clinical study activities are subject to extensive regulation and review by numerous governmental authorities both in the United States and abroad. Clinical testing is difficult to design and implement, can take many years, can be expensive and carries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38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uncertain outcomes. The results of nonclinical studies and clinical studies of our products conducted to date, and ongoing or future studies of our current, planned or future products may not be predictive of the results of later clinical studies, and interim results of a clinical study do not necessarily predict final results. Clinical studies may produce negative or inconclusive results, and we may decide to conduct additional clinical and nonclinical testing in addition to those we have planned before we are able to launch our products. We may experience delays in our nonclinical studies and clinical studies for a number of reasons, which could adversely affect the costs, timing or successful completion of such studies or trials.</w:t>
      </w:r>
    </w:p>
    <w:p>
      <w:pPr>
        <w:spacing w:after="0" w:line="77"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In addition, the publication of clinical data in peer-reviewed journals is an important step in commercializing and obtaining reimbursement for our tests, and our inability to control when, if ever, results are published may delay or limit our ability to derive sufficient revenue from any test that is the subject of a study or trial. Peer-reviewed publications regarding our tests may be limited by many factors, including delays in the completion of, poor design of or lack of compelling data from, nonclinical studies and clinical studies,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205"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b w:val="1"/>
          <w:bCs w:val="1"/>
          <w:i w:val="1"/>
          <w:iCs w:val="1"/>
          <w:color w:val="auto"/>
        </w:rPr>
        <w:t>We rely on a limited number of suppliers or, in some cases, sole or single-source suppliers, for some of our laboratory instruments and materials and may not be able to find replacements or promptly transition to alternative suppliers.</w:t>
      </w:r>
    </w:p>
    <w:p>
      <w:pPr>
        <w:spacing w:after="0" w:line="45"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We rely on a limited number of suppliers, or, in some cases, sole- or single-source suppliers, for certain sequencers, reagents, blood tubes and other equipment, instruments and materials that we use in our laboratory operations. Any disruption in operations of sole or single-source suppliers or termination or suspension of our relationships with them could materially and adversely impact our supply chain and laboratory operations and thus our ability to conduct our business and generate revenue.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results of operations and reputation.</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If we were required to replace a supplier, transitioning to a new supplier would be time-consuming and expensive, may result in interruptions in our laboratory operations, could affect the performance specifications of our laboratory operations or could require that we revalidate our tests. While we have successfully transitioned suppliers in the past and we strive to keep, at least, a three-month inventory of a vast majority of required materials, transitioning suppliers may not always be possible in the future. We estimate replacing suppliers could take approximately one to nine months. If we were to encounter delays or difficulties in securing, reconfiguring or integrating the equipment and reagents we require for our products or in revalidating our products, our business, financial condition, results of operations and reputation could be materially and adversely affected.</w:t>
      </w:r>
    </w:p>
    <w:p>
      <w:pPr>
        <w:spacing w:after="0" w:line="77" w:lineRule="exact"/>
        <w:rPr>
          <w:sz w:val="20"/>
          <w:szCs w:val="20"/>
          <w:color w:val="auto"/>
        </w:rPr>
      </w:pPr>
    </w:p>
    <w:p>
      <w:pPr>
        <w:ind w:right="80"/>
        <w:spacing w:after="0" w:line="231" w:lineRule="auto"/>
        <w:rPr>
          <w:sz w:val="20"/>
          <w:szCs w:val="20"/>
          <w:color w:val="auto"/>
        </w:rPr>
      </w:pPr>
      <w:r>
        <w:rPr>
          <w:rFonts w:ascii="Arial" w:cs="Arial" w:eastAsia="Arial" w:hAnsi="Arial"/>
          <w:sz w:val="13"/>
          <w:szCs w:val="13"/>
          <w:color w:val="auto"/>
        </w:rPr>
        <w:t>Legislative or regulatory developments such as the BIOSECURE Act, proposed in the 118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Congress but not enacted, could materially affect our business operations, supply chain, or ability to contract with U.S. government agencies. If a statute akin to the BIOSECURE Act is enacted, in addition to potential other restrictions on our business, it would prohibit federal agencies from contracting with entities that use biotechnology equipment or services from certain foreign entities deemed to be under the control of foreign adversaries.</w:t>
      </w:r>
    </w:p>
    <w:p>
      <w:pPr>
        <w:spacing w:after="0" w:line="90" w:lineRule="exact"/>
        <w:rPr>
          <w:sz w:val="20"/>
          <w:szCs w:val="20"/>
          <w:color w:val="auto"/>
        </w:rPr>
      </w:pPr>
    </w:p>
    <w:p>
      <w:pPr>
        <w:ind w:right="500"/>
        <w:spacing w:after="0" w:line="269" w:lineRule="auto"/>
        <w:rPr>
          <w:sz w:val="20"/>
          <w:szCs w:val="20"/>
          <w:color w:val="auto"/>
        </w:rPr>
      </w:pPr>
      <w:r>
        <w:rPr>
          <w:rFonts w:ascii="Arial" w:cs="Arial" w:eastAsia="Arial" w:hAnsi="Arial"/>
          <w:sz w:val="14"/>
          <w:szCs w:val="14"/>
          <w:color w:val="auto"/>
        </w:rPr>
        <w:t>While we may currently rely, or in the future may rely, on equipment, reagents, or laboratory services from one or more companies that could be designated as “biotechnology companies of concern” under this or similar legislation, we have undertaken and continue to undertake measures to mitigate the risks associated with</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00" w:top="38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utilizing material from biotechnology companies of concern. Further, and as a longstanding policy and practice, we utilize robust screening measures to ensure that any genetic data we obtain is protected to the maximum extent under law. If we are unable to verify or restructure our supply chain in compliance with such laws, we could become ineligible for federal contracts, grants, or funding, may be unable to receive reimbursement from Medicaid and Medicare agencies, which provide a substantial percentage of our total revenue, and could face reputational harm, contractual liabilities, or enforcement action.</w:t>
      </w:r>
    </w:p>
    <w:p>
      <w:pPr>
        <w:spacing w:after="0" w:line="74" w:lineRule="exact"/>
        <w:rPr>
          <w:sz w:val="20"/>
          <w:szCs w:val="20"/>
          <w:color w:val="auto"/>
        </w:rPr>
      </w:pPr>
    </w:p>
    <w:p>
      <w:pPr>
        <w:ind w:right="560"/>
        <w:spacing w:after="0" w:line="269" w:lineRule="auto"/>
        <w:rPr>
          <w:sz w:val="20"/>
          <w:szCs w:val="20"/>
          <w:color w:val="auto"/>
        </w:rPr>
      </w:pPr>
      <w:r>
        <w:rPr>
          <w:rFonts w:ascii="Arial" w:cs="Arial" w:eastAsia="Arial" w:hAnsi="Arial"/>
          <w:sz w:val="14"/>
          <w:szCs w:val="14"/>
          <w:color w:val="auto"/>
        </w:rPr>
        <w:t>Even if legislation akin to the BIOSECURE Act is not enacted, similar legislative or regulatory initiatives may be adopted, and compliance could require significant operational changes, increased costs, or procurement delays. There can be no assurance that we will not be adversely affected by their implementation.</w:t>
      </w:r>
    </w:p>
    <w:p>
      <w:pPr>
        <w:spacing w:after="0" w:line="187"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b w:val="1"/>
          <w:bCs w:val="1"/>
          <w:i w:val="1"/>
          <w:iCs w:val="1"/>
          <w:color w:val="auto"/>
        </w:rPr>
        <w:t>We rely on commercial courier delivery services to transport samples to our facilities in a timely and cost-efficient manner and if these delivery services are disrupted, our business may be harmed.</w:t>
      </w:r>
    </w:p>
    <w:p>
      <w:pPr>
        <w:spacing w:after="0" w:line="4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Our business depends on our ability to quickly and reliably deliver test results to our customers and their patients. We typically receive blood samples for analysis at our laboratory facilities within days of collection from the patient. Disruptions in delivery service, which have occurred in the past and may occur in the future – whether due to error by the courier service, labor disruptions, bad weather, natural disaster, terrorist acts or threats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business, financial condition, results of operations may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products do not meet the expectations of patients and our customers, our operating results, reputation and business could suffer.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Our success depends on the market’s confidence that we can provide reliable, high-quality precision prenatal and oncology products that will improve clinical outcomes and lower healthcare costs. We believe that patients, clinicians, healthcare providers and payors are likely to be particularly sensitive to product defects and errors in the use of our products, including if our products fail to detect clinically relevant information with high accuracy from samples or if we fail to list or inaccurately include certain treatment options and available clinical trials in our test reports, and there can be no guarantee that our products will meet their expectations. Furthermore, if our competitors’ products do not perform to expectations, it may result in lower confidence in our tests as well. As a result, the failure of our products to perform as expected could significantly impair our operating results and our reputation. In addition, we may be subject to legal claims arising from any defects or errors in our products. Confidence in us, as well as the strength of our brand and reputation, could also be eroded by perceived failures by us or our competitors, even absent any evidence of failure or wrongdoing.</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i w:val="1"/>
          <w:iCs w:val="1"/>
          <w:color w:val="auto"/>
        </w:rPr>
        <w:t>If our information technology systems or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customers or sales, and other adverse consequences.</w:t>
      </w:r>
    </w:p>
    <w:p>
      <w:pPr>
        <w:spacing w:after="0" w:line="70"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In the ordinary course of our business, we and the third parties with whom we work, process, collect, receive, store, process, generate, use, transfer, disclose, make accessible, protect, secure, dispose of, transmit, and share (collectively, process) proprietary, confidential, and sensitive data, including protected health information (PHI) and other personally identifiable information, credit card and other financial information, intellectual property and proprietary business information owned or controlled by us or other parties such as customers and payors. We manage and maintain our applications and data utilizing a combination of on-site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3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systems and cloud-based data centers. We utilize external security and infrastructure vendors to manage parts of our data centers. Our information technology systems store a wide variety of information critical to our business, including research and development information, patient data, commercial information and business and financial information. We face a number of risks related to protecting this critical information, including loss of access, inappropriate use or disclosure, unauthorized access, inappropriate modification and our being unable to adequately monitor, audit or modify our controls over such critical information. This risk extends to the third-party providers, strategic partners and other contractors, subcontractors or consultants we use to manage this sensitive data or otherwise process it on our behalf.</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Cyberattacks, security breaches, computer viruses, malicious internet-based activity, online and offline fraud, ransomware attacks, phishing, structured query language injections, social engineering schemes, distributed denial-of-service attacks, supply chain attacks, malware and other incidents, as well as employee theft or misuse, human error, fraud, denial or degradation of service attacks, unauthorized access or use by persons inside our organization or persons with access to systems inside our organization, and other similar activities threaten the confidentiality, integrity, and availability of our sensitive information and information technology systems, and those of the third parties with whom we work. Misappropriation, exposure, loss or other unauthorized disclosure of confidential data, personal information, materials or information, as well as interruptions, delays or cessation of service often result from these events. Increasingly complex methods have been used in cyberattacks, and the number, intensity and sophistication of attempted attacks and intrusions from around the world have increased and come from a variety of sources, including traditional computer “hackers,” threat actors, “hacktivists,” organized criminal threat actors, personnel (such as through theft or misuse), sophisticated nation states, and nation-state-supported actors.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w:t>
      </w:r>
    </w:p>
    <w:p>
      <w:pPr>
        <w:spacing w:after="0" w:line="91"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The costs of attempting to protect against the foregoing risks and responding to a cyberattack are significant. Breaches of our and/or our vendors’ security measures and the unauthorized dissemination of sensitive personal information or proprietary or confidential information about us, our customers or other third-parties, could result in investigations, regulatory enforcement actions, notices to affected individuals, regulators and the media, material fines and penalties, loss of customers, litigation or other actions which could have a material adverse effect on our business, prospects, reputation, results of operations and financial condition. Breaches and incidents also cause operational harm such as by preventing us from performing our laboratory operations, preparing and providing reports to customers, billing payors, processing reimbursement appeals, handling patient or physician inquiries, conducting research and development activities and managing the administrative aspects of our business.</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and certain of our service providers are from time to time subject to cyberattacks and security incidents. Although we have implemented security measures and an enterprise security program to prevent unauthorized access to our systems, information and patient data, there is no assurance that these measures will be effective.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74"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Our contracts may not contain limitations of liability, and even where they do, there can be no assurance that limitations of liability in our contracts are sufficient to protect us from liabilities, damages, or claims related to our data</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38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jc w:val="both"/>
        <w:ind w:right="400"/>
        <w:spacing w:after="0" w:line="252" w:lineRule="auto"/>
        <w:rPr>
          <w:sz w:val="20"/>
          <w:szCs w:val="20"/>
          <w:color w:val="auto"/>
        </w:rPr>
      </w:pPr>
      <w:r>
        <w:rPr>
          <w:rFonts w:ascii="Arial" w:cs="Arial" w:eastAsia="Arial" w:hAnsi="Arial"/>
          <w:sz w:val="14"/>
          <w:szCs w:val="14"/>
          <w:color w:val="auto"/>
        </w:rPr>
        <w:t>privacy and security obligations. The ultimate resolution of any such incidents or estimating the amounts or ranges of potential loss, if any, that could result therefrom are highly uncertain. If we cannot successfully resolve a security incident or contain any potential loss, it could materially impact our ability to operate our business as well as our results of operations and financial position.</w:t>
      </w:r>
    </w:p>
    <w:p>
      <w:pPr>
        <w:spacing w:after="0" w:line="187" w:lineRule="exact"/>
        <w:rPr>
          <w:sz w:val="20"/>
          <w:szCs w:val="20"/>
          <w:color w:val="auto"/>
        </w:rPr>
      </w:pPr>
    </w:p>
    <w:p>
      <w:pPr>
        <w:jc w:val="both"/>
        <w:ind w:right="420"/>
        <w:spacing w:after="0" w:line="278" w:lineRule="auto"/>
        <w:rPr>
          <w:sz w:val="20"/>
          <w:szCs w:val="20"/>
          <w:color w:val="auto"/>
        </w:rPr>
      </w:pPr>
      <w:r>
        <w:rPr>
          <w:rFonts w:ascii="Arial" w:cs="Arial" w:eastAsia="Arial" w:hAnsi="Arial"/>
          <w:sz w:val="14"/>
          <w:szCs w:val="14"/>
          <w:b w:val="1"/>
          <w:bCs w:val="1"/>
          <w:i w:val="1"/>
          <w:iCs w:val="1"/>
          <w:color w:val="auto"/>
        </w:rPr>
        <w:t>If we experience a significant disruption in our information technology systems, or those of third-parties upon which we rely, our business operations and financial condition could be adversely affected.</w:t>
      </w:r>
    </w:p>
    <w:p>
      <w:pPr>
        <w:spacing w:after="0" w:line="55"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Our IT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We currently maintain a data center within Amazon Web Services (AWS). In addition, our proprietary QCT technology is a crucial component of our test processing. We host the significant majority of these algorithms on a cloud-based software platform pursuant to an agreement with AWS. Our bioinformatics platform is hosted on third-party data center hosting facilities operated by AWS. We also host our algorithms on AWS platforms directly. Our algorithms are currently used to run many of our tests and certain of our research and development activities. In the event of any technical problems that may arise in connection with our on-site data systems, bioinformatics platform or the AWS servers on which the bioinformatics platform is hosted, or the AWS servers that host our data directly, or difficulties in or termination of our relationship with AWS, we could experience interruptions in our laboratory operations, and we may be unable to access our proprietary algorithms and therefore be unable to process tests or conduct any other activities that require access to such algorithms. Disruptions to the IT and communications systems supporting our laboratory and other operations may be caused by a variety of factors, including infrastructure changes, disruptions or shutdowns due to power outages, human or software errors, natural disasters, hardware failures, computer viruses, security attacks, fraud, spikes in customer usage and denial of service issues. Our IT and communication systems, and those of third-parties upon which we rely, also may experience interruptions, delays or cessations of service or produce errors in connection with system implementation, integration, upgrades or system migration work that takes place from time to time. We do not have any backup platform, server or other means to host our algorithms, and may be unable to find and implement an alternative platform that is satisfactory for our needs on commercially reasonable terms, in a timely manner, or at all. Interruptions in our operations or service may reduce our revenue, cause us to issue refunds, result in the loss of customers, or harm our reputation. We could also be exposed to potential lawsuits and liability claims.</w:t>
      </w:r>
    </w:p>
    <w:p>
      <w:pPr>
        <w:spacing w:after="0" w:line="199"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b w:val="1"/>
          <w:bCs w:val="1"/>
          <w:i w:val="1"/>
          <w:iCs w:val="1"/>
          <w:color w:val="auto"/>
        </w:rPr>
        <w:t>Recent or future macroeconomic pressures resulting from geopolitical uncertainty, public health developments or other matters may have an adverse impact on our business, financial results and prospects.</w:t>
      </w:r>
    </w:p>
    <w:p>
      <w:pPr>
        <w:spacing w:after="0" w:line="55" w:lineRule="exact"/>
        <w:rPr>
          <w:sz w:val="20"/>
          <w:szCs w:val="20"/>
          <w:color w:val="auto"/>
        </w:rPr>
      </w:pPr>
    </w:p>
    <w:p>
      <w:pPr>
        <w:ind w:right="60"/>
        <w:spacing w:after="0"/>
        <w:rPr>
          <w:sz w:val="20"/>
          <w:szCs w:val="20"/>
          <w:color w:val="auto"/>
        </w:rPr>
      </w:pPr>
      <w:r>
        <w:rPr>
          <w:rFonts w:ascii="Arial" w:cs="Arial" w:eastAsia="Arial" w:hAnsi="Arial"/>
          <w:sz w:val="14"/>
          <w:szCs w:val="14"/>
          <w:color w:val="auto"/>
        </w:rPr>
        <w:t>Recent geopolitical matters have led to significant uncertainty and negative impact on the macroeconomic environment, such as the imposition of tariffs, inflation, rising interest rates, market volatility and supply chain issues. Parts of our direct and indirect supply chain are located overseas and both international and domestic components have been, and may in the future be, subject to disruption by these developments. Global economic and business activities continue to face widespread uncertainties, and global credit and financial markets have experienced extreme volatility and disruptions in the past, including severely diminished liquidity and credit availability, rising inflation and monetary supply shifts, rising interest rates, labor shortages, supply chain issues, declines in consumer confidence, declines in economic growth, increases in unemployment rates, recession risks, and uncertainty about economic and geopolitical stability. A severe or prolonged economic downturn, or additional global financial or political crises, could adversely impact our business, financial results, and prospects. In addition, such macroeconomic conditions could impact our ability to access the public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38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color w:val="auto"/>
        </w:rPr>
        <w:t>markets as and when appropriate or necessary to carry out our operations or our strategic goals. We cannot anticipate all of the ways in which the current economic climate and financial market conditions could adversely impact our business.</w:t>
      </w:r>
    </w:p>
    <w:p>
      <w:pPr>
        <w:spacing w:after="0" w:line="59"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In the event of public health developments, health epidemics or outbreaks in the future, our operations could be disrupted and our business adversely impacted. Such disruptions or impacts may be similar to those faced during the COVID-19 pandemic, such as mandated business closures in impacted areas, limitations with employee resources due to stay at home orders or sickness of employees or their families, diversion or prioritization of health care resources away from the conduct of testing, limitations on patients’ access to our products, disruptions or restrictions affecting the ability of our laboratory facility to process our tests, reduced demand for certain of our products, or supply chain constraints.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trade policies, including tariffs, sanctions and trade barriers may adversely affect our business, financial condition, results of operations and prospects.</w:t>
      </w:r>
    </w:p>
    <w:p>
      <w:pPr>
        <w:spacing w:after="0" w:line="9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Current or future tariffs or other restrictive trade measures may raise the costs of raw materials, components or finished goods, which may adversely impact both our product offerings and our operational expenses. Such cost increases may reduce our margins, which could negatively impact our revenue.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test services on expected timelines.</w:t>
      </w:r>
    </w:p>
    <w:p>
      <w:pPr>
        <w:spacing w:after="0" w:line="87"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negatively impact our business and operations and contribute to volatility in the price of our common stock.</w:t>
      </w:r>
    </w:p>
    <w:p>
      <w:pPr>
        <w:spacing w:after="0" w:line="70" w:lineRule="exact"/>
        <w:rPr>
          <w:sz w:val="20"/>
          <w:szCs w:val="20"/>
          <w:color w:val="auto"/>
        </w:rPr>
      </w:pPr>
    </w:p>
    <w:p>
      <w:pPr>
        <w:ind w:right="520"/>
        <w:spacing w:after="0" w:line="309" w:lineRule="auto"/>
        <w:rPr>
          <w:sz w:val="20"/>
          <w:szCs w:val="20"/>
          <w:color w:val="auto"/>
        </w:rPr>
      </w:pPr>
      <w:r>
        <w:rPr>
          <w:rFonts w:ascii="Arial" w:cs="Arial" w:eastAsia="Arial" w:hAnsi="Arial"/>
          <w:sz w:val="13"/>
          <w:szCs w:val="13"/>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were to be sued for product liability or professional liability, we could face substantial liabilities that exceed our resources.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marketing, sale and use of our products has in the past and could in the future lead to the filing of product liability or similar claims were someone to allege that our tests failed to perform as designed or as claimed in our promotional materials, performed pursuant to incorrect or inadequate laboratory procedures, if we delivered incorrect or incomplete test results or our tests failed to produce a result, or if someone were to misinterpret test results.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Even though our tests are highly accurate, they are not 100% accurate and we may report false negative or false positive results, which may subject us to lawsuits claiming product or professional liability or other claims, as has happened in the past and may happen in the future. A product liability or professional liability claim could result in substantial damages and be costly and time-consuming for us to defend. Although we maintain product and professional liability insurance, this insurance may not fully protect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38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customers to terminate existing agreements with us and potential customers to seek other partners, any of which could adversely impact our results of operations.</w:t>
      </w:r>
    </w:p>
    <w:p>
      <w:pPr>
        <w:spacing w:after="0" w:line="192"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b w:val="1"/>
          <w:bCs w:val="1"/>
          <w:i w:val="1"/>
          <w:iCs w:val="1"/>
          <w:color w:val="auto"/>
        </w:rPr>
        <w:t>Our estimates of total addressable market opportunity and forecasts of market growth may prove to be inaccurate, and even if the market in which we compete achieves the forecasted growth, our business could fail to grow at similar rates.</w:t>
      </w:r>
    </w:p>
    <w:p>
      <w:pPr>
        <w:spacing w:after="0" w:line="5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Total addressable market opportunity estimates and growth forecasts are subject to significant uncertainty and are based on internal and third-party assumptions and estimates that may not prove to be accurate.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tests we are able to successfully develop and commercialize, or the annual total addressable market for our products is smaller than we have estimated, it may impair our sales growth and have an adverse impact on our business, financial condition and results of operations. Additionally, half of the estimated total addressable market included in this prospectus includes early detection, an area in which we have not yet begun specific product development or commercial sales. There can be no assurance that we will launch future products on the timeline we expect or at all. Even if a market in which we compete, or expect to compete, meets our size estimates and forecasted growth for such market, we may not be able to penetrate the existing market to capture additional market share and our business could fail to grow at similar rates.</w:t>
      </w:r>
    </w:p>
    <w:p>
      <w:pPr>
        <w:spacing w:after="0" w:line="196" w:lineRule="exact"/>
        <w:rPr>
          <w:sz w:val="20"/>
          <w:szCs w:val="20"/>
          <w:color w:val="auto"/>
        </w:rPr>
      </w:pPr>
    </w:p>
    <w:p>
      <w:pPr>
        <w:ind w:right="300"/>
        <w:spacing w:after="0" w:line="318" w:lineRule="auto"/>
        <w:rPr>
          <w:sz w:val="20"/>
          <w:szCs w:val="20"/>
          <w:color w:val="auto"/>
        </w:rPr>
      </w:pPr>
      <w:r>
        <w:rPr>
          <w:rFonts w:ascii="Arial" w:cs="Arial" w:eastAsia="Arial" w:hAnsi="Arial"/>
          <w:sz w:val="13"/>
          <w:szCs w:val="13"/>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32"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In the future we may seek to acquire or invest in businesses, technologies, services, products, or other assets that we believe could complement or expand our products, enhance our technical capabilities, or otherwise offer opportunities for our business. Other than our partnerships with Johnson &amp; Johnson, we have limited experience with acquisitions and forming strategic partnerships. We may compete for those opportunities with others including our competitors, some of which may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Integration of an acquired business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results of operations and financial condition.</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may not realize the anticipated benefits of any acquisition, technology license, strategic investments or partnerships, or joint venture. To finance any acquisitions, joint ventures or investments, we may choose to</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60"/>
          </w:cols>
          <w:pgMar w:left="300" w:top="3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issue shares of our Class A common stock as consideration, which would dilute the ownership of our stockholders. If the market price of our Class A common stock is low or volatile, we may not be able to acquire other companies or fund a joint venture project using our stock as consideration.</w:t>
      </w:r>
    </w:p>
    <w:p>
      <w:pPr>
        <w:spacing w:after="0" w:line="5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Also, the anticipated benefit of any strategic alliance, joint venture or acquisition may not materialize or such strategic alliance, joint venture or acquisition may be prohibited. For example, our debt facility with Oberland Capital Management LLC (Oberland Capital) restricts our ability to pursue certain mergers, acquisitions,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5"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b w:val="1"/>
          <w:bCs w:val="1"/>
          <w:i w:val="1"/>
          <w:iCs w:val="1"/>
          <w:color w:val="auto"/>
        </w:rPr>
        <w:t>New product development and commercialization involve a lengthy and complex process and we may be unable to develop or commercialize new products on a timely basis or at all.</w:t>
      </w:r>
    </w:p>
    <w:p>
      <w:pPr>
        <w:spacing w:after="0" w:line="4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Our products have taken time and considerable resources to develop, and we may not be able to complete the development and commercialization of new products on a timely basis, or at all. Before we can commercialize any new products, we may need to expend significant funds to:</w:t>
      </w:r>
    </w:p>
    <w:p>
      <w:pPr>
        <w:spacing w:after="0" w:line="69" w:lineRule="exact"/>
        <w:rPr>
          <w:sz w:val="20"/>
          <w:szCs w:val="20"/>
          <w:color w:val="auto"/>
        </w:rPr>
      </w:pPr>
    </w:p>
    <w:p>
      <w:pPr>
        <w:ind w:left="220" w:hanging="216"/>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conduct substantial research and development, including validation studies;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find appropriate third party collaborators to conduct clinical studies;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further develop and scale our laboratory processes to accommodate different products;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further develop and scale our infrastructure to be able to analyze increasingly large amounts of data.</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Our product development process involves a high degree of risk, and product development efforts may fail for many reasons, including:</w:t>
      </w:r>
    </w:p>
    <w:p>
      <w:pPr>
        <w:spacing w:after="0" w:line="112" w:lineRule="exact"/>
        <w:rPr>
          <w:sz w:val="20"/>
          <w:szCs w:val="20"/>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failure of the product to perform as expected, including defects and errors;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inability to pass validation required by regulatory requirements;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inability to find appropriate samples for clinical validity and utility studies;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failure to demonstrate the clinical validity or utility of the product;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inability to obtain necessary reimbursement by commercial or government payors;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unattractive economics due to unexpected higher costs of the final version of the product; or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high cost of commercialization.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development plan involves using data and analytical insights generated from our current products to foster research and development investment in our future products. However, if we are unable to generate additional or compatible data and insights, then we may not be able to advance our products under development as quickly, or at all, or without significant additional investment.</w:t>
      </w:r>
    </w:p>
    <w:p>
      <w:pPr>
        <w:spacing w:after="0" w:line="8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As we develop products, we have made and will have to make significant investments in product development, marketing and selling resources, including investing heavily in clinical studies, which could adversely affect our future cash flows. In addition, in our development and commercialization plans, we may forego other opportunities that may provide greater revenue or be more profitable. As a result, even if our development efforts result in commercially viable products, our business and results of operations could underperform in comparison to our customers and competitors.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60"/>
          </w:cols>
          <w:pgMar w:left="300" w:top="38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molecular diagnostics industry is subject to rapid change, which could make our current products, and any future products we may develop, obsolete.</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Our industry is characterized by rapid changes, including technological and scientific breakthroughs, frequent new product introductions and enhancements and evolving industry standards, all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in the prenatal and oncology fields, as well as advances in the application of machine learning and AI to molecular diagnostics and decision-making. We must continuously enhance our platform and develop new products to keep pace with evolving standards of care. If we do not update our product offerings to reflect new scientific knowledge about disease biology, information about new therapies or relevant clinical studies, or insights regarding the current treatment landscape for applicable indications and advances in computational biology, software development and AI, our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or severity of diseases for which we sell molecular diagnostic tests, the market for our applicable products could disappear entirely.</w:t>
      </w:r>
    </w:p>
    <w:p>
      <w:pPr>
        <w:spacing w:after="0" w:line="20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b w:val="1"/>
          <w:bCs w:val="1"/>
          <w:i w:val="1"/>
          <w:iCs w:val="1"/>
          <w:color w:val="auto"/>
        </w:rPr>
        <w:t>If we are unable to support demand for our current and future products, including ensuring that we have adequate capacity to meet increased demand, or we are unable to successfully manage our anticipated growth, our business could suffer.</w:t>
      </w:r>
    </w:p>
    <w:p>
      <w:pPr>
        <w:spacing w:after="0" w:line="45" w:lineRule="exact"/>
        <w:rPr>
          <w:sz w:val="20"/>
          <w:szCs w:val="20"/>
          <w:color w:val="auto"/>
        </w:rPr>
      </w:pPr>
    </w:p>
    <w:p>
      <w:pPr>
        <w:ind w:right="60"/>
        <w:spacing w:after="0"/>
        <w:rPr>
          <w:sz w:val="20"/>
          <w:szCs w:val="20"/>
          <w:color w:val="auto"/>
        </w:rPr>
      </w:pPr>
      <w:r>
        <w:rPr>
          <w:rFonts w:ascii="Arial" w:cs="Arial" w:eastAsia="Arial" w:hAnsi="Arial"/>
          <w:sz w:val="14"/>
          <w:szCs w:val="14"/>
          <w:color w:val="auto"/>
        </w:rPr>
        <w:t>As our volume of test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molecular diagnostic products. Portions of our process are not automated and may require additional personnel to scale.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9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As we commercialize additional products, we will need to incorporate new equipment, implement new technology systems and laboratory processes, and hire new personnel with different qualifications. Failure to manage this growth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prospects.</w:t>
      </w:r>
    </w:p>
    <w:p>
      <w:pPr>
        <w:spacing w:after="0" w:line="192"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b w:val="1"/>
          <w:bCs w:val="1"/>
          <w:i w:val="1"/>
          <w:iCs w:val="1"/>
          <w:color w:val="auto"/>
        </w:rPr>
        <w:t>Our employees, contractors, consultants and commercial partners may engage in misconduct or other improper activities, including non-compliance with regulatory standards and requirements.</w:t>
      </w:r>
    </w:p>
    <w:p>
      <w:pPr>
        <w:spacing w:after="0" w:line="55"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We are exposed to the risk of fraud or other misconduct by our employees, contractors, consultants and commercial partners. Misconduct by these parties could include intentional failures to comply with applicable federal, state and local regulations and with healthcare fraud and abuse laws and regulations in the United States and abroad, report financial information or data accurately, or disclose unauthorized activities to us. In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60"/>
          </w:cols>
          <w:pgMar w:left="300" w:top="38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currently have a code of conduct and compliance program applicable to all of our employees, contractors, consultants and partners, but it is not always possible to identify and deter misconduct, and our code of conduct, compliance program operations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network participation with commercial third-party payors,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Whether or not we are successful in defending against such actions, we could incur substantial costs and expenses, including legal fees and divert the attention of management from the operation of our business.</w:t>
      </w:r>
    </w:p>
    <w:p>
      <w:pPr>
        <w:spacing w:after="0" w:line="202"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i w:val="1"/>
          <w:iCs w:val="1"/>
          <w:color w:val="auto"/>
        </w:rPr>
        <w:t>We have been, and in the future may be, involved in legal proceedings, regulatory investigations and inquiries and other legal matters, which may have an adverse effect on our business, financial condition, results of operations and prospects.</w:t>
      </w:r>
    </w:p>
    <w:p>
      <w:pPr>
        <w:spacing w:after="0" w:line="55" w:lineRule="exact"/>
        <w:rPr>
          <w:sz w:val="20"/>
          <w:szCs w:val="20"/>
          <w:color w:val="auto"/>
        </w:rPr>
      </w:pPr>
    </w:p>
    <w:p>
      <w:pPr>
        <w:ind w:right="240"/>
        <w:spacing w:after="0" w:line="252" w:lineRule="auto"/>
        <w:rPr>
          <w:sz w:val="20"/>
          <w:szCs w:val="20"/>
          <w:color w:val="auto"/>
        </w:rPr>
      </w:pPr>
      <w:r>
        <w:rPr>
          <w:rFonts w:ascii="Arial" w:cs="Arial" w:eastAsia="Arial" w:hAnsi="Arial"/>
          <w:sz w:val="14"/>
          <w:szCs w:val="14"/>
          <w:color w:val="auto"/>
        </w:rPr>
        <w:t>We have been, and may in the future be, subject to threatened or actual legal claims, regulatory surveys or investigations, inquiries, proceedings and other legal matters. For example, from time to time we receive and respond to subpoenas from government authorities for records involving Medicaid patients. We consider our historical experiences with such claims and proceedings to be in the normal course of our business and typical for our industry.</w:t>
      </w:r>
    </w:p>
    <w:p>
      <w:pPr>
        <w:spacing w:after="0" w:line="70"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also operate in a highly competitive industry, and competitors may use legal proceedings, or the threat of legal proceedings, against us. For example, the marketing activities of molecular diagnostic companies are subject to less stringent regulation by the FDA, which can lead to greater variability in marketing and sales practices among industry participants, including in the way that laboratories communicate with physicians and patients about their tests. Lower enforcement risks and variability in the interpretation of permissible communications can sometimes lead to claims of inaccurate or misleading communications by a laboratory company against a competitor. If we are involved in a dispute with a competitor, we may need to defend our practices or take actions, including pursing a lawsuit, to enforce compliance by another laboratory, which can be costly, may affect our reputation with customers and patients, and there is no assurance that we would prevail in any such action.</w:t>
      </w:r>
    </w:p>
    <w:p>
      <w:pPr>
        <w:spacing w:after="0" w:line="9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their merit of</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60"/>
          </w:cols>
          <w:pgMar w:left="300" w:top="38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make royalty payments, which could adversely affect gross margin in future periods. If any of the foregoing were to occur, our business, financial condition, results of operations, cash flows, prospects, or market price of our Class A common stock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Ethical, legal and social concerns related to the use of genetic information could reduce demand for our tests.</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Genetic testing, like that conducted using our tests, has raised ethical, legal and social issues regarding privacy and the appropriate uses of the resulting information. Governmental authorities could, for social or other purposes, limit or regulate the use of genomic information or genomic testing or prohibit testing for genetic predisposition to certain conditions, particularly for those that have no known cure. Patients may also refuse to use genetic tests even if permissible, for similar reasons such as religious concerns; they may also refuse genetic testing due to concerns regarding eligibility for life or other insurance. Ethical and social concerns may also influence U.S. and foreign patent offices and courts with regard to patent protection for technology relevant to our business. These and other ethical, legal and social concerns may limit market acceptance of our tests or reduce the potential markets for services and products enabled by our technology platform, either of which could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increasing use of social media platforms presents new risks and challenges.</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Social media is increasingly being used to communicate about our products. Social media practices in our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In addition, there is a risk of inappropriate disclosure of sensitive information or negative or inaccurate posts or comments about us or our products on any social networking website. If any of these events were to occur or we otherwise fail to comply with any applicable regulations, we could incur liability, face restrictive regulatory actions, or incur other harm to our business such as reputational damage.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cannot compete successfully with our competitors, we may be unable to increase or sustain our revenue or to achieve and then sustain profitability.</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Growing understanding of the importance of molecular diagnostic testing is leading to more companies offering services in our industry. This has included new and accelerated development programs by a number of potential competitors and increasing levels of merger and acquisition and investment activity by both existing and new competitors. Currently, in prenatal, our main competitors offering NIPTs include Illumina, through its subsidiary Verinata, Laboratory Corporation of America Holdings (Labcorp), Myriad Genetics, Inc. (Myriad), Natera, Inc. (Natera), and Quest Diagnostics Incorporated (Quest). We also compete with companies providing carrier screening tests such as Fulgent Genetics, Labcorp, Myriad, Natera, and Quest. Each of these companies offers comprehensive carrier screening panels. In oncology, our main competitors for our therapy selection and response monitoring tests include Caris Life Sciences, Inc., Foundation Medicine, Inc., which was acquired by Roche Holdings, Guardant Health, Inc., NeoGenomics Laboratories, Inc., and Tempus AI, Inc. As we expand our oncology offerings into applications such as MRD testing, as well as potentially testing for early detection in the future, we anticipate facing competition from a broader universe of companies, including Exact Sciences, Grail, Haystack, which was acquired by Quest, and Natera. Most if not all of our competitors sell molecular diagnostic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38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40"/>
        <w:spacing w:after="0" w:line="269" w:lineRule="auto"/>
        <w:rPr>
          <w:sz w:val="20"/>
          <w:szCs w:val="20"/>
          <w:color w:val="auto"/>
        </w:rPr>
      </w:pPr>
      <w:r>
        <w:rPr>
          <w:rFonts w:ascii="Arial" w:cs="Arial" w:eastAsia="Arial" w:hAnsi="Arial"/>
          <w:sz w:val="14"/>
          <w:szCs w:val="14"/>
          <w:color w:val="auto"/>
        </w:rPr>
        <w:t>tests and have or may develop tests that compete with ours. In addition, new competitors, including academic medical centers or healthcare providers, may also develop their own tests and may decide to enter our markets.</w:t>
      </w:r>
    </w:p>
    <w:p>
      <w:pPr>
        <w:spacing w:after="0" w:line="59"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Some of our competitors and potential competitors may have advantages such as: longer operating histories; larger customer bases; greater brand recognition and market penetration; substantially greater financial, technological and research and development resources and selling and marketing capabilities; more experience dealing with third-party payors; the ability to secure key inputs from vendors on more favorable terms; and the ability to adopt more aggressive pricing policies and devote substantially more resources to product development. As a result, our competitors may be able to respond more quickly to changes in customer requirements, devote greater resources to the development, promotion and sale of their tests than we do or sell their tests at prices designed to win significant levels of market share. We may not be able to compete effectively against these organizations. Furthermore, certain products offered by our competitors and potential market entrants may have attained FDA approval or Advanced Diagnostic Laboratory Test (ADLT) status. The presence of FDA approval, ADLT status, or both, enables such products to qualify for higher reimbursement rates, under CLFS, thereby affording competitors the opportunity to achieve higher profit margins. Increased competition and cost-saving initiatives on the part of governmental entities and other third-party payors are likely to result in pricing pressures, which could harm our sales, profitability or ability to gain market share. In addition, competitors may be acquired by, receive investments from or enter into other commercial relationships with larger, well-established and well-financed companies. In addition, companies or governments that control access to genetic testing through umbrella contracts or regional preferences could promote our competitors or prevent us from performing certain services.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95"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In addition, the market is constantly changing, and we are not in control of how our competitors’ product development and pricing strategies are established. Our competitors may develop lower-priced, less complex tests that payors and providers could view as functionally equivalent to our products, which could force us to lower the list price of our tests and impact our operating margins and our ability to achieve and maintain profitability. In addition, technological innovations that result in the creation of enhanced diagnostic tools that are more effective than ours may enable healthcare providers to deliver specialized diagnostic tests similar to ours in a more patient-friendly, efficient or cost-effective manner than is currently possible. If we cannot compete successfully against current or future competitors, we may be unable to increase or create market acceptance and sales of our products, which could prevent us from increasing or sustaining our revenue or achieving or sustaining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significant losses since inception, and we may not be able to generate sufficient revenue to achieve or maintain profitability.</w:t>
      </w:r>
    </w:p>
    <w:p>
      <w:pPr>
        <w:spacing w:after="0" w:line="11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have incurred significant losses since our inception. For the years ended December 31, 2023 and 2024, and the six months ended June 30, 2024 and 2025, we incurred net losses of $ 82.7 million, $41.6 million, $15.2 million and $4.2 million, respectively. As of June 30, 2025 we had an accumulated deficit of $286.4 million. To date, we have financed our operations principally from the sale of preferred stock, convertible securities and debt and revenue generated from our tests. We have devoted substantially all of our resources to the development and commercialization of our smNGS platform and current products, and to sales and marketing and research and development activities. In addition, as a public company, we will incur significant legal, accounting and other expenses that we did not incur as a private company.</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While we have been able to achieve gross margin of 24% and 53% for the years ended December 31, 2023 and 2024, and 51% and 65% for the six months ended June 30, 2024 and 2025, respectively, factors including</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38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reimbursement rates, insurance coverage policies, supply chain issues or increased personnel costs could cause our gross margin for existing or new products to decrease. We will need to generate substantial revenue and maintain our gross margin profile to achieve and then sustain profitability, and even if we achieve profitability, we cannot be sure that we will remain profitable for any period of time. While we have recently experienced improvements in our operational efficiency that has contributed to revenue growth, in the future we may not be able to continue to improve operational efficiency or manage costs as we expand our business and become a public company. In addition, though we expect that our test volumes and ASPs will increase in the future,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common stock to decline.</w:t>
      </w:r>
    </w:p>
    <w:p>
      <w:pPr>
        <w:spacing w:after="0" w:line="197" w:lineRule="exact"/>
        <w:rPr>
          <w:sz w:val="20"/>
          <w:szCs w:val="20"/>
          <w:color w:val="auto"/>
        </w:rPr>
      </w:pPr>
    </w:p>
    <w:p>
      <w:pPr>
        <w:ind w:right="600"/>
        <w:spacing w:after="0" w:line="278"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5" w:lineRule="exact"/>
        <w:rPr>
          <w:sz w:val="20"/>
          <w:szCs w:val="20"/>
          <w:color w:val="auto"/>
        </w:rPr>
      </w:pPr>
    </w:p>
    <w:p>
      <w:pPr>
        <w:ind w:right="420"/>
        <w:spacing w:after="0" w:line="269"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69" w:lineRule="exact"/>
        <w:rPr>
          <w:sz w:val="20"/>
          <w:szCs w:val="20"/>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level of demand for any of our products, which may vary significantly;</w:t>
      </w:r>
    </w:p>
    <w:p>
      <w:pPr>
        <w:spacing w:after="0" w:line="111" w:lineRule="exact"/>
        <w:rPr>
          <w:rFonts w:ascii="Arial" w:cs="Arial" w:eastAsia="Arial" w:hAnsi="Arial"/>
          <w:sz w:val="14"/>
          <w:szCs w:val="14"/>
          <w:color w:val="auto"/>
        </w:rPr>
      </w:pPr>
    </w:p>
    <w:p>
      <w:pPr>
        <w:ind w:left="220" w:right="220" w:hanging="216"/>
        <w:spacing w:after="0" w:line="269"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compliance or commercialization activities relating to our products, which may change from time to time;</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introduction of new products or product enhancements by us or others in our industry;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our products and products that compete with our products;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expenditures that we may incur to develop or commercialize additional products and technologies;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governmental regulations including with respect to privacy and data security and CLIA (as defined below), and our compliance therewith;</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111" w:lineRule="exact"/>
        <w:rPr>
          <w:rFonts w:ascii="Arial" w:cs="Arial" w:eastAsia="Arial" w:hAnsi="Arial"/>
          <w:sz w:val="14"/>
          <w:szCs w:val="14"/>
          <w:color w:val="auto"/>
        </w:rPr>
      </w:pPr>
    </w:p>
    <w:p>
      <w:pPr>
        <w:ind w:left="220" w:hanging="216"/>
        <w:spacing w:after="0" w:line="269"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impact of natural disasters, political and economic instability, including wars, terrorism, and political unrest, epidemics or pandemics, boycotts, high inflation, volatility, tariffs and other trade actions or curtailments, and other business restrictions.</w:t>
      </w:r>
    </w:p>
    <w:p>
      <w:pPr>
        <w:spacing w:after="0" w:line="5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 cumulative effects of factors discussed above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market price of our Class A common stock could decline substantially. Such a stock price decline could occur even when we have met any previously publicly stated guidance we may provide.</w:t>
      </w:r>
    </w:p>
    <w:p>
      <w:pPr>
        <w:spacing w:after="0" w:line="205"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b w:val="1"/>
          <w:bCs w:val="1"/>
          <w:i w:val="1"/>
          <w:iCs w:val="1"/>
          <w:color w:val="auto"/>
        </w:rPr>
        <w:t>We may need to raise additional capital, and if we cannot do so when needed or on commercially acceptable terms, we will be required to slow or cease our investment in our product development and commercialization plans, which would have an adverse effect on our business.</w:t>
      </w:r>
    </w:p>
    <w:p>
      <w:pPr>
        <w:spacing w:after="0" w:line="45" w:lineRule="exact"/>
        <w:rPr>
          <w:sz w:val="20"/>
          <w:szCs w:val="20"/>
          <w:color w:val="auto"/>
        </w:rPr>
      </w:pPr>
    </w:p>
    <w:p>
      <w:pPr>
        <w:ind w:right="360"/>
        <w:spacing w:after="0" w:line="269" w:lineRule="auto"/>
        <w:rPr>
          <w:sz w:val="20"/>
          <w:szCs w:val="20"/>
          <w:color w:val="auto"/>
        </w:rPr>
      </w:pPr>
      <w:r>
        <w:rPr>
          <w:rFonts w:ascii="Arial" w:cs="Arial" w:eastAsia="Arial" w:hAnsi="Arial"/>
          <w:sz w:val="14"/>
          <w:szCs w:val="14"/>
          <w:color w:val="auto"/>
        </w:rPr>
        <w:t>We have incurred net losses since our inception. While we have introduced products that are generating revenue, this revenue may not be sufficient to fund all of our operations, including our product development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38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and commercialization plans and our sales and marketing efforts. Consequently, we may need to generate additional revenue to achieve or maintain future profitability and, even if this offering is successful, may need to raise additional funds through public or private equity or debt financings, corporate collaborations or licensing arrangements to continue to fund or expand our operations. However, subject to limited exceptions, our debt facility with BWCB SA LLC (an entity affiliated with Oberland Capital) prohibits us from incurring additional indebtedness without the prior written consent of Oberland Capital and investors holding at least 50% of the aggregate principal amount of the Note Purchase Agreement (as defined below). If sufficient funds on acceptable terms are not available when needed, or at all, we could be forced to significantly reduce operating expenses and delay, scale back or eliminate one or more of our development programs or our business operations. Furthermore,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Our actual capital funding requirements will depend on numerous factors, including:</w:t>
      </w:r>
    </w:p>
    <w:p>
      <w:pPr>
        <w:spacing w:after="0" w:line="112" w:lineRule="exact"/>
        <w:rPr>
          <w:sz w:val="20"/>
          <w:szCs w:val="20"/>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achieve broader commercial success with our tests;</w:t>
      </w:r>
    </w:p>
    <w:p>
      <w:pPr>
        <w:spacing w:after="0" w:line="111" w:lineRule="exact"/>
        <w:rPr>
          <w:rFonts w:ascii="Arial" w:cs="Arial" w:eastAsia="Arial" w:hAnsi="Arial"/>
          <w:sz w:val="14"/>
          <w:szCs w:val="14"/>
          <w:color w:val="auto"/>
        </w:rPr>
      </w:pPr>
    </w:p>
    <w:p>
      <w:pPr>
        <w:ind w:left="220" w:right="540" w:hanging="216"/>
        <w:spacing w:after="0" w:line="269"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costs and success of our research, development, and commercialization efforts for potential new offerings and additional indications for, and enhancements to, current offerings;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of expanding our offerings, including our sales and marketing efforts;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obtain coverage and reimbursement for our tests, as we continue to invest in expanding our offerings;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generate sufficient revenue from our tests;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collect on our accounts receivable;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need to finance capital expenditures and further expand our laboratory operations;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manage our operating costs;</w:t>
      </w:r>
    </w:p>
    <w:p>
      <w:pPr>
        <w:spacing w:after="0" w:line="111" w:lineRule="exact"/>
        <w:rPr>
          <w:rFonts w:ascii="Arial" w:cs="Arial" w:eastAsia="Arial" w:hAnsi="Arial"/>
          <w:sz w:val="14"/>
          <w:szCs w:val="14"/>
          <w:color w:val="auto"/>
        </w:rPr>
      </w:pPr>
    </w:p>
    <w:p>
      <w:pPr>
        <w:ind w:left="220" w:right="40" w:hanging="216"/>
        <w:spacing w:after="0" w:line="269"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costs and expenses to protect or enforce our intellectual property rights or to defend against infringement claims brought against us, including any associated litigation settlements or judgments we are required to pay; and</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timing and results of any regulatory authorizations that we are required to obtain for our tests.</w:t>
      </w:r>
    </w:p>
    <w:p>
      <w:pPr>
        <w:spacing w:after="0" w:line="112"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While we currently have in place a debt facility pursuant to which we may request up to an additional $60.0 million as of June 30, 2025, as well as an obligation to sell a tranche of notes in the amount of $30 million before March 31, 2026, as described in more detail below, we may need to raise additional capital which may not be available on satisfactory terms or at all. Furthermore, any additional capital raised through the sale of equity or convertible securities, or grant of equity or convertible securities in connection with any debt financing, will dilute stockholders’ ownership interests in us and may have an adverse effect on the market price of our Class A common stock. In addition, the terms of any financing may adversely affect stockholders’ holdings or rights. To the extent that we raise capital through collaborations and licensing arrangements, it may be necessary to relinquish some rights to our technologies or grant licenses on terms that may not be favorable to us.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These alternatives for raising additional capital may not be available to us on acceptable or commercially reasonable terms, if at all, or in amounts sufficient to meet our needs. If we are not able to obtain adequate funding when needed, we may be required to delay or slow our investment in the development and commercialization of our products and significantly scale back our business and operations, which would have an adverse effect on our business.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60"/>
          </w:cols>
          <w:pgMar w:left="300" w:top="38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inability to effectively protect our proprietary technologies could harm our competitive position.</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As of June 30, 2025, we held nine U.S. issued patents, 45 foreign patents, 14 pending U.S. patent applications and 31 foreign patent applications. If we fail to obtain, maintain and/or protect our intellectual property rights, third parties may be able to compete more effectively against us. Our success and ability to compete depend to a large extent on our ability to develop proprietary products and technologies and to maintain adequate protection of our intellectual property in the United States and other countries. The laws of some foreign countries do not protect proprietary rights to the same extent as the laws of the United States, and we may encounter difficulties in establishing and enforcing our proprietary rights outside of the United States. In addition, the proprietary positions of companies developing and commercializing tools for molecular diagnostics, including ours,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proprietary technologies are protected by valid and enforceable patents or are effectively maintained as trade secrets. However, obtaining, maintaining and enforcing biotechnology patents is costly, time-consuming and complex. We may fail to apply for patents on important products, services or technologies in a timely fashion or at all, or we may fail to apply for patents in potentially relevant jurisdictions. We may not be able to file and prosecute all necessary or desirable patent applications, or maintain or enforce patents that may issue from such patent applications, at a reasonable cost or in a timely manner. It is also possible that we will fail to identify patentable aspects of our research and development output before it is too late to obtain patent protection. We have worked to procure patents protecting our technologies, but our procurement efforts may not always be successful, and any patents we successfully procure may be challenged in ways that lead to post-procurement scope reduction or invalidity. Any such challenges may impede our ability to protect our proprietary rights from unauthorized use. In addition, any finding that others have claims of inventorship or ownership rights to our patents and applications could require us to obtain certain rights to practice related technologies, which may not be available on favorable terms or at all.</w:t>
      </w:r>
    </w:p>
    <w:p>
      <w:pPr>
        <w:spacing w:after="0" w:line="7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patent positions of molecular laboratory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85"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In particular, the patent positions of companies engaged in the development and commercialization of molecular diagnostic tests, like us, are particularly uncertain. Various courts, including the U.S. Supreme Court, have rendered decisions that affect the scope of patentability of certain inventions or discoveries relating to certain molecular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is uncertain, and it is possible that certain aspects of molecular diagnostics tests would be considered natural laws. Accordingly, the evolving legal and administrative standards around the world, including in the United States may adversely affect our ability to obtain patents and may facilitate third-party challenges to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38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owned or future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the value of our technology could be materially adversely affected and our business could be harmed.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pursuing patents covering our products, services and technology, we take steps to protect our intellectual property and proprietary technology by entering into agreements, including confidentiality and non-disclosure agreements with those that have access to our confidential and proprietary information including employees, independent contractors, academic institutions, corporate partners and advisers, and invention assignment agreements with our employees and independent contractors, and when needed, our advisers. However, we cannot be certain that such agreements have been entered into with all relevant parties, and we cannot be certain that our trade secrets and other proprietary information will not be disclosed or that competitors will not otherwise gain access to our trade secrets or independently develop substantially equivalent information and techniques.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or obtain adequate remedies for breaches.</w:t>
      </w:r>
    </w:p>
    <w:p>
      <w:pPr>
        <w:spacing w:after="0" w:line="80" w:lineRule="exact"/>
        <w:rPr>
          <w:sz w:val="20"/>
          <w:szCs w:val="20"/>
          <w:color w:val="auto"/>
        </w:rPr>
      </w:pPr>
    </w:p>
    <w:p>
      <w:pPr>
        <w:ind w:right="160"/>
        <w:spacing w:after="0" w:line="252" w:lineRule="auto"/>
        <w:rPr>
          <w:sz w:val="20"/>
          <w:szCs w:val="20"/>
          <w:color w:val="auto"/>
        </w:rPr>
      </w:pPr>
      <w:r>
        <w:rPr>
          <w:rFonts w:ascii="Arial" w:cs="Arial" w:eastAsia="Arial" w:hAnsi="Arial"/>
          <w:sz w:val="14"/>
          <w:szCs w:val="14"/>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courts outside the United States may be less willing to protect trade secrets.</w:t>
      </w:r>
    </w:p>
    <w:p>
      <w:pPr>
        <w:spacing w:after="0" w:line="8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92"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5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molecular diagnostics industry. For example, third parties in this industry have brought numerous patent infringement lawsuits against one another in which certain of these parties were found to infringe the others’ patents. Third parties have also challenged other parties’ patents and successfully invalidated some of those patents in patent infringement lawsuits or post-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38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20"/>
        <w:spacing w:after="0" w:line="269" w:lineRule="auto"/>
        <w:rPr>
          <w:sz w:val="20"/>
          <w:szCs w:val="20"/>
          <w:color w:val="auto"/>
        </w:rPr>
      </w:pPr>
      <w:r>
        <w:rPr>
          <w:rFonts w:ascii="Arial" w:cs="Arial" w:eastAsia="Arial" w:hAnsi="Arial"/>
          <w:sz w:val="14"/>
          <w:szCs w:val="14"/>
          <w:color w:val="auto"/>
        </w:rPr>
        <w:t>grant proceedings. Some of these third parties are our competitors and some have broad patent claims. These competitors or other third parties may also target us in patent infringement lawsuits or may also challenge our patents.</w:t>
      </w:r>
    </w:p>
    <w:p>
      <w:pPr>
        <w:spacing w:after="0" w:line="59"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color w:val="auto"/>
        </w:rPr>
        <w:t xml:space="preserve">Third parties have already asserted and may in the future assert that we are infringing their intellectual property rights. We may become subject to and/or initiate future intellectual property litigation as our product portfolio, and the level of competition in our industry, grow. Such proceedings could also include contested post-grant proceedings such as oppositions,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reexamination, interference, or derivation proceedings before the U.S. Patent and Trademark Office or foreign patent offices.</w:t>
      </w:r>
    </w:p>
    <w:p>
      <w:pPr>
        <w:spacing w:after="0" w:line="8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Should we be unsuccessful defending against patent infringement claims, we may be required to pay substantial royalties, money damages, change our marketing practices, modify our tests, or be enjoined from offering our tests. In addition, we could experience delays in product introductions or sales growth while we attempt to develop non-infringing alternatives. Any of these or other adverse outcomes could delay or prevent us from offering our tests or otherwise have a material adverse effect on our business, financial condition and our results of operations.</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If we are found to infringe, misappropriate or otherwise violate a third-party’s intellectual property rights, we could be required to obtain a license from such third-party to continue developing, manufacturing, marketing and selling our tests.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products or product candidates.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forces us to cease some of our business operations, which could materially harm our business. In addition, we may be forced to redesign our tests, seek new regulatory approvals and indemnify third parties pursuant to contractual agreements. Claims that we have misappropriated the confidential information or trade secrets of third parties could have a similar negative impact on our business.</w:t>
      </w:r>
    </w:p>
    <w:p>
      <w:pPr>
        <w:spacing w:after="0" w:line="82"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We cannot predict whether, or offer any assurance that, any patent infringement claims we may initiate in the future will be successful. We may become subject to counterclaims by patent infringement defendants. Our patents may be declared invalid or unenforceable, or narrowed in scope.</w:t>
      </w:r>
    </w:p>
    <w:p>
      <w:pPr>
        <w:spacing w:after="0" w:line="6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Even if we prevail in an infringement action, we cannot assure you that we would be adequately compensated for the harm to our business. If we are unable to enjoin third-party infringement, our revenue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74"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60"/>
          </w:cols>
          <w:pgMar w:left="300" w:top="38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patent law in the United States and other jurisdictions could diminish the value of patents in general, thereby impairing our ability to protect our products.</w:t>
      </w:r>
    </w:p>
    <w:p>
      <w:pPr>
        <w:spacing w:after="0" w:line="110" w:lineRule="exact"/>
        <w:rPr>
          <w:sz w:val="20"/>
          <w:szCs w:val="20"/>
          <w:color w:val="auto"/>
        </w:rPr>
      </w:pPr>
    </w:p>
    <w:p>
      <w:pPr>
        <w:jc w:val="both"/>
        <w:ind w:right="200"/>
        <w:spacing w:after="0" w:line="252" w:lineRule="auto"/>
        <w:rPr>
          <w:sz w:val="20"/>
          <w:szCs w:val="20"/>
          <w:color w:val="auto"/>
        </w:rPr>
      </w:pPr>
      <w:r>
        <w:rPr>
          <w:rFonts w:ascii="Arial" w:cs="Arial" w:eastAsia="Arial" w:hAnsi="Arial"/>
          <w:sz w:val="14"/>
          <w:szCs w:val="14"/>
          <w:color w:val="auto"/>
        </w:rPr>
        <w:t>Changes in either the patent laws or in interpretations of patent laws in the United States or other countries or regions may diminish the value of our intellectual property rights. We cannot predict the breadth of claims that may be allowed or enforced in our patents or in third-party patents. We may not develop additional proprietary products, services, methods and technologies that are patentable.</w:t>
      </w:r>
    </w:p>
    <w:p>
      <w:pPr>
        <w:spacing w:after="0" w:line="70" w:lineRule="exact"/>
        <w:rPr>
          <w:sz w:val="20"/>
          <w:szCs w:val="20"/>
          <w:color w:val="auto"/>
        </w:rPr>
      </w:pPr>
    </w:p>
    <w:p>
      <w:pPr>
        <w:ind w:right="40"/>
        <w:spacing w:after="0"/>
        <w:rPr>
          <w:sz w:val="20"/>
          <w:szCs w:val="20"/>
          <w:color w:val="auto"/>
        </w:rPr>
      </w:pPr>
      <w:r>
        <w:rPr>
          <w:rFonts w:ascii="Arial" w:cs="Arial" w:eastAsia="Arial" w:hAnsi="Arial"/>
          <w:sz w:val="14"/>
          <w:szCs w:val="14"/>
          <w:color w:val="auto"/>
        </w:rPr>
        <w:t>Under the Leahy-Smith America Invents Act, assuming that certain requirements for patentability are met, the first inventor to file a patent application will be entitled to the patent on an invention regardless of whether a third party was the first to invent the claimed invention. Prior to March 16, 2013, in the United States, the first to invent the claimed invention was entitled to the patent, while outside the United States, the first to file a patent application was entitled to the patent. A third party that files a patent application in the USPTO on or after March 16, 2013, but before us, could therefore be awarded a patent covering an invention of ours even if we had made the invention before it was made by such third party, requiring us to be cognizant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products or (ii) invent any of the inventions claimed in our patents or patent applications.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America Invents Act also affects the way patent applications are prosecuted and patent litigation. The Act allows third-party submission of prior art to the USPTO during patent prosecution or post-grant proceedings, including post-grant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derivation proceedings, to attack the validity of a patent.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may attempt to use the USPTO proceedings to invalidate our patent claims that would not have been invalidated if first challenged by the third party in a district court action, which could increase the uncertainties and costs surrounding our prosecution of patent applications and enforcement or defense of issued patents, all of which could have a material adverse effect on our business, financial condition, results of operations and prospects.</w:t>
      </w:r>
    </w:p>
    <w:p>
      <w:pPr>
        <w:spacing w:after="0" w:line="80"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Similarly, there is complexity and uncertainty related to European patent laws.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(a Unitary Patent). The Unitary Patent will make it possible for a patentee to obtain patent protection in numerous European Union member states in a single patent as an alternative to the current, more expensive system of selecting and paying for validation of a patent in each specific European Union state of interest. Each Unitary Patent is subject to the jurisdiction of the Unitary Patent Court (UPC). As the UPC is a new court system, there is limited precedent for the court, increasing the uncertainty of any litigation. It is not yet known if the UPC will be more or less favorable to patentees than the national courts for each individual European Union state that have historically heard patent litigations in that corresponding state. Patentees having patents granted before the implementation of the UPC will have the option of opting out of the jurisdiction of the UPC and having their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38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patents remain as national patents in the UPC countries. Patents that remain under the jurisdiction of the UPC may be potentially vulnerable to a single UPC-based revocation challenge that, if successful, could invalidate the patent in all countries that are signatories to the UPC. We cannot predict with certainty the long-term effects of the new unitary patent system. Upon each grant of a European patent, we will have to make the decision as to whether to proceed with national patents or a Unitary Patent based. Since the unitary patent system is continuing to develop and we have limited information, we may make a choice that results in some patents being invalidated. In addition, the European Patent Office (the EPO) patent system is relatively stringent in the type of amendments that are allowed during prosecution. These limitations and requirements could adversely affect our ability to obtain new patents in the future that may be important for our business. The EPO also has an opposition procedure in which third parties, such as competitors, can file an opposition against one of our European patents for a period of nine months after grant of the patent. If the opposition is successful, it can result in invalidation of the patent, which could mean that the product covered by that patent is not protected in Europe.</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 patent positions of companies engaged in the development and commercialization of molecular laboratory products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90"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In the United States, the current presidential administration has been making numerous changes that could have unforeseeable short- and long-term effects on intellectual property law and how the patent system operates. These changes may affect patentability of inventions, enforcement of patents, patent scope, patent validity, patent infringement issues and lawsuits, post-grant proceedings within the USPTO, among other areas. In addition, due to reductions in staff within the USPTO, particularly within the Patent Trial and Appeal Board (PTAB), certain processes may take longer or become unavailable to patentees. It may take longer for patents to grant because there are fewer patent examiners or fewer judges within the PTAB to handle patent appeals, which may hinder our ability to protect our products with patents. In addition, the USPTO may reduce or cut certain programs that benefit patentees if the USPTO is understaffed, which may also limit our ability to protect our products with patents. Additionally, patentees may have more limited access to post-grant proceedings at the PTAB within the USPTO since there are fewer judges within the PTAB. This may make it more difficult for us to challenge competitor patents in a cost-effective manner and may instead require us to bring a more costly and lengthy patent litigation to challenge competitor patents.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products, services or technology could be found invalid or unenforceable if challenged.</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 xml:space="preserve">The issuance of a patent is not conclusive as to its inventorship, scope, validity or enforceability. Some of our patent rights may be challenged at a future point in time in opposition, derivation, re-examination,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post-grant review. Any successful third-party challenge to our patent rights in this or any other proceeding could result in the unenforceability or invalidity of such patent rights, which may lead to increased competition to our business. In addition, if the breadth or strength of protection provided by our patents and patent applications is threatened, regardless of the outcome, it could dissuade companies from collaborating with us to license, develop, manufacture or commercialize our current or future products, services or technology.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60"/>
          </w:cols>
          <w:pgMar w:left="300" w:top="38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We may not be aware of all third-party intellectual property rights potentially relating to our products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our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If third parties bring actions against our patent rights, we could experience significant costs and management distraction.</w:t>
      </w:r>
    </w:p>
    <w:p>
      <w:pPr>
        <w:spacing w:after="0" w:line="82"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In patent litigation in the United States or abroad, defendant counterclaims alleging invalidity or unenforceability of plaintiff’s patents are common.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patent office or made a misleading statement during prosecution. Similar claims may also be raised before patent offices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products. The outcome of patent litigation or patent office proceedings following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relevant patent that protects our products, service or technology. Such a loss of patent protection could have a material adverse impact on our business.</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may in the future initiate or become involved in legal proceedings against a third party to enforce a patent covering one of our products or technology. Defendants in such proceedings could counterclaim that the patents covering our products or technology are invalid or unenforceable and could institute legal proceedings to challenge such patents both in court and before patent offices. Any assertion of invalidity and/or unenforceability against the patents covering our products or technology, even if not successful, could be time-consuming and expensive to defend, damage our reputation in the marketplace and the prospects for our business, and divert our management’s attention.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intellectual property.</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We may be subject to claims that former employees, independent contractors, collaborators or other third parties have an interest in or right to our owned or future licensed patents, trade secrets or other intellectual property. For example, we may have inventorship disputes arise from conflicting obligations of employees, independent contractors or others who are involved in developing such intellectual property. Litigation may be necessary to defend against these and other claims challenging inventorship or ownership of our owned patents, trade secrets or other intellectual property. If we fail in defending against any such claims, we may lose exclusive ownership of, or right to use, valuable intellectual property.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results of operations and prospects.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00" w:top="38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4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have employed or engaged and expect to employ or engage individuals who were previously employed at or associated with universities or other companies, including our competitors or potential competitors. Although we try to ensure that our employees and independent contractors do not use the proprietary information or know-how of others in their work for us, we have received claims in the past, and may be subject to claims in the future, that our employees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in the future. If we lose, in addition to paying monetary damages, we may be deprived of valuable intellectual property and face increased competition. A loss of key personnel or work product could hamper or prevent our ability to develop, manufacture and/or commercialize products, services or technology, which could materially adversely affect our business. Even if we are successful in defending against these claims, litigation could result in damage to our reputation and substantial costs and be a distraction to management and affected individuals.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and enforce our trademarks and we could infringe others’ trademarks.</w:t>
      </w:r>
    </w:p>
    <w:p>
      <w:pPr>
        <w:spacing w:after="0" w:line="99"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have not yet registered trademarks in all of our potential markets, although we have registered BillionToOne, UNITY Complete, NorthStar Select and NorthStar Response in the United States and certain foreign jurisdictions. If we apply to register additional trademarks in the United States and other countries,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timely register and enforce marks used in connection with our products or technology, we may encounter difficulty in enforcing them against third parties, and if these marks are registered by others, we could infringe such trademarks and may have to defend ourselves to continue the use of our trademarks, which may be time consuming and costly, and we may be unsuccessful.</w:t>
      </w:r>
    </w:p>
    <w:p>
      <w:pPr>
        <w:spacing w:after="0" w:line="90"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or enforce our intellectual property rights adequately throughout the world.</w:t>
      </w:r>
    </w:p>
    <w:p>
      <w:pPr>
        <w:spacing w:after="0" w:line="11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In addition to nine U.S. issued patents and 14 pending U.S. patent applications, we held 45 foreign patents and 31 foreign patent applications as of June 30, 2025. Filing, prosecuting and defending patents and other intellectual property rights covering our products, services and technology in all countries throughout the world would be prohibitively expensive, and our intellectual property rights in some territories outside the United States can be less extensive than those in the United States. In addition, the laws of some foreign countries and regions do not protect intellectual property rights to the same extent as the laws of the United States, and we</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00" w:top="38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may encounter difficulties in protecting and defending such rights in foreign jurisdictions. Consequently, we may not be able to prevent third parties from practicing our inventions in all jurisdictions, or from selling, making or importing products, services or technology by practicing our intellectual property rights. Competitors may practice our intellectual property rights in jurisdictions where we have not obtained patent protection to develop, manufacture, sell or import their own products, services or technology and may also export products, services or technology that infringe upon our intellectual property rights to territories where we have patent protection that do not provide strong intellectual property or enforcement rights as strong as that in the United States. These products, services or technology may compete with our products, services or technology. Our patents or other intellectual property rights existing outside the United States may not be effective or sufficient to prevent third parties from competing with us. Similarly, intellectual property rights may be exhausted in certain situations, and others could import our products sold abroad and compete with us domestically.</w:t>
      </w:r>
    </w:p>
    <w:p>
      <w:pPr>
        <w:spacing w:after="0" w:line="80" w:lineRule="exact"/>
        <w:rPr>
          <w:sz w:val="20"/>
          <w:szCs w:val="20"/>
          <w:color w:val="auto"/>
        </w:rPr>
      </w:pPr>
    </w:p>
    <w:p>
      <w:pPr>
        <w:ind w:right="60"/>
        <w:spacing w:after="0"/>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other countries and regions do not favor the enforcement of patents and other intellectual property protection, particularly those relating to biotechnology, which could make it difficult for us to stop the infringement of our patents and other intellectual property rights in such jurisdictions. Proceedings to enforce our patent rights and other intellectual property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intellectual property rights around the world may be inadequate to obtain a significant commercial advantage.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the terms of underlying open source software licenses could require us to publicly disclose our proprietary software.</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We use open source software to leverage established solutions when those solutions are not central to our unique products.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38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Although we have reviewed our use of open source software,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97" w:lineRule="exact"/>
        <w:rPr>
          <w:sz w:val="20"/>
          <w:szCs w:val="20"/>
          <w:color w:val="auto"/>
        </w:rPr>
      </w:pPr>
    </w:p>
    <w:p>
      <w:pPr>
        <w:ind w:right="540"/>
        <w:spacing w:after="0" w:line="318" w:lineRule="auto"/>
        <w:rPr>
          <w:sz w:val="20"/>
          <w:szCs w:val="20"/>
          <w:color w:val="auto"/>
        </w:rPr>
      </w:pPr>
      <w:r>
        <w:rPr>
          <w:rFonts w:ascii="Arial" w:cs="Arial" w:eastAsia="Arial" w:hAnsi="Arial"/>
          <w:sz w:val="13"/>
          <w:szCs w:val="13"/>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rely on our outside counsel and a third-party service provider to pay these fees due to patent agencies. The USPTO and various foreign governmental patent agencies require compliance with a number of procedural, documentary, fee payment and other similar requirements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forfeiture of the patent or patent application and thus loss of patent rights in the relevant jurisdiction. Such an event would allow our competitors to enter the unprotected market and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for an adequate amount of time.</w:t>
      </w:r>
    </w:p>
    <w:p>
      <w:pPr>
        <w:spacing w:after="0" w:line="110"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products are obtained, once the patent life has expired, we may be open to competition. Given the amount of time required for the development, testing and regulatory review of our new products or technologies, patents protecting them might expire before or shortly after they are commercialized. As a result, our patent portfolio may not provide us with a sufficient exclusivity period to exclude others from commercializing products similar or identical to ours.</w:t>
      </w:r>
    </w:p>
    <w:p>
      <w:pPr>
        <w:spacing w:after="0" w:line="77"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Further, recent judicial decisions in the U.S.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regulatory matters</w:t>
      </w:r>
    </w:p>
    <w:p>
      <w:pPr>
        <w:spacing w:after="0" w:line="117" w:lineRule="exact"/>
        <w:rPr>
          <w:sz w:val="20"/>
          <w:szCs w:val="20"/>
          <w:color w:val="auto"/>
        </w:rPr>
      </w:pPr>
    </w:p>
    <w:p>
      <w:pPr>
        <w:ind w:right="780"/>
        <w:spacing w:after="0" w:line="278" w:lineRule="auto"/>
        <w:rPr>
          <w:sz w:val="20"/>
          <w:szCs w:val="20"/>
          <w:color w:val="auto"/>
        </w:rPr>
      </w:pPr>
      <w:r>
        <w:rPr>
          <w:rFonts w:ascii="Arial" w:cs="Arial" w:eastAsia="Arial" w:hAnsi="Arial"/>
          <w:sz w:val="14"/>
          <w:szCs w:val="14"/>
          <w:b w:val="1"/>
          <w:bCs w:val="1"/>
          <w:i w:val="1"/>
          <w:iCs w:val="1"/>
          <w:color w:val="auto"/>
        </w:rPr>
        <w:t>Our tests are currently marketed as LDTs, and future changes in FDA enforcement of LDTs could subject our operations to much more significant regulatory requirements.</w:t>
      </w:r>
    </w:p>
    <w:p>
      <w:pPr>
        <w:spacing w:after="0" w:line="55"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We currently offer a number of genetic tests, each of which is a laboratory developed test (LDT). Our laboratories are currently regulated under Clinical Laboratory Improvement Amendments of 1988 (CLIA) and</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00"/>
          </w:cols>
          <w:pgMar w:left="300" w:top="385"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we have elected to comply with the higher standards and requirements established by the College of American Pathologists (CAP), a CMS-approved accreditation organization, and we are subject to extensive federal and certain state laws and regulations. The Food and Drug Administration (FDA) considers an LDT to be a test that is designed, developed, validated and used within a single laboratory. The FDA had historically taken the position that it had the authority to regulate LDTs as medical devices under the Federal Food, Drug, and Cosmetic Act (FD&amp;C Act) but exercised enforcement discretion until it recently rescinded LDT regulations indicating that it does not have the authority to require clearance, de novo classification, or approval of LDTs prior to market release.</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If FDA premarket clearance, approval or de novo classification is required, in the future, for any of our existing or future tests, or for any components or materials we use in tests, and we are not able to obtain such clearance, approval or de novo classification, we may be forced to stop selling our tests or we may be required to modify claims for or make other changes to our tests while we or our suppliers work to obtain FDA clearance, approval or de novo classification. The need for compliance with such FDA regulations would be time-consuming and expensive, potentially diverting resources from other aspects of our business, and we could be subject to legal actions, including fines and penalties, if we fail to comply with these requirements, any of which may adversely impact our business and results of operations. Our business could be adversely affected while such review is ongoing, and if we or our supplier are ultimately unable to obtain premarket clearance, approval or de novo classification. In addition, we may require cooperation in our filings for FDA clearance, approval or de novo classification from third-party manufacturers of the components of our tests. If we are unable to obtain such required cooperation, we may be unable to achieve the desired regulatory clearances, approvals or de novo classifications or may be delayed or be required to expend additional costs and other resources in doing so. Moreover, if FDA premarket clearance, approval or de novo classification is required, our revenue or cash flows may be adversely affected until we obtain such clearance, approval or de novo classification, as most third-party payors, including Medicaid, will not reimburse for use of medical devices which are required to, but which do not, have marketing authorization.</w:t>
      </w:r>
    </w:p>
    <w:p>
      <w:pPr>
        <w:spacing w:after="0" w:line="9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Furthermore, the FDA or the Federal Trade Commission (FTC), as well as state consumer protection agencies, may object to the materials and methods we use to promote the use of our current tests or other LDTs we may develop in the future, and may initiate enforcement actions against us. Enforcement actions by the FDA may include, among others, untitled or warning letters; fines; injunctions; civil or criminal penalties; recall or seizure of current or future tests, products or services; operating restrictions and partial suspension or total shutdown of production. Enforcement actions by the FTC and state consumer protection agencies may include, among others, injunctions, civil penalties and equitable monetary relief, any of which may adversely impact our business, financial position and results of operations.</w:t>
      </w:r>
    </w:p>
    <w:p>
      <w:pPr>
        <w:spacing w:after="0" w:line="194"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b w:val="1"/>
          <w:bCs w:val="1"/>
          <w:i w:val="1"/>
          <w:iCs w:val="1"/>
          <w:color w:val="auto"/>
        </w:rPr>
        <w:t>Changes in the way the FDA regulates the reagents, other consumables, and testing equipment we use when developing, validating, and performing our tests could result in delay or additional expense in bringing our tests to market or performing such tests for our customers.</w:t>
      </w:r>
    </w:p>
    <w:p>
      <w:pPr>
        <w:spacing w:after="0" w:line="5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Many of the sequencers, reagents, kits and other consumable products used to perform our testing, as well as the instruments and other capital equipment that enable the testing, are labeled as for research use only (RUO). Products utilized in our tests that are intended for research use only and are labeled as RUO are exempt from compliance with FDA requirements, including the approval, clearance or de novo classification and other product quality requirements for medical devices. A product labeled RUO but which is actually intended by the manufacturer for molecular diagnostic use may be viewed by the FDA as adulterated and misbranded under the FDC Act and subject to FDA enforcement action. The FDA has issued guidance stating that when determining the intended use of a product labeled RUO, it will consider the totality of the circumstances surrounding distribution of the product, including how the product is marketed and to whom. In addition, many of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60"/>
          </w:cols>
          <w:pgMar w:left="300" w:top="38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reagents used to perform our testing are offered for sale as analyte specific reagents (ASRs). ASRs are medical devices and must comply with QSR provisions and other device requirements, but most are exempt from premarket review. The FDA could disagree with a manufacturer’s assessment that the manufacturer’s products are ASRs, or could conclude that products labeled as RUO are actually intended by the manufacturer for molecular diagnostic use, and could take enforcement action against the manufacturer, including requiring the manufacturer to cease offering the product while it seeks clearance, approval or de novo classification. Manufacturers of RUO products that we employ in our tests may cease selling their respective products, and we may be unable to obtain an acceptable substitute on commercially reasonable terms or at all, which could significantly and adversely affect our ability to provide timely testing results to our customers or could significantly increase our costs of conducting business.</w:t>
      </w:r>
    </w:p>
    <w:p>
      <w:pPr>
        <w:spacing w:after="0" w:line="7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sequencers and reagents used in processing our tests are generally labeled as RUO in the United States. We are using these sequencers and reagents for molecular diagnostic use. If the FDA were to require clearance, approval or de novo classification for the sale of these sequencers or reagents and if the applicable manufacturer does not obtain such clearance, approval or authorization, we would have to find an alternative sequencing platform. If we were not successful in selecting, acquiring on commercially reasonable terms and implementing an alternative platform on a timely basis, our business, financial condition and results of operations would be adversely affected.</w:t>
      </w:r>
    </w:p>
    <w:p>
      <w:pPr>
        <w:spacing w:after="0" w:line="202" w:lineRule="exact"/>
        <w:rPr>
          <w:sz w:val="20"/>
          <w:szCs w:val="20"/>
          <w:color w:val="auto"/>
        </w:rPr>
      </w:pPr>
    </w:p>
    <w:p>
      <w:pPr>
        <w:jc w:val="both"/>
        <w:ind w:right="560"/>
        <w:spacing w:after="0" w:line="256" w:lineRule="auto"/>
        <w:rPr>
          <w:sz w:val="20"/>
          <w:szCs w:val="20"/>
          <w:color w:val="auto"/>
        </w:rPr>
      </w:pPr>
      <w:r>
        <w:rPr>
          <w:rFonts w:ascii="Arial" w:cs="Arial" w:eastAsia="Arial" w:hAnsi="Arial"/>
          <w:sz w:val="14"/>
          <w:szCs w:val="14"/>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actual or perceived failure to comply with those laws and regulations or to adequately secure the information in our possession could result in significant liability or reputational harm.</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are subject to numerous state, federal and foreign laws, requirements and regulations governing the collection, use, disclosure, retention and security of personal information. We collect, process, maintain, retain, evaluate, utilize and distribute large amounts of personal health and financial information and other confidential and sensitive data about customers, patients and others in the ordinary course of our business. Concerns about and claims challenging our practices with regard to the collection, use, retention, disclosure or security of personally identifiable information or other privacy-related matters, even if unfounded, could damage our reputation and harm our business.</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4"/>
          <w:szCs w:val="14"/>
          <w:color w:val="auto"/>
        </w:rPr>
        <w:t>As we seek to expand our business, we are, and will increasingly become, subject to various laws, regulations and standards, as well as contractual obligations, relating to the collection, use, retention, security, disclosure, transfer and other processing of sensitive and personal information in the jurisdictions in which we operate. In many cases, these laws, regulations and standards apply not only to third-party transactions, but also to transfers of information between or among us and other parties with which we have commercial relationships. These laws, regulations and standards are interpreted and applied differently over time and from jurisdiction to jurisdiction, and it is possible that they will be interpreted and applied in ways that will materially and adversely affect our business, financial condition and results of operations. The regulatory framework for data privacy, data security and data transfers worldwide is rapidly evolving and, as a result, interpretation and implementation standards and enforcement practices are likely to remain uncertain for the foreseeable future.</w:t>
      </w:r>
    </w:p>
    <w:p>
      <w:pPr>
        <w:spacing w:after="0" w:line="8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Numerous federal, state and foreign laws and regulations govern collection, dissemination, use and confidentiality of PHI, including: the federal Health Insurance Portability and Accountability Act of 1996, as amended by the Health Information Technology for Economic and Clinical Health Act of 2009, and regulations promulgated thereunder (collectively, HIPAA); state privacy and confidentiality laws (including state laws requiring disclosure of breaches); federal and state consumer protection and employment laws; and European and other foreign data protection laws. In addition to government regulation, privacy advocates and industry</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00" w:top="38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60"/>
        <w:spacing w:after="0"/>
        <w:rPr>
          <w:sz w:val="20"/>
          <w:szCs w:val="20"/>
          <w:color w:val="auto"/>
        </w:rPr>
      </w:pPr>
      <w:r>
        <w:rPr>
          <w:rFonts w:ascii="Arial" w:cs="Arial" w:eastAsia="Arial" w:hAnsi="Arial"/>
          <w:sz w:val="14"/>
          <w:szCs w:val="14"/>
          <w:color w:val="auto"/>
        </w:rPr>
        <w:t>groups have and may in the future propose self-regulatory standards, which may legally or contractually apply to us or which we may elect to comply with such standards. Implementation standards and enforcement practices are likely to remain uncertain for the foreseeable future, and we cannot yet determine the impact future laws, regulations, standards or perception of their requirements may have on our business. This evolution often creates uncertainty in our business, affect our ability to operate in certain jurisdictions,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laws or regulation, our internal policies and procedures or our contracts governing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80"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We are a covered entity under HIPAA, and therefore, must comply with its requirements to protect the privacy and security of PHI and must provide individuals with certain rights with respect to their PHI. We currently, and will in the future, engage business associates to help us carry out healthcare activities and functions. For each such business associate, we must have a written business associate contract or other arrangement with the business associate that requires the business associate to comply with the same standards and safeguards and other requirements under HIPAA. We cannot guarantee that our security safeguards or those of our business associates will not fail or that they will not be deemed inadequate in the future. Determining whether PHI has been handled in compliance with applicable privacy standards and our contractual obligations can be complex and we cannot be sure how these regulations will be interpreted, enforced or applied to our operations.</w:t>
      </w:r>
    </w:p>
    <w:p>
      <w:pPr>
        <w:spacing w:after="0" w:line="90" w:lineRule="exact"/>
        <w:rPr>
          <w:sz w:val="20"/>
          <w:szCs w:val="20"/>
          <w:color w:val="auto"/>
        </w:rPr>
      </w:pPr>
    </w:p>
    <w:p>
      <w:pPr>
        <w:ind w:right="40"/>
        <w:spacing w:after="0"/>
        <w:rPr>
          <w:sz w:val="20"/>
          <w:szCs w:val="20"/>
          <w:color w:val="auto"/>
        </w:rPr>
      </w:pPr>
      <w:r>
        <w:rPr>
          <w:rFonts w:ascii="Arial" w:cs="Arial" w:eastAsia="Arial" w:hAnsi="Arial"/>
          <w:sz w:val="14"/>
          <w:szCs w:val="14"/>
          <w:color w:val="auto"/>
        </w:rPr>
        <w:t>Entities that are found to be in violation of HIPAA as the result of a breach of unsecured PHI, a complaint about privacy practices or an audit by the U.S. Department of Health and Human Services (HHS) can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 person who knowingly obtains or discloses individually identifiable health information in violation of HIPAA may face additional fines and up to one-year imprisonment. In addition, our responding to government investigations regarding alleged violations of these and other laws and regulations, even if ultimately successful, can consume company resources, impact our business and, if public, harm our reputation.</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Further, various states have implemented similar privacy laws and regulations, such as the California Confidentiality of Medical Information Act, that impose restrictive requirements regulating the use and disclosure of health information and other personally identifiable information. In addition, certain state laws may require us under certain circumstances to provide information, upon request, regarding the manner in which we share certain categories of personal information with third parties for marketing or other purposes (e.g. California Shine the Light law). These laws and regulations are not necessarily preempted by HIPAA, and where state laws are more protective, we may have to comply with the stricter provisions. These state data privacy laws are not consistent, and compliance in the event of a widespread data breach is costly. In addition to fines and penalties potentially imposed upon violators, some of these state laws also afford private rights of action to individuals who believe their personal information has been misused. Furthermore, the FTC, and certain state Attorneys General can enforce federal or state consumer protection laws against companies for online collection, use, dissemination and security practices that appear to be unfair or deceptive. The interplay of federal and state laws may be subject to varying interpretations by courts and government agencies.</w:t>
      </w:r>
    </w:p>
    <w:p>
      <w:pPr>
        <w:spacing w:after="0" w:line="8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Our employees and personnel use generative artificial intelligence (AI) and machine learning (ML) technologies (collectively, AI/ML) to perform their work, and the disclosure and use of personal data in AI/ML is subject to</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60"/>
          </w:cols>
          <w:pgMar w:left="300" w:top="38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various privacy laws and other privacy obligations. We use AI/ML for a variety of internal processes, including to draft sales emails, conduct product research, automate reimbursement processing, and draft code. While we supplement our usage of AI with quality checks and review processes, AI models can produce inaccurate, biased, or incomplete outputs that may affect decision-making or generate erroneous results in critical workflows. Our use of this technology could result in additional compliance costs, regulatory investigations and actions, and lawsuits. If we are unable to use AI/ML, it could make our business less efficient and result in competitive disadvantages.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use AI/ML to assist us in making certain decisions, which is regulated by certain privacy laws. Specifically, we use AI to accelerate the reading of data on test requisition forms that arrive with our tests to our labs during sample accessioning. Based on that data read, the samples are assigned a distinct testing workflow. We manually validate the AI data read after accessioning to confirm the appropriate procedure is followed; however, this validation is subject to human error. Inaccuracies or flaws in the inputs, outputs, or logic of the AI/ML often lead to bias in the models and could lead us to make decisions that adversely impact the rights, employment, and ability of individuals or classes of individuals to obtain certain pricing, products, services, or benefits. We also use AI, including AI/ML in our products and services. The development and use of AI/ML present various privacy and security risks that may impact our business. AI/ML are subject to privacy and data security laws, as well as increasing regulation and scrutiny. While we have implemented robust controls, validations, and human oversight to mitigate the risks of the aforementioned biases and inaccuracies, these measures may not be found sufficient by current or future privacy and data security laws.</w:t>
      </w:r>
    </w:p>
    <w:p>
      <w:pPr>
        <w:spacing w:after="0" w:line="92"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Several jurisdictions around the globe, including Europe and certain U.S. states, have proposed enacted, or are considering laws governing the development and use of AI/ML, such as the EU’s AI Act.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9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addition, the interpretation and application of consumer, health-related and data protection laws, especially with respect to genetic samples and data, in the United States, European Economic Area (EEA) and elsewhere are often uncertain, contradictory and in flux. The General Data Protection Regulation (GDPR) and other privacy laws and regulations related to the use, transfer, and protection of data impose obligations to the extent we test EU citizens or expand internationally. While we believe that our current processes and practices comply with the GDPR, we may need to expend considerable time and resources, including management attention, to revise our practices to ensure ongoing compliance with GDPR.</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Some of the above privacy laws and regulations in many cases may be more restrictive than, and may not be preempted by, HIPAA and its implementing rules. In addition, some countries have stricter consumer notice and/or consent requirements relating to personal data collection, use or sharing, more stringent requirements relating to organizations’ privacy programs and provide stronger individual rights. Failure to comply with GDPR and other applicable privacy or data security-related laws, rules or regulations in the EEA and elsewhere could have an adverse effect on our business, financial condition and results of operations.</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expect that there will continue to be new proposed laws and regulations in the U.S. and internationally concerning data privacy and security, and we cannot yet determine the impact such future laws, regulations and standards may have on our business. Because the interpretation and application of laws, regulations, standards and other obligations relating to data privacy and security are still uncertain, these laws, regulations, standards and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38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color w:val="auto"/>
        </w:rPr>
        <w:t>other obligations could be interpreted and applied in a manner that is inconsistent with our data processing practices and policies or the features of our products. In such cases, changes or modifications to our data processing practices and policies to comply with such interpretations in a commercially reasonable manner would be difficult.</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will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policy or with any legal or regulatory requirements, standards, certifications or orders or other privacy or consumer protection-related laws and regulations applicable to us could cause our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207"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b w:val="1"/>
          <w:bCs w:val="1"/>
          <w:i w:val="1"/>
          <w:iCs w:val="1"/>
          <w:color w:val="auto"/>
        </w:rPr>
        <w:t>We conduct business in a heavily regulated industry, and changes in regulations or violations of regulations may, directly or indirectly, reduce our revenue, adversely affect our results of operations and financial condition, and harm our business.</w:t>
      </w:r>
    </w:p>
    <w:p>
      <w:pPr>
        <w:spacing w:after="0" w:line="45"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The molecular diagnostics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69" w:lineRule="exact"/>
        <w:rPr>
          <w:sz w:val="20"/>
          <w:szCs w:val="20"/>
          <w:color w:val="auto"/>
        </w:rPr>
      </w:pPr>
    </w:p>
    <w:p>
      <w:pPr>
        <w:ind w:left="220" w:right="220" w:hanging="216"/>
        <w:spacing w:after="0" w:line="269"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foreign laws applicable to test ordering, documentation of tests ordered, billing practices and claims payment and/or regulatory agencies enforcing those laws and regulations;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foreign health care fraud and abuse laws;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foreign laboratory anti-mark-up laws;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coverage and reimbursement levels by Medicare, Medicaid, other governmental payors and private insurers;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restrictions on coverage of and reimbursement for tests;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foreign laws governing laboratory testing, including CLIA, and state licensing laws;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foreign laws and enforcement policies governing the development, use and distribution of diagnostic medical devices;</w:t>
      </w:r>
    </w:p>
    <w:p>
      <w:pPr>
        <w:spacing w:after="0" w:line="111" w:lineRule="exact"/>
        <w:rPr>
          <w:rFonts w:ascii="Arial" w:cs="Arial" w:eastAsia="Arial" w:hAnsi="Arial"/>
          <w:sz w:val="14"/>
          <w:szCs w:val="14"/>
          <w:color w:val="auto"/>
        </w:rPr>
      </w:pPr>
    </w:p>
    <w:p>
      <w:pPr>
        <w:ind w:left="220" w:right="560" w:hanging="216"/>
        <w:spacing w:after="0" w:line="269"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laws and regulations governing the marketing of molecular diagnostic tests, including by the FDA pursuant to the medical device provisions of the Federal Food, Drug and Cosmetic Act or FDCA;</w:t>
      </w:r>
    </w:p>
    <w:p>
      <w:pPr>
        <w:spacing w:after="0" w:line="69" w:lineRule="exact"/>
        <w:rPr>
          <w:rFonts w:ascii="Arial" w:cs="Arial" w:eastAsia="Arial" w:hAnsi="Arial"/>
          <w:sz w:val="14"/>
          <w:szCs w:val="14"/>
          <w:color w:val="auto"/>
        </w:rPr>
      </w:pPr>
    </w:p>
    <w:p>
      <w:pPr>
        <w:ind w:left="220" w:right="200" w:hanging="216"/>
        <w:spacing w:after="0" w:line="269"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FDA regulation, via the FDCA and its implementing regulations, of the research, design, testing, manufacturing, safety, labeling, storage, recordkeeping, premarket clearance or approval, marketing and promotion and sales and distribution of medical devices in the United States;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FDA regulation of the import and export of medical devices;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38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federal and state laws and enforcement policies governing the use of AI in analyzing data, including data in healthcare-related areas;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federal, state, local and foreign laws governing the handling and disposal of medical and hazardous waste;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federal and state Occupational Safety and Health Administration rules and regulations;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HIPAA, GDPR, CCPA, CPRA and similar state or foreign data privacy and security laws;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consumer protection laws.</w:t>
      </w:r>
    </w:p>
    <w:p>
      <w:pPr>
        <w:spacing w:after="0" w:line="10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Changes in the current regulatory framework for algorithmic diagnostic products and services can impose additional regulatory burdens on us. The FDA is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or damage to our reputation, any of which could have a material adverse effect on our business, financial condition and results of operations.</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b w:val="1"/>
          <w:bCs w:val="1"/>
          <w:i w:val="1"/>
          <w:iCs w:val="1"/>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60"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The laboratory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commercial third-party payors, for laboratory testing services. In addition to the CLIA certification, our laboratory is CAP-accredited, which is a voluntary program that many molecular diagnostic labs participate in. CAP is a deemed agency by the CMS for the CLIA program. As a condition of CLIA certification, our laboratory is subject to survey and inspection every two years conducted by CAP, in addition to being subject to additional CMS follow up or complaint inspections. Sanctions for failure to comply with CLIA regulations, including proficiency testing violations, may include suspension, revocation, or limitation of a laboratory’s CLIA certificate (and exclude persons or entities from owning, operating or directing a laboratory for two years following such revocation), which is necessary to conduct business, as well as the imposition of significant fines or criminal penalties. In addition, we are subject to regulation under certain state laws and regulations governing laboratory licensure (including California, New York, Maryland, Pennsylvania, Rhode Island and the District of Columbia), some of which have enacted laboratory standards that are more stringent than CLIA. Some states require that we hold licenses or permits to test samples from patients in those states, even if our laboratory facilities are not located in those states, and as a result we are also required to maintain standards related to those states’ licensure requirements to conduct testing in our laboratory.</w:t>
      </w:r>
    </w:p>
    <w:p>
      <w:pPr>
        <w:spacing w:after="0" w:line="88"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If we are found to be out of compliance with state requirements, the applicable state regulator may suspend, restrict or revoke our license or laboratory permit (and, with respect to California, may exclude persons or entities from owning, operating or directing a laboratory for two years following such license revocation), assess civil monetary penalties, or impose specific corrective action plans, among other sanctions. We cannot assure you that the regulators in any state from which we have obtained a required license or permit will find us to be in compliance with the applicable laws of their respective state at all times, which may result in suspension, limitation, revocation or annulment of our laboratory’s license for that state or negative impact to our CLIA certificate, censure or civil monetary penalties, and would result in our inability to test samples from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38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patients in that state. Any such consequences could materially and adversely affect our business by prohibiting or limiting our ability to offer testing.</w:t>
      </w:r>
    </w:p>
    <w:p>
      <w:pPr>
        <w:spacing w:after="0" w:line="10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 Changes in state or foreign licensure laws that affect our ability to offer and provide molecular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Companion and complementary diagnostic tests require FDA approval, and we may not be able to secure such approval in a timely manner or at all.</w:t>
      </w:r>
    </w:p>
    <w:p>
      <w:pPr>
        <w:spacing w:after="0" w:line="9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We have entered into a global partnership with Johnson &amp; Johnson to provide our UNITY Fetal Antigen CTA (Clinical Trial Assay) in their AZALEA Phase 3 clinical trial of nipocalimab in pregnancies at risk for severe hemolytic disease of fetus and newborn (HDFN), and a related U.S.-specific partnership regarding development of a companion diagnostic product. We may enter into additional partnerships with other pharmaceutical companies. 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90" w:lineRule="exact"/>
        <w:rPr>
          <w:sz w:val="20"/>
          <w:szCs w:val="20"/>
          <w:color w:val="auto"/>
        </w:rPr>
      </w:pPr>
    </w:p>
    <w:p>
      <w:pPr>
        <w:ind w:left="220" w:hanging="216"/>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take a significant period of time;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the expenditure of substantial resources;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involve rigorous pre-clinical testing, as well as increased post-market surveillance;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changes to products;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result in limitations on the indicated uses of products.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We cannot predict whether or when we will be able to obtain FDA approval for companion diagnostics that we may develop.</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healthcare laws, regulations and policies could increase our costs, decrease our sales and revenue and negatively impact reimbursement for our tests.</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There have been in the past, and we anticipate there will continue to be in the future, proposals by legislators at both the federal and state levels and in foreign jurisdictions, regulators and commercial and government payors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payors. For example, the Patient Protection and Affordable Care Act (ACA), adopted in 2010, substantially changed the way healthcare is financed by both commercial third-party payors and government payors, and significantly impacted our industry, required disclosures of financial arrangements with physician customers, required reporting of discovered overpayments, lower thresholds for violations, new government investigative powers, and enhanced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38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penalties for such violations. On August 2, 2011, the Budget Control Act of 2011 was signed into law, which, among other things, reduced Medicare payments to providers, effective on April 1, 2013 and, due to subsequent legislative amendments to the statute, will remain in effect through 2032, unless additional Congressional action is taken.</w:t>
      </w:r>
    </w:p>
    <w:p>
      <w:pPr>
        <w:spacing w:after="0" w:line="59"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Government healthcare policy has been and will likely continue to be a topic of extensive legislative and executive activity in the U.S. federal government, particularly given the recent change in administrations, and many U.S. state governments. The current presidential administration is pursuing policies to reduce regulations and expenditures across government including at HHS, the FDA, CMS and related agencies. These actions, presently directed by executive orders or memoranda from the Office of Management and Budget, propose policy changes that create additional uncertainty for our business. These actions, for example, include directives to reduce agency workforce, program cuts, eliminating the Biden administration’s executive order that directed HHS to establishing an AI task force and developing a strategic plan, and directing certain federal agencies to enforce existing law regarding hospital and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We cannot predict whether future healthcare initiatives will be implemented at the federal or state level or how any such future legislation, regulation or initiative may affect us. Current or potential future federal legislation and the expansion of government’s role in the U.S. healthcare industry, changes to the reimbursement amounts paid by third-party payors for our current and future tests, or limited or inadequate funding for regulatory authorities, may adversely affect our test volumes and adversely affect our business, financial condition, results of operations and cash flows.</w:t>
      </w:r>
    </w:p>
    <w:p>
      <w:pPr>
        <w:spacing w:after="0" w:line="206" w:lineRule="exact"/>
        <w:rPr>
          <w:sz w:val="20"/>
          <w:szCs w:val="20"/>
          <w:color w:val="auto"/>
        </w:rPr>
      </w:pPr>
    </w:p>
    <w:p>
      <w:pPr>
        <w:ind w:right="520"/>
        <w:spacing w:after="0" w:line="278" w:lineRule="auto"/>
        <w:rPr>
          <w:sz w:val="20"/>
          <w:szCs w:val="20"/>
          <w:color w:val="auto"/>
        </w:rPr>
      </w:pPr>
      <w:r>
        <w:rPr>
          <w:rFonts w:ascii="Arial" w:cs="Arial" w:eastAsia="Arial" w:hAnsi="Arial"/>
          <w:sz w:val="14"/>
          <w:szCs w:val="14"/>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and results of operations.</w:t>
      </w:r>
    </w:p>
    <w:p>
      <w:pPr>
        <w:spacing w:after="0" w:line="4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Our operations are subject to other extensive federal, state, local and foreign laws and regulations, all of which are subject to change. These laws and regulations may include, among others:</w:t>
      </w:r>
    </w:p>
    <w:p>
      <w:pPr>
        <w:spacing w:after="0" w:line="69" w:lineRule="exact"/>
        <w:rPr>
          <w:sz w:val="20"/>
          <w:szCs w:val="20"/>
          <w:color w:val="auto"/>
        </w:rPr>
      </w:pPr>
    </w:p>
    <w:p>
      <w:pPr>
        <w:ind w:left="220" w:right="40" w:hanging="216"/>
        <w:spacing w:after="0" w:line="252"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federal Anti-Kickback Statute (AKS), which prohibits knowingly and willfully offering, paying, soliciting or receiving remuneration, directly or indirectly, overtly or covertly, in cash or in kind (e.g. provision of free or discounted goods, services or items), in exchange for or to induce either the referral of an individual for, or the purchase, order or recommendation of, any good or service for which payment may be made under federal health care programs, such as Medicare, unless a safe harbor applies;</w:t>
      </w:r>
    </w:p>
    <w:p>
      <w:pPr>
        <w:spacing w:after="0" w:line="80" w:lineRule="exact"/>
        <w:rPr>
          <w:rFonts w:ascii="Arial" w:cs="Arial" w:eastAsia="Arial" w:hAnsi="Arial"/>
          <w:sz w:val="14"/>
          <w:szCs w:val="14"/>
          <w:color w:val="auto"/>
        </w:rPr>
      </w:pPr>
    </w:p>
    <w:p>
      <w:pPr>
        <w:ind w:left="220" w:right="100" w:hanging="216"/>
        <w:spacing w:after="0" w:line="246"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federal Eliminating Kickbacks in Recovery Act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billed to either commercial third-party payors or government payors;</w:t>
      </w:r>
    </w:p>
    <w:p>
      <w:pPr>
        <w:spacing w:after="0" w:line="84" w:lineRule="exact"/>
        <w:rPr>
          <w:rFonts w:ascii="Arial" w:cs="Arial" w:eastAsia="Arial" w:hAnsi="Arial"/>
          <w:sz w:val="14"/>
          <w:szCs w:val="14"/>
          <w:color w:val="auto"/>
        </w:rPr>
      </w:pPr>
    </w:p>
    <w:p>
      <w:pPr>
        <w:ind w:left="220" w:right="220" w:hanging="216"/>
        <w:spacing w:after="0" w:line="252"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Stark Law and similar state laws,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38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causing to be presented a claim for the designated health services furnished pursuant to the prohibited referral, unless an exception applies;</w:t>
      </w:r>
    </w:p>
    <w:p>
      <w:pPr>
        <w:spacing w:after="0" w:line="112" w:lineRule="exact"/>
        <w:rPr>
          <w:sz w:val="20"/>
          <w:szCs w:val="20"/>
          <w:color w:val="auto"/>
        </w:rPr>
      </w:pPr>
    </w:p>
    <w:p>
      <w:pPr>
        <w:ind w:left="220" w:right="100" w:hanging="216"/>
        <w:spacing w:after="0" w:line="252"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80" w:lineRule="exact"/>
        <w:rPr>
          <w:rFonts w:ascii="Arial" w:cs="Arial" w:eastAsia="Arial" w:hAnsi="Arial"/>
          <w:sz w:val="14"/>
          <w:szCs w:val="14"/>
          <w:color w:val="auto"/>
        </w:rPr>
      </w:pPr>
    </w:p>
    <w:p>
      <w:pPr>
        <w:ind w:left="220" w:right="440" w:hanging="216"/>
        <w:spacing w:after="0" w:line="269"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federal and state “Anti-Markup” rules, which, among other things, typically prohibit a physician or supplier billing for molecular diagnostic tests (with certain exceptions) from marking up the price of a purchased test performed by another physician or supplier that does not “share a practice” with the billing physician or supplier;</w:t>
      </w:r>
    </w:p>
    <w:p>
      <w:pPr>
        <w:spacing w:after="0" w:line="69" w:lineRule="exact"/>
        <w:rPr>
          <w:rFonts w:ascii="Arial" w:cs="Arial" w:eastAsia="Arial" w:hAnsi="Arial"/>
          <w:sz w:val="14"/>
          <w:szCs w:val="14"/>
          <w:color w:val="auto"/>
        </w:rPr>
      </w:pPr>
    </w:p>
    <w:p>
      <w:pPr>
        <w:ind w:left="220" w:hanging="216"/>
        <w:spacing w:after="0" w:line="243"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federal government may bring a lawsuit under the False Claims Act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w:t>
      </w:r>
    </w:p>
    <w:p>
      <w:pPr>
        <w:spacing w:after="0" w:line="87" w:lineRule="exact"/>
        <w:rPr>
          <w:rFonts w:ascii="Arial" w:cs="Arial" w:eastAsia="Arial" w:hAnsi="Arial"/>
          <w:sz w:val="14"/>
          <w:szCs w:val="14"/>
          <w:color w:val="auto"/>
        </w:rPr>
      </w:pPr>
    </w:p>
    <w:p>
      <w:pPr>
        <w:ind w:left="220" w:hanging="216"/>
        <w:spacing w:after="0" w:line="246"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84" w:lineRule="exact"/>
        <w:rPr>
          <w:rFonts w:ascii="Arial" w:cs="Arial" w:eastAsia="Arial" w:hAnsi="Arial"/>
          <w:sz w:val="14"/>
          <w:szCs w:val="14"/>
          <w:color w:val="auto"/>
        </w:rPr>
      </w:pPr>
    </w:p>
    <w:p>
      <w:pPr>
        <w:ind w:left="220" w:right="300" w:hanging="216"/>
        <w:spacing w:after="0" w:line="252"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w:t>
      </w:r>
    </w:p>
    <w:p>
      <w:pPr>
        <w:spacing w:after="0" w:line="80" w:lineRule="exact"/>
        <w:rPr>
          <w:rFonts w:ascii="Arial" w:cs="Arial" w:eastAsia="Arial" w:hAnsi="Arial"/>
          <w:sz w:val="14"/>
          <w:szCs w:val="14"/>
          <w:color w:val="auto"/>
        </w:rPr>
      </w:pPr>
    </w:p>
    <w:p>
      <w:pPr>
        <w:ind w:left="220" w:right="120" w:hanging="216"/>
        <w:spacing w:after="0" w:line="269"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federal and state fraud and abuse laws, such as state anti-kickback, self-referrals, false claims and anti-markup laws, any of which may extend to services reimbursable by any payor, including private insurers; and</w:t>
      </w:r>
    </w:p>
    <w:p>
      <w:pPr>
        <w:spacing w:after="0" w:line="69" w:lineRule="exact"/>
        <w:rPr>
          <w:rFonts w:ascii="Arial" w:cs="Arial" w:eastAsia="Arial" w:hAnsi="Arial"/>
          <w:sz w:val="14"/>
          <w:szCs w:val="14"/>
          <w:color w:val="auto"/>
        </w:rPr>
      </w:pPr>
    </w:p>
    <w:p>
      <w:pPr>
        <w:ind w:left="220" w:right="280" w:hanging="216"/>
        <w:spacing w:after="0" w:line="252"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payors; or employing, exercising control over or splitting fees with licensed medical professionals.</w:t>
      </w:r>
    </w:p>
    <w:p>
      <w:pPr>
        <w:spacing w:after="0" w:line="70"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Because of the breadth of these laws and the narrowness of the statutory exceptions and regulatory safe harbors available, it is possible that some of our business activities could be subject to challenge under one or more of such laws. Any action brought against us for violation of these laws or regulations, even if we successfully defend against it, could cause us to incur significant legal expenses and divert our management’s attention from the operation of our business.</w:t>
      </w:r>
    </w:p>
    <w:p>
      <w:pPr>
        <w:spacing w:after="0" w:line="80" w:lineRule="exact"/>
        <w:rPr>
          <w:sz w:val="20"/>
          <w:szCs w:val="20"/>
          <w:color w:val="auto"/>
        </w:rPr>
      </w:pPr>
    </w:p>
    <w:p>
      <w:pPr>
        <w:ind w:right="680"/>
        <w:spacing w:after="0" w:line="269" w:lineRule="auto"/>
        <w:rPr>
          <w:sz w:val="20"/>
          <w:szCs w:val="20"/>
          <w:color w:val="auto"/>
        </w:rPr>
      </w:pPr>
      <w:r>
        <w:rPr>
          <w:rFonts w:ascii="Arial" w:cs="Arial" w:eastAsia="Arial" w:hAnsi="Arial"/>
          <w:sz w:val="14"/>
          <w:szCs w:val="14"/>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and</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00" w:top="385"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employees. These laws are designed to prevent interference in the medical decision-making process by anyone who is not a licensed medical professional. For example, California’s Medical Board has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do not comply with current or future corporate practice of medicine or healthcare fraud and abuse statutes, regulations, agency guidance or case law.</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growth of our business, including any international expansion, may increase the potential of violating applicable laws and regulations.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or revenue. Additionally, we could be required to refund payments received by us, and we could be required to curtail or cease our operations. Any of the foregoing consequences could seriously harm our business, financial condition, and results of operations. In addition,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spacing w:after="0" w:line="212"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b w:val="1"/>
          <w:bCs w:val="1"/>
          <w:i w:val="1"/>
          <w:iCs w:val="1"/>
          <w:color w:val="auto"/>
        </w:rPr>
        <w:t>We are subject to the U.S. Foreign Corrupt Practices Act and other anti-corruption laws, as well as export control laws, import and customs laws, trade and economic sanctions laws and other laws governing our operations.</w:t>
      </w:r>
    </w:p>
    <w:p>
      <w:pPr>
        <w:spacing w:after="0" w:line="45"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Our operations are subject to anti-corruption laws, including the U.S. Foreign Corrupt Practices Act of 1977, as amended (FCPA), the U.S. domestic bribery statute contained in 18 U.S.C. §201, the U.S. Travel Act, and other anti-corruption laws that apply in countries where we do business, collectively referred to as Anti-Bribery/Anti-Corruption laws.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60"/>
          </w:cols>
          <w:pgMar w:left="300" w:top="3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While we have adopted polices and practices to meet the requirements of these laws and regulations, there is no assurance that we will be completely effective in ensuring our compliance with all applicable Anti-Bribery/Anti-Corruption laws and Trade Control laws. If we are not in compliance with such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such laws by the United States or other international authorities could also have an adverse impact on our reputation, our business, results of operations and financial condition.</w:t>
      </w:r>
    </w:p>
    <w:p>
      <w:pPr>
        <w:spacing w:after="0" w:line="194" w:lineRule="exact"/>
        <w:rPr>
          <w:sz w:val="20"/>
          <w:szCs w:val="20"/>
          <w:color w:val="auto"/>
        </w:rPr>
      </w:pPr>
    </w:p>
    <w:p>
      <w:pPr>
        <w:ind w:right="700"/>
        <w:spacing w:after="0" w:line="278" w:lineRule="auto"/>
        <w:rPr>
          <w:sz w:val="20"/>
          <w:szCs w:val="20"/>
          <w:color w:val="auto"/>
        </w:rPr>
      </w:pPr>
      <w:r>
        <w:rPr>
          <w:rFonts w:ascii="Arial" w:cs="Arial" w:eastAsia="Arial" w:hAnsi="Arial"/>
          <w:sz w:val="14"/>
          <w:szCs w:val="14"/>
          <w:b w:val="1"/>
          <w:bCs w:val="1"/>
          <w:i w:val="1"/>
          <w:iCs w:val="1"/>
          <w:color w:val="auto"/>
        </w:rPr>
        <w:t>If the validity of an informed consent from a patient intake for any of our tests is challenged, we could be precluded from billing for such testing, forced to stop performing such tests or required to repay amounts previously received, which would adversely affect our business and financial results.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All clinical data and blood samples that we receive for genetic testing are required to have been collected from individuals who have provided appropriate informed consent for us to perform our testing, both commercially and in clinical trials. The collection of data and samples in many different U.S. states results in complex legal questions regarding the adequacy of informed consent and the status of genetic material under different legal systems. The individual’s informed consent obtained could be challenged in the future in any particular jurisdiction, and those informed consents could be deemed invalid, unlawful or otherwise inadequate for our purposes. Any findings against us could deny us access to, or force us to stop testing samples in, a particular jurisdiction or could call into question the results of our tests. We could also be precluded from billing third-party payors for tests for which informed consents are challenged, or could be requested to refund amounts previously paid by third-party payors for such tests. We could become involved in legal challenges, which could require significant management and financial resources and adversely affect our revenue and results of operations.</w:t>
      </w:r>
    </w:p>
    <w:p>
      <w:pPr>
        <w:spacing w:after="0" w:line="19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b w:val="1"/>
          <w:bCs w:val="1"/>
          <w:i w:val="1"/>
          <w:iCs w:val="1"/>
          <w:color w:val="auto"/>
        </w:rPr>
        <w:t>A correction or removal of our products, either voluntarily or at the direction of the FDA or another governmental authority, or the discovery of serious safety issues with our products, could have a significant adverse impact on us.</w:t>
      </w:r>
    </w:p>
    <w:p>
      <w:pPr>
        <w:spacing w:after="0" w:line="5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FDA has the authority to require the recall of commercialized products that are subject to FDA regulation in the event of material deficiencies or defects in design or manufacture. The authority to require a recall must be based on an FDA finding that there is reasonable probability that the device would cause serious, adverse health consequences or death. The collection kits that are supplied to us by a third party could be subject to a recall. Additionally, our tests may be subject to other types of field actions or corrections, which could impair our ability to produce our products in a cost-effective and timely manner and have an adverse effect on our reputation, results of operations and financial condition. Additionally, we may be subject to liability claims, may be required to bear costs or may take other actions that may have a negative impact on our financial position.</w:t>
      </w:r>
    </w:p>
    <w:p>
      <w:pPr>
        <w:spacing w:after="0" w:line="77"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60"/>
          </w:cols>
          <w:pgMar w:left="300" w:top="3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640"/>
        <w:spacing w:after="0" w:line="278" w:lineRule="auto"/>
        <w:rPr>
          <w:sz w:val="20"/>
          <w:szCs w:val="20"/>
          <w:color w:val="auto"/>
        </w:rPr>
      </w:pPr>
      <w:r>
        <w:rPr>
          <w:rFonts w:ascii="Arial" w:cs="Arial" w:eastAsia="Arial" w:hAnsi="Arial"/>
          <w:sz w:val="14"/>
          <w:szCs w:val="14"/>
          <w:b w:val="1"/>
          <w:bCs w:val="1"/>
          <w:i w:val="1"/>
          <w:iCs w:val="1"/>
          <w:color w:val="auto"/>
        </w:rPr>
        <w:t>Our use of hazardous materials in the development of our tests exposes us to risks related to accidental contamination or injury and requires us to comply with regulations governing hazardous waste materials.</w:t>
      </w:r>
    </w:p>
    <w:p>
      <w:pPr>
        <w:spacing w:after="0" w:line="45" w:lineRule="exact"/>
        <w:rPr>
          <w:sz w:val="20"/>
          <w:szCs w:val="20"/>
          <w:color w:val="auto"/>
        </w:rPr>
      </w:pPr>
    </w:p>
    <w:p>
      <w:pPr>
        <w:ind w:right="60"/>
        <w:spacing w:after="0"/>
        <w:rPr>
          <w:sz w:val="20"/>
          <w:szCs w:val="20"/>
          <w:color w:val="auto"/>
        </w:rPr>
      </w:pPr>
      <w:r>
        <w:rPr>
          <w:rFonts w:ascii="Arial" w:cs="Arial" w:eastAsia="Arial" w:hAnsi="Arial"/>
          <w:sz w:val="14"/>
          <w:szCs w:val="14"/>
          <w:color w:val="auto"/>
        </w:rPr>
        <w:t>Our operations involve the controlled use of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In addition, we are subject on an ongoing basis to federal, state and local regulations governing the use, storage, handling and disposal of these materials and specified hazardous waste materials.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An increase in the costs of compliance with such laws and regulations could harm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regulatory approval or certification of our products, we will continue to be subject to extensive regulatory oversight.</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Medical devices are subject to extensive regulation by the FDA. The FDA had historically taken the position that it had the authority to regulate LDTs as medical devices under the FD&amp;C Act but exercised enforcement discretion until it recently rescinded LDT regulations indicating that it does not have the authority to require clearance, de novo classification, or approval of LDTs prior to market release. However, if any of our molecular diagnostic products become subject to FDA approval requirements, and are subsequently approved by the FDA,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as a condition of approving a PMA,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and revenue.</w:t>
      </w:r>
    </w:p>
    <w:p>
      <w:pPr>
        <w:spacing w:after="0" w:line="9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FDA and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Similar requirements apply in foreign jurisdictions.</w:t>
      </w:r>
    </w:p>
    <w:p>
      <w:pPr>
        <w:spacing w:after="0" w:line="74"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69" w:lineRule="exact"/>
        <w:rPr>
          <w:sz w:val="20"/>
          <w:szCs w:val="20"/>
          <w:color w:val="auto"/>
        </w:rPr>
      </w:pPr>
    </w:p>
    <w:p>
      <w:pPr>
        <w:ind w:left="220" w:hanging="216"/>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adverse publicity, warning letters, untitled letters, fines, injunctions, consent decrees and civil penalties;</w:t>
      </w:r>
    </w:p>
    <w:p>
      <w:pPr>
        <w:spacing w:after="0" w:line="111" w:lineRule="exact"/>
        <w:rPr>
          <w:rFonts w:ascii="Arial" w:cs="Arial" w:eastAsia="Arial" w:hAnsi="Arial"/>
          <w:sz w:val="14"/>
          <w:szCs w:val="14"/>
          <w:color w:val="auto"/>
        </w:rPr>
      </w:pPr>
    </w:p>
    <w:p>
      <w:pPr>
        <w:ind w:left="5560" w:right="3900" w:hanging="5556"/>
        <w:spacing w:after="0" w:line="441" w:lineRule="auto"/>
        <w:tabs>
          <w:tab w:leader="none" w:pos="208"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repair, replacement, refunds, recalls, termination of distribution, administrative detention or seizures of our products; 63</w:t>
      </w:r>
    </w:p>
    <w:p>
      <w:pPr>
        <w:sectPr>
          <w:pgSz w:w="11900" w:h="16838" w:orient="portrait"/>
          <w:cols w:equalWidth="0" w:num="1">
            <w:col w:w="11260"/>
          </w:cols>
          <w:pgMar w:left="300" w:top="3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operating restrictions, partial suspension or total shutdown of production;</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customer notifications or repair, replacement or refunds;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refusing our requests for clearances or approvals of new products, new intended uses or modifications to existing products;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withdrawals of current clearances, approvals or certifications, resulting in prohibitions on sales of our products;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refusal to issue certificates needed to export products for sale in other countries;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criminal prosecution.</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Any of these sanctions could also result in higher than anticipated costs or lower than anticipated sales of our products and have a material adverse effect on our reputation, business, results of operations and financial condition. In addition, the FDA may change its clearance and approval policies, adopt additional regulations or revise existing regulations, or take other actions which may prevent or delay approval or clearance of our current or future products under development.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(ISO) standards. This proposal has not yet been finalized or adopted. Accordingly, it is unclear the extent to which any proposals, if adopted, could impose increased costs of compliance, or otherwise negatively affect our business. Additionally,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similar to ours, and it is unclear the extent to which such performance standards, if established, could impact our ability to obtain marketing authorization or otherwise create competition that may negatively affect our business.</w:t>
      </w:r>
    </w:p>
    <w:p>
      <w:pPr>
        <w:spacing w:after="0" w:line="88"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w:t>
      </w:r>
    </w:p>
    <w:p>
      <w:pPr>
        <w:spacing w:after="0" w:line="87"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The FDA’s and other regulatory authorities’ policies may change and additional government regulations may be promulgated that could prevent, limit or delay marketing authorization of any product candidates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38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financial and accounting matters</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As a public company, we will be subject to the reporting requirements of the Exchange Act, the Sarbanes-Oxley Act, and the rules and regulations of the applicable listing standards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80" w:lineRule="exact"/>
        <w:rPr>
          <w:sz w:val="20"/>
          <w:szCs w:val="20"/>
          <w:color w:val="auto"/>
        </w:rPr>
      </w:pPr>
    </w:p>
    <w:p>
      <w:pPr>
        <w:ind w:right="220"/>
        <w:spacing w:after="0"/>
        <w:rPr>
          <w:sz w:val="20"/>
          <w:szCs w:val="20"/>
          <w:color w:val="auto"/>
        </w:rPr>
      </w:pPr>
      <w:r>
        <w:rPr>
          <w:rFonts w:ascii="Arial" w:cs="Arial" w:eastAsia="Arial" w:hAnsi="Arial"/>
          <w:sz w:val="14"/>
          <w:szCs w:val="14"/>
          <w:color w:val="auto"/>
        </w:rPr>
        <w:t>The Sarbanes-Oxley Act requires, among other things, that we evaluate whether disclosure controls and procedures and internal control over financial reporting were effective. We are continuing to develop and refine our disclosure controls and procedures, internal control over financial reporting, and other procedures that are designed to ensure information required to be disclosed by us in our financial statements and in the reports that we will file or submit under the Exchange Act is recorded, processed, summarized, and reported within the time periods specified in the SEC’s rules and forms, and information required to be disclosed in reports filed or submitted under the Exchange Act is accumulated and communicated to our principal executive and financial officers as appropriate to allow timely decisions regarding required disclosure. In order to maintain and improve the effectiveness of our controls and procedures, we have expended, and anticipate that we will continue to expend, significant resources, including accounting-related costs and significant management oversight.</w:t>
      </w:r>
    </w:p>
    <w:p>
      <w:pPr>
        <w:spacing w:after="0" w:line="80"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As a public company, we will be required to evaluate and determine the effectiveness of internal control over financial reporting. Beginning with our second annual report following this offering, we will be required to provide a management report on internal control over financial reporting, and our independent registered public accounting firm may be required to formally attest to the effectiveness of our internal control over financial reporting once we are no longer an “emerging growth company”. Neither we nor our independent registered public accounting firm were required to, and therefore did not, perform an evaluation of the effectiveness of our internal control over financial reporting as of or for any period included in our financial statements, nor any period subsequent in accordance with the provisions of the Sarbanes-Oxley Act.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material weaknesses identified pertained to:</w:t>
      </w:r>
    </w:p>
    <w:p>
      <w:pPr>
        <w:spacing w:after="0" w:line="112" w:lineRule="exact"/>
        <w:rPr>
          <w:sz w:val="20"/>
          <w:szCs w:val="20"/>
          <w:color w:val="auto"/>
        </w:rPr>
      </w:pPr>
    </w:p>
    <w:p>
      <w:pPr>
        <w:ind w:left="220" w:right="80" w:hanging="216"/>
        <w:spacing w:after="0" w:line="246"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spacing w:after="0" w:line="85" w:lineRule="exact"/>
        <w:rPr>
          <w:sz w:val="20"/>
          <w:szCs w:val="20"/>
          <w:color w:val="auto"/>
        </w:rPr>
      </w:pPr>
    </w:p>
    <w:p>
      <w:pPr>
        <w:ind w:left="900" w:right="340" w:hanging="445"/>
        <w:spacing w:after="0" w:line="252" w:lineRule="auto"/>
        <w:tabs>
          <w:tab w:leader="none" w:pos="9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38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800" w:right="60"/>
        <w:spacing w:after="0" w:line="252" w:lineRule="auto"/>
        <w:rPr>
          <w:sz w:val="20"/>
          <w:szCs w:val="20"/>
          <w:color w:val="auto"/>
        </w:rPr>
      </w:pPr>
      <w:r>
        <w:rPr>
          <w:rFonts w:ascii="Arial" w:cs="Arial" w:eastAsia="Arial" w:hAnsi="Arial"/>
          <w:sz w:val="14"/>
          <w:szCs w:val="14"/>
          <w:color w:val="auto"/>
        </w:rPr>
        <w:t>and disclose amounts related to debt instruments. These material weaknesses resulted in immaterial adjustments to the financial statements. Additionally, these material weaknesses could result in a misstatement of account balances or disclosures that would result in a material misstatement to the annual or interim financial statements that would not be prevented or detected.</w:t>
      </w:r>
    </w:p>
    <w:p>
      <w:pPr>
        <w:spacing w:after="0" w:line="80" w:lineRule="exact"/>
        <w:rPr>
          <w:sz w:val="20"/>
          <w:szCs w:val="20"/>
          <w:color w:val="auto"/>
        </w:rPr>
      </w:pPr>
    </w:p>
    <w:p>
      <w:pPr>
        <w:ind w:left="900" w:right="140" w:hanging="445"/>
        <w:spacing w:after="0" w:line="246" w:lineRule="auto"/>
        <w:tabs>
          <w:tab w:leader="none" w:pos="9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did not design and maintain user access controls to ensure appropriate segregation of duties and to adequately restrict user and privileged access to appropriate personnel in creating and posting journal entries. This material weakness did not result in a misstatement to the financial statements; however, it could result in a misstatement of account balances or disclosures that would result in a material misstatement to the annual or interim financial statements that would not be prevented or detected.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To date, we have taken the following steps to begin to remediate these material weaknesses:</w:t>
      </w:r>
    </w:p>
    <w:p>
      <w:pPr>
        <w:spacing w:after="0" w:line="112" w:lineRule="exact"/>
        <w:rPr>
          <w:sz w:val="20"/>
          <w:szCs w:val="20"/>
          <w:color w:val="auto"/>
        </w:rPr>
      </w:pPr>
    </w:p>
    <w:p>
      <w:pPr>
        <w:ind w:left="220" w:hanging="216"/>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consulted with experts on technical accounting matters, internal controls, and in the preparation of our financial statements;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engaged a third party to assist in evaluating segregation of duties risks and design and implement controls to address those risks;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began to design and implement controls related to restricting user and privileged access to appropriate personnel, including as it relates to creating and posting journal entries;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engaged a third party to assist management in evaluating the accounting for financial instruments; and</w:t>
      </w:r>
    </w:p>
    <w:p>
      <w:pPr>
        <w:spacing w:after="0" w:line="111" w:lineRule="exact"/>
        <w:rPr>
          <w:rFonts w:ascii="Arial" w:cs="Arial" w:eastAsia="Arial" w:hAnsi="Arial"/>
          <w:sz w:val="14"/>
          <w:szCs w:val="14"/>
          <w:color w:val="auto"/>
        </w:rPr>
      </w:pPr>
    </w:p>
    <w:p>
      <w:pPr>
        <w:ind w:left="220" w:right="60" w:hanging="216"/>
        <w:spacing w:after="0" w:line="269"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hired additional accounting, finance, operations, and information technology resources with relevant public company experience, including a Chief Financial Officer, Controller and a Vice President of Information Systems.</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While management has made improvements to our control environment and business processes to support and scale with our growing operations, the identified material weaknesses remain un-remediated. We expect our remediation efforts to continue to take place in 2025 and may extend into 2026, and to include the following:</w:t>
      </w:r>
    </w:p>
    <w:p>
      <w:pPr>
        <w:spacing w:after="0" w:line="69" w:lineRule="exact"/>
        <w:rPr>
          <w:sz w:val="20"/>
          <w:szCs w:val="20"/>
          <w:color w:val="auto"/>
        </w:rPr>
      </w:pPr>
    </w:p>
    <w:p>
      <w:pPr>
        <w:ind w:left="220" w:right="40" w:hanging="216"/>
        <w:spacing w:after="0" w:line="269" w:lineRule="auto"/>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continue to consult with experts to complete our assessment of segregation of duties risks and implement processes and controls to address, manage and monitor those risks and our restriction of user access, including enhancing the usage of technology within our systems, applications, and tools;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continue to engage additional experts, as needed, to consult on future complex accounting matters; and</w:t>
      </w:r>
    </w:p>
    <w:p>
      <w:pPr>
        <w:spacing w:after="0" w:line="111" w:lineRule="exact"/>
        <w:rPr>
          <w:rFonts w:ascii="Arial" w:cs="Arial" w:eastAsia="Arial" w:hAnsi="Arial"/>
          <w:sz w:val="14"/>
          <w:szCs w:val="14"/>
          <w:color w:val="auto"/>
        </w:rPr>
      </w:pPr>
    </w:p>
    <w:p>
      <w:pPr>
        <w:ind w:left="220" w:right="120" w:hanging="216"/>
        <w:spacing w:after="0" w:line="309" w:lineRule="auto"/>
        <w:tabs>
          <w:tab w:leader="none" w:pos="2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continue to expand our resources with the appropriate level of expertise within our accounting, finance, operations, and information technology functions, with the addition of positions such as a director of accounting, a technical accountant, a manager of financial planning and analysis, and additional accounting and information technology personnel.</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may extend into 2026. Additionally, we cannot ensure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beginning with our second annual report after the completion of this offering.</w:t>
      </w:r>
    </w:p>
    <w:p>
      <w:pPr>
        <w:spacing w:after="0" w:line="77" w:lineRule="exact"/>
        <w:rPr>
          <w:sz w:val="20"/>
          <w:szCs w:val="20"/>
          <w:color w:val="auto"/>
        </w:rPr>
      </w:pPr>
    </w:p>
    <w:p>
      <w:pPr>
        <w:ind w:right="640"/>
        <w:spacing w:after="0" w:line="269" w:lineRule="auto"/>
        <w:rPr>
          <w:sz w:val="20"/>
          <w:szCs w:val="20"/>
          <w:color w:val="auto"/>
        </w:rPr>
      </w:pPr>
      <w:r>
        <w:rPr>
          <w:rFonts w:ascii="Arial" w:cs="Arial" w:eastAsia="Arial" w:hAnsi="Arial"/>
          <w:sz w:val="14"/>
          <w:szCs w:val="14"/>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38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Further, upon becoming a public company, significant resources and management oversight will be required. As a result, management’s attention may be diverted from other business concerns, which could harm our business, operating results, financial condition, and future prospects.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We have a significant amount of net operating loss (NOL) carryforwards that can be used to offset potential future taxable income and related income taxes. As of December 31, 2024, we had federal and state NOL carryforwards of $154.9 million and $78.6 million, respectively, which, if not utilized, begin to expire in 2036 and 2026, respectively. Federal NOLs incurred in 2018 and in future years may be carried forward indefinitely, but the deductibility of such federal NOLs is limited. As of December 31, 2024, we also had federal research and development credit carryforwards of $4.1 million, which begin to expire in 2041, and state research and development credit carryforwards of $ 2.1 million, which do not expire. Under Section 382 of the Internal Revenue Code of 1986, as amended,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We may have experienced ownership changes in the past, and may experience ownership changes in the future, as a result of shifts in our stock ownership, some of which may not be within our control. Our ability to use these carryforwards could be limited if we experience an “ownership change” or have experienced an “ownership change” in the past.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indebtedness could adversely affect our business and growth prospects.</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We have a debt facility with availability of up to $ 140.0 million, issuable in four separate tranches, pursuant a Note Purchase Agreement, dated as of August 2, 2024, by and among us, the purchasers party thereto, and BWCB SA LLC (an entity affiliated with Oberland Capital), as purchaser’s agent, as amended from time to time (the Note Purchase Agreement). As of June 30, 2025, we have drawn $50 million under the debt facility. The advanced principal accrues interest at a rate of 8.0% per annum. We have the option, but not the obligation, to issue and sell an additional two separate tranches of notes in the amounts of $35.0 million and $25.0 million, under the Note Purchase Agreement, as well as an obligation to sell a tranche of notes in the amount of $30 million before March 31, 2026 as we have achieved the revenue and gross margin thresholds triggering this obligation. The thresholds triggering this tranche are trailing six-month revenue of at least $112.5 million and a trailing six-month gross margin of at least 45%. These tranches are all subject to the terms and conditions set forth in such Agreement. In the future, any indebtedness we may incur under the Note Purchase Agreement or otherwise could require us to divert funds identified for other purposes for debt service and impair our liquidity.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9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Future indebtedness and the cash flow necessary to satisfy such debt have important consequences, including limiting funds otherwise available for financing our capital expenditures by requiring us to dedicate a portion of</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38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20"/>
        <w:spacing w:after="0" w:line="269" w:lineRule="auto"/>
        <w:rPr>
          <w:sz w:val="20"/>
          <w:szCs w:val="20"/>
          <w:color w:val="auto"/>
        </w:rPr>
      </w:pPr>
      <w:r>
        <w:rPr>
          <w:rFonts w:ascii="Arial" w:cs="Arial" w:eastAsia="Arial" w:hAnsi="Arial"/>
          <w:sz w:val="14"/>
          <w:szCs w:val="14"/>
          <w:color w:val="auto"/>
        </w:rPr>
        <w:t>our cash flows from operations to the repayment of debt and the interest on this debt, and making us more vulnerable to rising interest rates or in the event of a downturn in our business or in the economy generally.</w:t>
      </w:r>
    </w:p>
    <w:p>
      <w:pPr>
        <w:spacing w:after="0" w:line="5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While we believe that our current debt level is low in comparison to our cash balance, if we increase our debt level by exercising our option to issue and sell additional tranches of notes under our debt facility or by entering into additional debt arrangements in the future, our level of indebtedness may place us at a competitive disadvantage to our competitors that are differently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expect to use cash flows from operations to meet our current and future financial obligations for at least the next twelve months, including funding our operations, any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terms of our debt facility restrict our current and future operations, particularly our ability to respond to changes or to take certain actions.</w:t>
      </w:r>
    </w:p>
    <w:p>
      <w:pPr>
        <w:spacing w:after="0" w:line="110"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Note Purchase Agreement contains a number of restrictive covenants that impose significant operating and financial restrictions on us and may limit our ability to engage in acts that may be in our long-term best interests. The Note Purchase Agreement includes covenants requiring the Company to maintain certain trailing six-month net revenue levels and trailing six-month gross margin ratios, and includes other covenants that restrict on our ability to:</w:t>
      </w:r>
    </w:p>
    <w:p>
      <w:pPr>
        <w:spacing w:after="0" w:line="80" w:lineRule="exact"/>
        <w:rPr>
          <w:sz w:val="20"/>
          <w:szCs w:val="20"/>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sell, transfer or otherwise dispose of our assets;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 our business or executive office;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consolidate, merge, liquidate or dissolve;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incur additional indebtedness or other contingent obligations;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create liens or encumbrances;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pay dividends on our equity interests or make other payments in respect of capital stock;</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make investments, acquisitions, loans and advances;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enter into certain transactions with affiliates;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make payment on any subordinated debt;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store inventory or equipment with a third-party bailee;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fail to apply with applicable law;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transfer material assets to subsidiaries.</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A breach of the covenants or restrictions under the Note Purchase Agreement could result in an event of default. Such a default may allow the noteholders or our other creditors to accelerate the related debt, which may result in the acceleration of any other debt to which a cross-acceleration or cross-default provision applies. In the event any note holder or any other holders of our indebtedness accelerate repayment, we may not have sufficient assets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60"/>
          </w:cols>
          <w:pgMar w:left="300" w:top="38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to repay that indebtedness or be able to borrow sufficient funds to refinance it. Even if we are able to obtain new financing, it may not be on commercially reasonable terms or on terms acceptable to us. As a result of these restrictions, we may be limited in how we conduct our business; unable to raise additional debt or equity financing to operate during general economic or business downturns; or unable to compete effectively or to take advantage of new business opportunities. These restrictions, along with restrictions that may be contained in agreements evidencing or governing other future indebtedness, may affect our ability to execute our growth strategy.</w:t>
      </w:r>
    </w:p>
    <w:p>
      <w:pPr>
        <w:spacing w:after="0" w:line="192"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5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and the application of such laws is subject to uncertainty.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94"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also possible that interpretation, industry practice and guidance may evolve.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Class A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Class A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public market for our Class A common stock currently exists, and an active public trading market may not develop or be sustained following this offering.</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Prior to this offering, there has been no public market for our Class A common stock.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initial public offering price of our Class A common stock will be determined by negotiations between us and the underwriters and may not be indicative of prices that will prevail in the open market following the completion of this offering. The market price of our Class A common stock may decline below the initial public offering price, and you may not be able to resell your shares of our Class A common stock at or above the initial offering price, or at all. The lack of an active trading market may also reduce the fair value of your shares. An inactive market may also impair our ability to raise capital by selling shares of our Class A common stock.</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60"/>
          </w:cols>
          <w:pgMar w:left="300" w:top="38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b w:val="1"/>
          <w:bCs w:val="1"/>
          <w:i w:val="1"/>
          <w:iCs w:val="1"/>
          <w:color w:val="auto"/>
        </w:rPr>
        <w:t>The market price for our Class A common stock may be volatile or may decline regardless of our operating performance, and you may not be able to resell your shares at or above the initial public offering price.</w:t>
      </w:r>
    </w:p>
    <w:p>
      <w:pPr>
        <w:spacing w:after="0" w:line="45"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color w:val="auto"/>
        </w:rPr>
        <w:t>The market price of our Class A common stock may be highly volatile and may fluctuate or decline substantially as a result of a variety of factors, many of which are beyond our control, including:</w:t>
      </w:r>
    </w:p>
    <w:p>
      <w:pPr>
        <w:spacing w:after="0" w:line="69" w:lineRule="exact"/>
        <w:rPr>
          <w:sz w:val="20"/>
          <w:szCs w:val="20"/>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market speculation involving us or other companies in our industry;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investor perceptions of us and the industry in which we operate or our failure to meet the expectations of investors;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litigation involving us, other companies in our industry or both, or investigations by regulators into our operations or those of our competitors;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developments or disputes concerning our or third-party intellectual property or proprietary rights;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or technologies, or other strategic transactions by us or our competitors;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actual or perceived breaches of, or failures relating to, privacy, data protection or data security;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actual or anticipated changes in our senior management or key personnel;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expiration of contractual lock-up agreements and market stand-off agreements with our executive officers, directors, employees and stockholders;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changes in the size or growth of our target markets;</w:t>
      </w:r>
    </w:p>
    <w:p>
      <w:pPr>
        <w:spacing w:after="0" w:line="111" w:lineRule="exact"/>
        <w:rPr>
          <w:rFonts w:ascii="Arial" w:cs="Arial" w:eastAsia="Arial" w:hAnsi="Arial"/>
          <w:sz w:val="14"/>
          <w:szCs w:val="14"/>
          <w:color w:val="auto"/>
        </w:rPr>
      </w:pPr>
    </w:p>
    <w:p>
      <w:pPr>
        <w:ind w:left="220" w:right="260" w:hanging="216"/>
        <w:spacing w:after="0" w:line="269" w:lineRule="auto"/>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economic and market conditions in general, including those resulting from geopolitical tensions, tariffs and other trade actions, war, pandemics, terrorism or responses to these events; and</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realization of any risks described under this “Risk factors” section, or other risks that may materialize in the future.</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Furthermore, the stock market has experienced extreme volatility that in some cases has been unrelated or disproportionate to the operating performance of particular companies. 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w:t>
      </w:r>
    </w:p>
    <w:p>
      <w:pPr>
        <w:spacing w:after="0" w:line="18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b w:val="1"/>
          <w:bCs w:val="1"/>
          <w:i w:val="1"/>
          <w:iCs w:val="1"/>
          <w:color w:val="auto"/>
        </w:rPr>
        <w:t>Our dual-class capital structure will have the effect of concentrating voting power with holders of our Class B common stock, who will have significant influence over us and, if acting together, will be able to control matters requiring stockholder approval.</w:t>
      </w:r>
    </w:p>
    <w:p>
      <w:pPr>
        <w:spacing w:after="0" w:line="55"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Our Class A common stock, which is the stock we are offering by means of this prospectus, will have one vote per share and our Class B common stock will have 15 votes per share. After the completion of this offering, the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38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holders of our outstanding Class B common stock, Drs. Atay and Tsao, will together hold      % of the voting power of our outstanding capital stock (or      % if the underwriters exercise their option to purchase additional shares of our Class A common stock in full). See the section titled “Principal stockholders.” As a result, Drs. Atay and Tsao will be able to exert significant influence over us and, if acting together, will be able to control matters requiring stockholder approval, including the election of our Board of Directors, the adoption of amendments to our Post-IPO Certificate of Incorporation and Post-IPO Bylaws and the approval of any merger, consolidation, sale of all or substantially all of our assets or other major corporate transactions. In addition, if our Co-Founders continue to beneficially own shares representing in excess of 50% of the voting power of our outstanding capital stock and determine to act together in the future, we could become eligible to elect the “controlled company” exemption to the corporate governance rules for publicly listed companies. If we were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use controlled company exemptions in the future, our status as a controlled company could cause our Class A common stock to be less attractive to certain investors or otherwise cause the market price of our Class A common stock to decline. Further, the interests of Drs. Atay and Tsao may not always coincide with, and in some cases may conflict with, our interests and the interests of our other stockholders. For instance, Drs. Atay and Tsao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impact our dual class structure may have on the market price of our Class A common stock.</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cannot predict whether our dual class structure, combined with the concentrated control of Drs. Atay and Tsao, who will beneficially own all of the outstanding shares of our Class B common stock, will result in a lower or more volatile market price of our Class A common stock, adverse publicity or other adverse consequences. Certain stock index providers have in the past excluded companies with multiple classes of shares of common stock from being added to certain stock indices. If our Class A common stock was ineligible for inclusion in indices with such restrictions mutual funds, exchange-traded funds and other investment vehicles that attempt to passively track those indices may not invest in our Class A common stock.</w:t>
      </w:r>
    </w:p>
    <w:p>
      <w:pPr>
        <w:spacing w:after="0" w:line="77"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In addition, several stockholder advisory firms and large institutional investors have been critical of the use of multi-class structures. Such advisory firms may publish negative commentary about our corporate governance practices or our capital structure, which may dissuade large institutional investors from purchasing shares of our Class A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These actions could make our Class A common stock less attractive to other investors and may result in a less active trading market for our Class A common stock.</w:t>
      </w:r>
    </w:p>
    <w:p>
      <w:pPr>
        <w:spacing w:after="0" w:line="219"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if they publish inaccurate or unfavorable research about our business, or if our financial results differ from any guidance we provide to the public, the price of our Class A common stock and trading volume could decline.</w:t>
      </w:r>
    </w:p>
    <w:p>
      <w:pPr>
        <w:spacing w:after="0" w:line="5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trading market for our Class A common stock will depend in part on the research and reports that securities or industry analysts publish about us or our business, our market, and our competitors. We do not currently have and may never obtain research coverage by securities and industry analysts. We do not have any control</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60"/>
          </w:cols>
          <w:pgMar w:left="300" w:top="38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over these analysts. If we fail to meet the expectations of these analysts, our stock price could be adversely affected. If no or few securities analysts commence coverage of us, the trading price for our Class A common stock would be negatively affected. In the event we obtain securities or industry analyst coverage, if one or more of the analysts who cover us downgrade our Class A common stock or publish inaccurate or unfavorable research about our business, the market price of our Class A common stock would likely decline. If one or more of these analysts cease coverage of us or fail to publish reports on us regularly, demand for our Class A common stock could decrease, which may cause the market price of our Class A common stock and trading volume to decline.</w:t>
      </w:r>
    </w:p>
    <w:p>
      <w:pPr>
        <w:spacing w:after="0" w:line="77"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In addition, the stock prices of many companies in the precision diagnostics industry have declined significantly after those companies failed to meet the financial guidance publicly announced by the companies or the expectations of analysts, and stock prices have even declined significantly after such companies exceeded, or even significantly exceeded, such guidance or expectations. If our financial results fail to meet any guidance we announce, or the expectations of analysts or public investors, or even if our financial results exceed, or even significantly exceed, any such guidance or expectations, or if we reduce any such guidance for future periods, the market price of our Class A common stock may decline.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have broad discretion in the use of the net proceeds from this offering and may not use them effectively.</w:t>
      </w:r>
    </w:p>
    <w:p>
      <w:pPr>
        <w:spacing w:after="0" w:line="9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We will have considerable discretion in the application of the net proceeds of this offering, including for any of the purposes described in the section of this prospectus titled “Use of proceeds,” and you will not have the opportunity as part of your investment decision to assess whether the net proceeds are being used appropriately. Investors will need to rely upon the judgment of our management with respect to the use of such net proceeds. Pending their use, we may invest the net proceeds from this offering in short-term, investment-grade, interest-bearing securities, such as money market accounts, certificates of deposit, commercial paper, and guaranteed obligations of the U.S. government, which may not produce income or may lose value. If we do not use the net proceeds that we receive in this offering effectively, our business, financial condition and results of operations could be harmed and the market price of our Class A common stock could decline.</w:t>
      </w:r>
    </w:p>
    <w:p>
      <w:pPr>
        <w:spacing w:after="0" w:line="207"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b w:val="1"/>
          <w:bCs w:val="1"/>
          <w:i w:val="1"/>
          <w:iCs w:val="1"/>
          <w:color w:val="auto"/>
        </w:rPr>
        <w:t>As the initial public offering price is substantially higher than our net tangible book value per share of Class A common stock, you will incur immediate and substantial dilution.</w:t>
      </w:r>
    </w:p>
    <w:p>
      <w:pPr>
        <w:spacing w:after="0" w:line="45"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If you purchase Class A common stock in this offering, you will experience substantial and immediate dilution in the pro forma net tangible book value per share after giving effect to this offering of $      per share as of       , 2025, based on the initial public offering price of $      per share of Class A common stock, the midpoint of the estimated offering price range on the cover page of this prospectus, because the price that you pay will be substantially greater than the pro forma net tangible book value per share of Class A common stock that you acquire. This dilution is due in large part to the fact that our earlier investors paid substantially less than the initial public offering price when they purchased their shares. As of June 30, 2025, we had 8,930,919 shares of our Class A common stock issuable upon the exercise of outstanding options at a weighted average exercise price of $10.59 per share, 4,623,888 of which were vested as of such date. See the section of this prospectus titled “Dilution” for additional information.</w:t>
      </w:r>
    </w:p>
    <w:p>
      <w:pPr>
        <w:spacing w:after="0" w:line="9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Any additional shares of our Class A common stock that we issue, including under our equity incentive plans, would dilute the percentage ownership and voting power held by the investors who purchase Class A common stock in this offering. In the future, we may also issue additional securities if we need to raise capital, including, in connection with acquisitions, which could constitute a material portion of our then-outstanding shares of common stock. Any such issuance could substantially dilute the ownership and voting power of our existing stockholders and cause the market price of our Class A common stock to decline.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38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b w:val="1"/>
          <w:bCs w:val="1"/>
          <w:i w:val="1"/>
          <w:iCs w:val="1"/>
          <w:color w:val="auto"/>
        </w:rPr>
        <w:t>Future sales of substantial amounts of our Class A common stock in the public markets, or the perception that such sales might occur, could reduce the price that our Class A common stock might otherwise attain.</w:t>
      </w:r>
    </w:p>
    <w:p>
      <w:pPr>
        <w:spacing w:after="0" w:line="45"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Future sales of a substantial number of shares of our Class A common stock in the public market, particularly sales by our directors, executive officers, and principal stockholders, or the perception that these sales could occur, could adversely affect the market price of our Class A common stock and may make it more difficult for you to sell your Class A common stock at a time and price that you deem appropriate. Upon the completion of this offering, based on the number of shares of our Class A common stock outstanding as of June 30, 2025, and after giving effect to the Preferred Stock Conversion, the Reclassification and the Class B Stock Exchange, as if each event had occurred on June 30, 2025, we will have</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4"/>
          <w:szCs w:val="14"/>
          <w:color w:val="auto"/>
        </w:rPr>
        <w:t>an aggregate of        shares of our Class A common stock outstanding (or         shares if the underwriters exercise their option to purchase additional shares from us in full). This includes        shares of Class A common stock that we are selling in this offering, which may be resold in the public market immediately without restriction, unless purchased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by our affiliates. The resale of the remaining        shares of Class A common stock, or      % of our outstanding shares of Class A common stock following this offering, and all of our Class B common stock outstanding,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w:t>
      </w:r>
    </w:p>
    <w:p>
      <w:pPr>
        <w:spacing w:after="0" w:line="90"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In addition, following the completion of this offering, holders of 37,706,613 shares of our Class A common stock (including, following the Class B Stock Exchange, shares of our Class A common stock issuable upon the conversion of shares of Class B common stock) will have certain rights to require us to register the sale of Class A common stock held by such stockholders, including in connection with underwritten offerings. Sales of significant amounts of stock in the public market upon expiration of lock-up agreements and market stand-off provisions, the perception that such sales may occur, or early release of any lock-up agreements or market stand-off provisions, could adversely affect prevailing market prices of our Class A common stock or make it more difficult for you to sell your shares of Class A common stock at a time and price that you deem appropriate. See the section titled “Shares eligible for future sale.”</w:t>
      </w:r>
    </w:p>
    <w:p>
      <w:pPr>
        <w:spacing w:after="0" w:line="9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market price of our Class A common stock may drop significantly when the restrictions on resale by our existing stockholders lapse, including in the event of a partial release under the lock-up agreement or market stand-off provisions, if we register certain of our stockholders’ shares of our Class A common stock for resale, or if there is an expectation that such a lapse of resale restrictions or registration of shares will occur. A decline in the trading price of our Class A common stock might impede our ability to raise capital through the issuance of additional shares of our Class A common stock or other equity securities and may impair your ability to sell shares of our Class A common stock at a price higher than the price you paid for them or at all.</w:t>
      </w:r>
    </w:p>
    <w:p>
      <w:pPr>
        <w:spacing w:after="0" w:line="194" w:lineRule="exact"/>
        <w:rPr>
          <w:sz w:val="20"/>
          <w:szCs w:val="20"/>
          <w:color w:val="auto"/>
        </w:rPr>
      </w:pPr>
    </w:p>
    <w:p>
      <w:pPr>
        <w:ind w:right="820"/>
        <w:spacing w:after="0" w:line="278" w:lineRule="auto"/>
        <w:rPr>
          <w:sz w:val="20"/>
          <w:szCs w:val="20"/>
          <w:color w:val="auto"/>
        </w:rPr>
      </w:pPr>
      <w:r>
        <w:rPr>
          <w:rFonts w:ascii="Arial" w:cs="Arial" w:eastAsia="Arial" w:hAnsi="Arial"/>
          <w:sz w:val="14"/>
          <w:szCs w:val="14"/>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Class A common stock.</w:t>
      </w:r>
    </w:p>
    <w:p>
      <w:pPr>
        <w:spacing w:after="0" w:line="4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We are a Delaware corporation, and the anti-takeover provisions of Delaware law impose various impediments to the ability of a third party to acquire control of us, even if a change of control would be beneficial to our existing stockholders. In addition, our Post-IPO Certificate of Incorporation and Post-IPO Bylaws will contain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38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180"/>
        <w:spacing w:after="0" w:line="309" w:lineRule="auto"/>
        <w:rPr>
          <w:sz w:val="20"/>
          <w:szCs w:val="20"/>
          <w:color w:val="auto"/>
        </w:rPr>
      </w:pPr>
      <w:r>
        <w:rPr>
          <w:rFonts w:ascii="Arial" w:cs="Arial" w:eastAsia="Arial" w:hAnsi="Arial"/>
          <w:sz w:val="13"/>
          <w:szCs w:val="13"/>
          <w:color w:val="auto"/>
        </w:rPr>
        <w:t>provisions that could have the effect of rendering more difficult, delaying or preventing an acquisition deemed undesirable by our Board of Directors, including transactions in which stockholders might otherwise receive a premium for their shares. Among others, our Post-IPO Certificate of Incorporation and Post-IPO Bylaws will include the following provisions:</w:t>
      </w:r>
    </w:p>
    <w:p>
      <w:pPr>
        <w:spacing w:after="0" w:line="45" w:lineRule="exact"/>
        <w:rPr>
          <w:sz w:val="20"/>
          <w:szCs w:val="20"/>
          <w:color w:val="auto"/>
        </w:rPr>
      </w:pPr>
    </w:p>
    <w:p>
      <w:pPr>
        <w:ind w:left="220" w:right="56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dual-class structure that provides holders of shares of our Class B common stock with the ability to significantly influence the outcome of matters requiring stockholder approval, even if they own significantly less than a majority of the shares of our outstanding capital stock;</w:t>
      </w:r>
    </w:p>
    <w:p>
      <w:pPr>
        <w:spacing w:after="0" w:line="69" w:lineRule="exact"/>
        <w:rPr>
          <w:rFonts w:ascii="Arial" w:cs="Arial" w:eastAsia="Arial" w:hAnsi="Arial"/>
          <w:sz w:val="14"/>
          <w:szCs w:val="14"/>
          <w:color w:val="auto"/>
        </w:rPr>
      </w:pPr>
    </w:p>
    <w:p>
      <w:pPr>
        <w:ind w:left="220" w:right="10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69" w:lineRule="exact"/>
        <w:rPr>
          <w:rFonts w:ascii="Arial" w:cs="Arial" w:eastAsia="Arial" w:hAnsi="Arial"/>
          <w:sz w:val="14"/>
          <w:szCs w:val="14"/>
          <w:color w:val="auto"/>
        </w:rPr>
      </w:pPr>
    </w:p>
    <w:p>
      <w:pPr>
        <w:ind w:left="22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division of our Board of Directors into three classes, with each class serving staggered three-year terms, which may delay the ability of stockholders to change the membership of a majority of our Board of Directors;</w:t>
      </w:r>
    </w:p>
    <w:p>
      <w:pPr>
        <w:spacing w:after="0" w:line="69" w:lineRule="exact"/>
        <w:rPr>
          <w:rFonts w:ascii="Arial" w:cs="Arial" w:eastAsia="Arial" w:hAnsi="Arial"/>
          <w:sz w:val="14"/>
          <w:szCs w:val="14"/>
          <w:color w:val="auto"/>
        </w:rPr>
      </w:pPr>
    </w:p>
    <w:p>
      <w:pPr>
        <w:ind w:left="220" w:right="32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limitations on convening special stockholder meetings once our Class B common stock no longer represents a majority of voting power of our outstanding capital stock, which could make it difficult for our stockholders to adopt desired governance changes;</w:t>
      </w:r>
    </w:p>
    <w:p>
      <w:pPr>
        <w:spacing w:after="0" w:line="69" w:lineRule="exact"/>
        <w:rPr>
          <w:rFonts w:ascii="Arial" w:cs="Arial" w:eastAsia="Arial" w:hAnsi="Arial"/>
          <w:sz w:val="14"/>
          <w:szCs w:val="14"/>
          <w:color w:val="auto"/>
        </w:rPr>
      </w:pPr>
    </w:p>
    <w:p>
      <w:pPr>
        <w:ind w:left="220" w:right="40" w:hanging="216"/>
        <w:spacing w:after="0" w:line="252"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80" w:lineRule="exact"/>
        <w:rPr>
          <w:rFonts w:ascii="Arial" w:cs="Arial" w:eastAsia="Arial" w:hAnsi="Arial"/>
          <w:sz w:val="14"/>
          <w:szCs w:val="14"/>
          <w:color w:val="auto"/>
        </w:rPr>
      </w:pPr>
    </w:p>
    <w:p>
      <w:pPr>
        <w:ind w:left="220" w:right="36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once our Class B common stock no longer represents a majority of voting power of our outstanding capital stock, which means that our stockholders will only be able to take action at a meeting of stockholders;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 authorization of cumulative voting, which limits the ability of minority stockholders to elect director candidates;</w:t>
      </w:r>
    </w:p>
    <w:p>
      <w:pPr>
        <w:spacing w:after="0" w:line="111" w:lineRule="exact"/>
        <w:rPr>
          <w:rFonts w:ascii="Arial" w:cs="Arial" w:eastAsia="Arial" w:hAnsi="Arial"/>
          <w:sz w:val="14"/>
          <w:szCs w:val="14"/>
          <w:color w:val="auto"/>
        </w:rPr>
      </w:pPr>
    </w:p>
    <w:p>
      <w:pPr>
        <w:ind w:left="220" w:right="18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once our Class B common stock no longer represents a majority of voting power of our outstanding capital stock, directors will only be able to be removed for cause and only by the affirmative vote of two-thirds of the voting power of our then-outstanding capital stock;</w:t>
      </w:r>
    </w:p>
    <w:p>
      <w:pPr>
        <w:spacing w:after="0" w:line="69" w:lineRule="exact"/>
        <w:rPr>
          <w:rFonts w:ascii="Arial" w:cs="Arial" w:eastAsia="Arial" w:hAnsi="Arial"/>
          <w:sz w:val="14"/>
          <w:szCs w:val="14"/>
          <w:color w:val="auto"/>
        </w:rPr>
      </w:pPr>
    </w:p>
    <w:p>
      <w:pPr>
        <w:ind w:left="220" w:right="10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once our Class B common stock no longer represents a majority of voting power of our outstanding capital stock, certain amendments to our Post-IPO Certificate of Incorporation and Post-IPO Bylaws will require the approval of two-thirds of the voting power of our then-outstanding capital stock; and</w:t>
      </w:r>
    </w:p>
    <w:p>
      <w:pPr>
        <w:spacing w:after="0" w:line="69" w:lineRule="exact"/>
        <w:rPr>
          <w:rFonts w:ascii="Arial" w:cs="Arial" w:eastAsia="Arial" w:hAnsi="Arial"/>
          <w:sz w:val="14"/>
          <w:szCs w:val="14"/>
          <w:color w:val="auto"/>
        </w:rPr>
      </w:pPr>
    </w:p>
    <w:p>
      <w:pPr>
        <w:ind w:left="220" w:right="520" w:hanging="216"/>
        <w:spacing w:after="0" w:line="269"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5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capital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85% of the common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60"/>
          </w:cols>
          <w:pgMar w:left="300" w:top="38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stock or (iii) following Board of Directors approval, the business combination receives the approval of the holders of at least two-thirds of our outstanding common stock not held by such interested stockholder.</w:t>
      </w:r>
    </w:p>
    <w:p>
      <w:pPr>
        <w:spacing w:after="0" w:line="5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Any provision of our Post-IPO Certificate of Incorporation, Post-IPO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Class A common stock at a price greater than the price you paid for them or at all.</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Our Post-IPO Certificate of Incorporation, which will be in effect at the completion of this offering, will provide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Our Post-IPO Certificate of Incorporation, which will be in effect at the completion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DGCL, our Post-IPO Certificate of Incorporation or our Post-IPO Bylaws or any action asserting a claim against us that is governed by the internal affairs doctrine, unless we consent in writing to the selection of an alternative forum to the extent permitted by law.</w:t>
      </w:r>
    </w:p>
    <w:p>
      <w:pPr>
        <w:spacing w:after="0" w:line="8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This provision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Our Post-IPO Certificate of Incorporation will further provide that the U.S. federal district courts will be the exclusive forum for resolving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Post-IPO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2"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result in increased costs to stockholders to bring a claim, may limit investors’ ability to bring a claim in a judicial forum that they find favorable, and may have the effect of discouraging lawsuits against our directors and officers.</w:t>
      </w:r>
    </w:p>
    <w:p>
      <w:pPr>
        <w:spacing w:after="0" w:line="202" w:lineRule="exact"/>
        <w:rPr>
          <w:sz w:val="20"/>
          <w:szCs w:val="20"/>
          <w:color w:val="auto"/>
        </w:rPr>
      </w:pPr>
    </w:p>
    <w:p>
      <w:pPr>
        <w:ind w:right="500"/>
        <w:spacing w:after="0" w:line="278" w:lineRule="auto"/>
        <w:rPr>
          <w:sz w:val="20"/>
          <w:szCs w:val="20"/>
          <w:color w:val="auto"/>
        </w:rPr>
      </w:pPr>
      <w:r>
        <w:rPr>
          <w:rFonts w:ascii="Arial" w:cs="Arial" w:eastAsia="Arial" w:hAnsi="Arial"/>
          <w:sz w:val="14"/>
          <w:szCs w:val="14"/>
          <w:b w:val="1"/>
          <w:bCs w:val="1"/>
          <w:i w:val="1"/>
          <w:iCs w:val="1"/>
          <w:color w:val="auto"/>
        </w:rPr>
        <w:t>We do not anticipate paying dividends on our Class A common stock in the foreseeable future. As a result, your ability to achieve a return on your investment will depend on appreciation in the price of our Class A common stock.</w:t>
      </w:r>
    </w:p>
    <w:p>
      <w:pPr>
        <w:spacing w:after="0" w:line="4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We have never declared or paid any dividends on our capital stock, and we do not anticipate paying any cash dividends on our Class A common stock in the foreseeable future. We anticipate that we will retain all available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60"/>
          </w:cols>
          <w:pgMar w:left="300" w:top="38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80"/>
        <w:spacing w:after="0"/>
        <w:rPr>
          <w:sz w:val="20"/>
          <w:szCs w:val="20"/>
          <w:color w:val="auto"/>
        </w:rPr>
      </w:pPr>
      <w:r>
        <w:rPr>
          <w:rFonts w:ascii="Arial" w:cs="Arial" w:eastAsia="Arial" w:hAnsi="Arial"/>
          <w:sz w:val="14"/>
          <w:szCs w:val="14"/>
          <w:color w:val="auto"/>
        </w:rPr>
        <w:t>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ability to declare or pay dividends is also subject to the restrictions and limitations set forth in the Note Purchase Agreement. Furthermore, we may also enter into other loan or credit agreements or similar borrowing arrangements that may further restrict our ability to declare or pay dividends on our Class A common stock. Consequently, investors who purchase Class A common stock in this offering may be unable to realize a return on their investment except by selling such shares after price appreciation, which may never occur. Our inability or decision not to pay dividends, particularly when others in our industry have elected to do so, could also adversely affect the market price of our Class A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17"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b w:val="1"/>
          <w:bCs w:val="1"/>
          <w:i w:val="1"/>
          <w:iCs w:val="1"/>
          <w:color w:val="auto"/>
        </w:rPr>
        <w:t>Our failure to timely and effectively implement controls and procedures required by Section 404 of the Sarbanes-Oxley Act could have a material adverse effect on our business.</w:t>
      </w:r>
    </w:p>
    <w:p>
      <w:pPr>
        <w:spacing w:after="0" w:line="45"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As a public company, we will be required to provide management’s assessment regarding internal control over financial reporting in our second Annual Report on Form 10-K. The standards required for a public company under Section 404(a) of the Sarbanes-Oxley Act are significantly more stringent than those required of us as a private company. In addition, at such time as we are no longer an “emerging growth company,” we would be required to comply with the auditor attestation requirements of Section 404(b) of the Sarbanes-Oxley Act requiring our auditors to provide an opinion on the effectiveness of our internal controls over financial reporting. While we have begun implementation of such controls and procedures, management may not be able to effectively and timely implement controls and procedures that adequately respond to the increased regulatory compliance and reporting requirements that became applicable after the completion of this offering and, when applicable, upon our ceasing to be an emerging growth company. If we are not able to implement the additional requirements of Section 404 in a timely manner or with adequate compliance, we and our auditors may not be able to assess whether our internal controls over financial reporting are effective, which may subject us to adverse regulatory consequences and could harm investor confidence and the market price of our Class A common stock.</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preparation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additional material weaknesses or a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38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4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92"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this offering, (ii) the last day of the first fiscal year in which our annual gross revenue is $1.235 billion or more, (iii) the date on which we have, during the previous rolling three-year period, issued more than $1.0 billion in non-convertible debt securities, and (iv) the date on which we are deemed to be a “large accelerated filer.”</w:t>
      </w:r>
    </w:p>
    <w:p>
      <w:pPr>
        <w:spacing w:after="0" w:line="8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We cannot predict if investors will find our Class A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Class A common stock less attractive as a result, there may be a less active trading market for our Class A common stock, and the market price of our Class A common stock may be more volatile.</w:t>
      </w:r>
    </w:p>
    <w:p>
      <w:pPr>
        <w:spacing w:after="0" w:line="192"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qualified Board of Directors members.</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As a public company listed in the U.S., we will incur significant additional legal, accounting, and other expenses. In addition, changing laws, regulations, and standards relating to corporate governance and public disclosure, including regulations implemented by SEC and Nasdaq, may increase legal and financial compliance costs and make some activities more time consuming.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We cannot predict or estimate the amount of additional costs we will incur as a public company or the specific timing of such costs, and any such costs may adversely affect our business, financial condition and results of operations.</w:t>
      </w:r>
    </w:p>
    <w:p>
      <w:pPr>
        <w:spacing w:after="0" w:line="87"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adversely affected.</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00"/>
          </w:cols>
          <w:pgMar w:left="300" w:top="385"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addition, as a result of our disclosure obligations as a public company, we will have reduced strategic flexibility and will be under pressure to focus on short-term results, which may adversely affect our ability to achieve our long-term goals. As a result of disclosure of information in this prospectus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disclosure controls and procedures may not prevent or detect all errors or acts of fraud.</w:t>
      </w: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securities litigation, which is expensive and could divert management attention.</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38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This prospectus includes forward-looking statements that involve substantial risks and uncertainties. All statements other than statements of historical facts contained in this prospectus, including statements regarding our future operating results and financial position, our business strategy and plans, market growth, and our objectives for future operations, are forward-looking statements. The words “believe,” “may,” “will,” “estimate,” “continue,” “anticipate,” “design,” “intend,” “expect,” “forecast,” “could,” “plan,” “potential,” “predict,” “seek,” “target,”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short-and long-term business operations and objectives, and financial needs. Forward-looking statements contained in this prospectus include, statements about:</w:t>
      </w:r>
    </w:p>
    <w:p>
      <w:pPr>
        <w:spacing w:after="0" w:line="90" w:lineRule="exact"/>
        <w:rPr>
          <w:sz w:val="20"/>
          <w:szCs w:val="20"/>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level of demand for any of our products, which may vary significantly;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increase the adoption of our products in the prenatal and oncology markets and in large healthcare systems;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generate persuasive clinical validity and utility evidence;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expand our portfolio of molecular diagnostic tests;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use AI effectively and efficiently;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execute our reimbursement strategy and expand coverage of our tests;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replicate positive results from trials or studies conducted by us or third parties in current or future trials or studies;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potential for our UNITY Fetal Antigen CTA to become the first NIPT to have a companion diagnostics indication pending;</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successful completion of Johnson &amp; Johnson’s AZALEA Phase 3 clinical trial;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implementation of our business model and strategic plans;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size and growth potential of the total addressable markets for our current and future products and our ability to serve those markets;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realize the benefits of current and future collaborations for the development of our products;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maintain, expand and protect our intellectual property;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existing regulations and regulatory developments in the United States and other jurisdictions;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general economic, industry, and market conditions, including tariffs and inflation;</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attract, hire, and retain our key personnel and additional qualified personnel;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remediate our material weaknesses in our internal control over financial reporting;</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anticipated use of our existing cash and cash equivalents and the net proceeds from this offering;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38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hanging="216"/>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other risks and uncertainties, including those listed in the section titled “Risk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prospectus.</w:t>
      </w:r>
    </w:p>
    <w:p>
      <w:pPr>
        <w:spacing w:after="0" w:line="11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87"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You should not rely upon forward-looking statements as predictions of future events. Although we believe that the expectations reflected in the forward-looking statements are reasonable, we cannot guarantee future results, performance or achievements. The forward-looking statements made in this prospectus are given only as of the date on which the statements are made. We undertake no obligation to update any of these forward-looking statements for any reason after the date of this prospectus or to conform these statements to actual results or to changes in our expectations, except as required by law.</w:t>
      </w:r>
    </w:p>
    <w:p>
      <w:pPr>
        <w:spacing w:after="0" w:line="74"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5"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60"/>
          </w:cols>
          <w:pgMar w:left="300" w:top="38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industry and other data</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This prospectus contains estimates, projections and other information concerning our industry, our business and the markets for our products, including data regarding the estimated size of those markets, their projected growth rates, the perceptions and preferences of patients and physicians regarding certain therapies and other patient data and reimbursement data, as well as market research, estimates and forecasts prepared by our management. We obtained the industry, market and other data throughout this prospectus from our own internal estimates and research, as well as from publicly available information, industry publications and research, surveys and studies conducted by third-parties, including governmental agencies. This information involves important assumptions and limitations, and you are cautioned not to give undue weight to such estimates.</w:t>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Information that is based on estimates, forecasts, projections, market research or similar methodologies is inherently subject to a high degree of uncertainty and risk, and actual events or circumstances may differ materially from events and circumstances that are assumed in this information based on various factors, including those discussed in the section titled “Risk factors.” These and other factors could cause results to differ materially from those expressed in the estimates made by the independent parties and by us.</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180"/>
          </w:cols>
          <w:pgMar w:left="300" w:top="385" w:right="4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proceeds</w:t>
      </w:r>
    </w:p>
    <w:p>
      <w:pPr>
        <w:spacing w:after="0" w:line="125" w:lineRule="exact"/>
        <w:rPr>
          <w:sz w:val="20"/>
          <w:szCs w:val="20"/>
          <w:color w:val="auto"/>
        </w:rPr>
      </w:pPr>
    </w:p>
    <w:p>
      <w:pPr>
        <w:jc w:val="both"/>
        <w:ind w:right="160"/>
        <w:spacing w:after="0" w:line="252" w:lineRule="auto"/>
        <w:rPr>
          <w:sz w:val="20"/>
          <w:szCs w:val="20"/>
          <w:color w:val="auto"/>
        </w:rPr>
      </w:pPr>
      <w:r>
        <w:rPr>
          <w:rFonts w:ascii="Arial" w:cs="Arial" w:eastAsia="Arial" w:hAnsi="Arial"/>
          <w:sz w:val="14"/>
          <w:szCs w:val="14"/>
          <w:color w:val="auto"/>
        </w:rPr>
        <w:t>We estimate that the net proceeds to us from this offering will be approximately $        million, or $        million if the underwriters exercise their option to purchase additional shares in full, based assuming an initial public offering price of $        per share, the midpoint of the estimated offering price range set forth on the cover page of this prospectus, and after deducting underwriting discounts and commissions and estimated offering expenses payable by us.</w:t>
      </w:r>
    </w:p>
    <w:p>
      <w:pPr>
        <w:spacing w:after="0" w:line="80"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Each $1.00 increase or decrease in the assumed initial public offering price of $        per share, the midpoint of the estimated offering price range set forth on the cover page of this prospectus, would increase or decrease, as applicable, net proceeds to us by $        million, assuming that the number of shares offered by us as set forth on the cover page</w:t>
      </w:r>
    </w:p>
    <w:p>
      <w:pPr>
        <w:ind w:right="60"/>
        <w:spacing w:after="0" w:line="239" w:lineRule="auto"/>
        <w:rPr>
          <w:sz w:val="20"/>
          <w:szCs w:val="20"/>
          <w:color w:val="auto"/>
        </w:rPr>
      </w:pPr>
      <w:r>
        <w:rPr>
          <w:rFonts w:ascii="Arial" w:cs="Arial" w:eastAsia="Arial" w:hAnsi="Arial"/>
          <w:sz w:val="14"/>
          <w:szCs w:val="14"/>
          <w:color w:val="auto"/>
        </w:rPr>
        <w:t>of this prospectus remains the same, and after deducting underwriting discounts and commissions and estimated offering expenses payable by us. Similarly, each increase or decrease of 1.0 million shares offered by us would increase or decrease, as applicable, net proceeds to us by approximately $        million, assuming an initial public offering price of $        per share, the midpoint of the estimated offering price range set forth on the cover page of this prospectus, and after deducting underwriting discounts and commissions and estimated offering expenses payable by us.</w:t>
      </w:r>
    </w:p>
    <w:p>
      <w:pPr>
        <w:spacing w:after="0" w:line="9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principal purposes of this offering are to increase our financial flexibility, increase our visibility in the marketplace, and create a public market for our Class A common stock. We currently intend to use the net proceeds from this offering, together with our existing cash and cash equivalents, for working capital and other general corporate purposes, including to fund our growth, research and development initiatives, technology development, working capital, and operating expenses. However, we do not currently have specific planned uses for the proceeds.</w:t>
      </w:r>
    </w:p>
    <w:p>
      <w:pPr>
        <w:spacing w:after="0" w:line="74" w:lineRule="exact"/>
        <w:rPr>
          <w:sz w:val="20"/>
          <w:szCs w:val="20"/>
          <w:color w:val="auto"/>
        </w:rPr>
      </w:pPr>
    </w:p>
    <w:p>
      <w:pPr>
        <w:ind w:right="700"/>
        <w:spacing w:after="0" w:line="269" w:lineRule="auto"/>
        <w:rPr>
          <w:sz w:val="20"/>
          <w:szCs w:val="20"/>
          <w:color w:val="auto"/>
        </w:rPr>
      </w:pPr>
      <w:r>
        <w:rPr>
          <w:rFonts w:ascii="Arial" w:cs="Arial" w:eastAsia="Arial" w:hAnsi="Arial"/>
          <w:sz w:val="14"/>
          <w:szCs w:val="14"/>
          <w:color w:val="auto"/>
        </w:rPr>
        <w:t>We may also use a portion of our net proceeds to acquire or invest in complementary products, technologies, or businesses. However, we currently have no agreements or commitments to complete any such transactions.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completion of this offering or the amounts that we will actually spend on the uses set forth above. Our management will have broad discretion over the use of the net proceeds from this offering.</w:t>
      </w:r>
    </w:p>
    <w:p>
      <w:pPr>
        <w:ind w:right="40"/>
        <w:spacing w:after="0" w:line="241" w:lineRule="auto"/>
        <w:rPr>
          <w:sz w:val="20"/>
          <w:szCs w:val="20"/>
          <w:color w:val="auto"/>
        </w:rPr>
      </w:pPr>
      <w:r>
        <w:rPr>
          <w:rFonts w:ascii="Arial" w:cs="Arial" w:eastAsia="Arial" w:hAnsi="Arial"/>
          <w:sz w:val="14"/>
          <w:szCs w:val="14"/>
          <w:color w:val="auto"/>
        </w:rPr>
        <w:t>See the section titled “Risk factors—Risks related to this offering and our Class A common stock—We will have broad discretion in the use of the net proceeds from this offering and may not use them effectively.” Pending our use of the net proceeds from this offering, we intend to invest the net proceeds in short-term, interest-bearing, investment-grade securities, certificates of deposit, or government securities.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38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policy</w:t>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We have never declared or paid any dividends on our capital stock, and we do not currently intend to pay any cash dividends on our Class A common stock and Class B common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In addition, the terms of the Note Purchase Agreement place restrictions on our ability to pay cash dividends on our capital stock. Furthermore, we may, from time to time, enter into other loan or credit agreements or similar borrowing arrangements that may further restrict our ability to declare or pay dividends on our Class A common stock and Class B 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38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cash and cash equivalents and our capitalization as of June 30, 2025:</w:t>
      </w:r>
    </w:p>
    <w:p>
      <w:pPr>
        <w:spacing w:after="0" w:line="112" w:lineRule="exact"/>
        <w:rPr>
          <w:sz w:val="20"/>
          <w:szCs w:val="20"/>
          <w:color w:val="auto"/>
        </w:rPr>
      </w:pPr>
    </w:p>
    <w:p>
      <w:pPr>
        <w:ind w:left="220" w:hanging="216"/>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11" w:lineRule="exact"/>
        <w:rPr>
          <w:rFonts w:ascii="Arial" w:cs="Arial" w:eastAsia="Arial" w:hAnsi="Arial"/>
          <w:sz w:val="14"/>
          <w:szCs w:val="14"/>
          <w:color w:val="auto"/>
        </w:rPr>
      </w:pPr>
    </w:p>
    <w:p>
      <w:pPr>
        <w:jc w:val="both"/>
        <w:ind w:left="220" w:right="200" w:hanging="216"/>
        <w:spacing w:after="0" w:line="252"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an as adjusted basis to give effect to (i) the Preferred Stock Conversion, (ii) the Reclassification, (iii) the Class B Stock Exchange, (iv) the conversion of the A-6 Warrant to a warrant to purchase common stock and the related reclassification of the warrant liability to stockholders’ equity and (v) the filing and effectiveness of our Post-IPO Certificate of Incorporation, all of which will occur immediately prior to the completion of this offering; and</w:t>
      </w:r>
    </w:p>
    <w:p>
      <w:pPr>
        <w:spacing w:after="0" w:line="80" w:lineRule="exact"/>
        <w:rPr>
          <w:sz w:val="20"/>
          <w:szCs w:val="20"/>
          <w:color w:val="auto"/>
        </w:rPr>
      </w:pPr>
    </w:p>
    <w:p>
      <w:pPr>
        <w:ind w:left="220" w:right="140" w:hanging="219"/>
        <w:spacing w:after="0" w:line="252" w:lineRule="auto"/>
        <w:tabs>
          <w:tab w:leader="none" w:pos="200" w:val="left"/>
        </w:tabs>
        <w:rPr>
          <w:sz w:val="20"/>
          <w:szCs w:val="20"/>
          <w:color w:val="auto"/>
        </w:rPr>
      </w:pPr>
      <w:r>
        <w:rPr>
          <w:rFonts w:ascii="Arial" w:cs="Arial" w:eastAsia="Arial" w:hAnsi="Arial"/>
          <w:sz w:val="14"/>
          <w:szCs w:val="14"/>
          <w:color w:val="auto"/>
        </w:rPr>
        <w:t>•</w:t>
        <w:tab/>
        <w:t>on a pro forma as adjusted basis to reflect (i) the pro forma adjustments set forth above and (ii) the issuance and sale of      shares of Class A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80" w:lineRule="exact"/>
        <w:rPr>
          <w:sz w:val="20"/>
          <w:szCs w:val="20"/>
          <w:color w:val="auto"/>
        </w:rPr>
      </w:pPr>
    </w:p>
    <w:p>
      <w:pPr>
        <w:jc w:val="both"/>
        <w:ind w:right="60"/>
        <w:spacing w:after="0" w:line="280" w:lineRule="auto"/>
        <w:rPr>
          <w:sz w:val="20"/>
          <w:szCs w:val="20"/>
          <w:color w:val="auto"/>
        </w:rPr>
      </w:pPr>
      <w:r>
        <w:rPr>
          <w:rFonts w:ascii="Arial" w:cs="Arial" w:eastAsia="Arial" w:hAnsi="Arial"/>
          <w:sz w:val="13"/>
          <w:szCs w:val="13"/>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the sections titled “Management’s discussion and analysis of financial condition and results of operations” and “Description of capital stock” and our financial statements and the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16280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As of June 30, 2025</w:t>
            </w:r>
          </w:p>
        </w:tc>
      </w:tr>
      <w:tr>
        <w:trPr>
          <w:trHeight w:val="127"/>
        </w:trPr>
        <w:tc>
          <w:tcPr>
            <w:tcW w:w="7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40"/>
              <w:spacing w:after="0" w:line="127" w:lineRule="exact"/>
              <w:rPr>
                <w:sz w:val="20"/>
                <w:szCs w:val="20"/>
                <w:color w:val="auto"/>
              </w:rPr>
            </w:pPr>
            <w:r>
              <w:rPr>
                <w:rFonts w:ascii="Arial" w:cs="Arial" w:eastAsia="Arial" w:hAnsi="Arial"/>
                <w:sz w:val="13"/>
                <w:szCs w:val="13"/>
                <w:b w:val="1"/>
                <w:bCs w:val="1"/>
                <w:color w:val="auto"/>
              </w:rPr>
              <w:t>Pro</w:t>
            </w:r>
          </w:p>
        </w:tc>
        <w:tc>
          <w:tcPr>
            <w:tcW w:w="5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27"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1"/>
                <w:szCs w:val="11"/>
                <w:color w:val="auto"/>
              </w:rPr>
            </w:pPr>
          </w:p>
        </w:tc>
      </w:tr>
      <w:tr>
        <w:trPr>
          <w:trHeight w:val="157"/>
        </w:trPr>
        <w:tc>
          <w:tcPr>
            <w:tcW w:w="7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for share and per share amounts)</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Actual</w:t>
            </w: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3"/>
                <w:szCs w:val="13"/>
                <w:b w:val="1"/>
                <w:bCs w:val="1"/>
                <w:color w:val="auto"/>
                <w:w w:val="94"/>
              </w:rPr>
              <w:t>forma</w:t>
            </w:r>
          </w:p>
        </w:tc>
        <w:tc>
          <w:tcPr>
            <w:tcW w:w="1300" w:type="dxa"/>
            <w:vAlign w:val="bottom"/>
            <w:tcBorders>
              <w:bottom w:val="single" w:sz="8" w:color="auto"/>
            </w:tcBorders>
            <w:gridSpan w:val="5"/>
          </w:tcPr>
          <w:p>
            <w:pPr>
              <w:jc w:val="right"/>
              <w:ind w:right="40"/>
              <w:spacing w:after="0" w:line="157"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18"/>
                <w:szCs w:val="18"/>
                <w:b w:val="1"/>
                <w:bCs w:val="1"/>
                <w:color w:val="auto"/>
                <w:vertAlign w:val="superscript"/>
              </w:rPr>
              <w:t>(1)</w:t>
            </w:r>
          </w:p>
        </w:tc>
      </w:tr>
      <w:tr>
        <w:trPr>
          <w:trHeight w:val="148"/>
        </w:trPr>
        <w:tc>
          <w:tcPr>
            <w:tcW w:w="738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Cash and cash equivalents</w:t>
            </w:r>
          </w:p>
        </w:tc>
        <w:tc>
          <w:tcPr>
            <w:tcW w:w="84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31"/>
              <w:spacing w:after="0" w:line="148" w:lineRule="exact"/>
              <w:rPr>
                <w:sz w:val="20"/>
                <w:szCs w:val="20"/>
                <w:color w:val="auto"/>
              </w:rPr>
            </w:pPr>
            <w:r>
              <w:rPr>
                <w:rFonts w:ascii="Arial" w:cs="Arial" w:eastAsia="Arial" w:hAnsi="Arial"/>
                <w:sz w:val="14"/>
                <w:szCs w:val="14"/>
                <w:color w:val="auto"/>
              </w:rPr>
              <w:t>188,958</w:t>
            </w:r>
          </w:p>
        </w:tc>
        <w:tc>
          <w:tcPr>
            <w:tcW w:w="420" w:type="dxa"/>
            <w:vAlign w:val="bottom"/>
            <w:shd w:val="clear" w:color="auto" w:fill="E5E5E5"/>
          </w:tcPr>
          <w:p>
            <w:pPr>
              <w:ind w:left="240"/>
              <w:spacing w:after="0" w:line="148" w:lineRule="exact"/>
              <w:rPr>
                <w:sz w:val="20"/>
                <w:szCs w:val="20"/>
                <w:color w:val="auto"/>
              </w:rPr>
            </w:pPr>
            <w:r>
              <w:rPr>
                <w:rFonts w:ascii="Arial" w:cs="Arial" w:eastAsia="Arial" w:hAnsi="Arial"/>
                <w:sz w:val="14"/>
                <w:szCs w:val="14"/>
                <w:color w:val="auto"/>
              </w:rPr>
              <w:t xml:space="preserve">$  </w:t>
            </w:r>
          </w:p>
        </w:tc>
        <w:tc>
          <w:tcPr>
            <w:tcW w:w="140" w:type="dxa"/>
            <w:vAlign w:val="bottom"/>
            <w:shd w:val="clear" w:color="auto" w:fill="E5E5E5"/>
          </w:tcPr>
          <w:p>
            <w:pPr>
              <w:ind w:left="80"/>
              <w:spacing w:after="0"/>
              <w:rPr>
                <w:sz w:val="20"/>
                <w:szCs w:val="20"/>
                <w:color w:val="auto"/>
              </w:rPr>
            </w:pPr>
            <w:r>
              <w:rPr>
                <w:rFonts w:ascii="Arial" w:cs="Arial" w:eastAsia="Arial" w:hAnsi="Arial"/>
                <w:sz w:val="5"/>
                <w:szCs w:val="5"/>
                <w:color w:val="auto"/>
                <w:w w:val="79"/>
              </w:rPr>
              <w:t> </w:t>
            </w:r>
          </w:p>
        </w:tc>
        <w:tc>
          <w:tcPr>
            <w:tcW w:w="340" w:type="dxa"/>
            <w:vAlign w:val="bottom"/>
            <w:shd w:val="clear" w:color="auto" w:fill="E5E5E5"/>
          </w:tcPr>
          <w:p>
            <w:pPr>
              <w:jc w:val="center"/>
              <w:ind w:right="143"/>
              <w:spacing w:after="0"/>
              <w:rPr>
                <w:sz w:val="20"/>
                <w:szCs w:val="20"/>
                <w:color w:val="auto"/>
              </w:rPr>
            </w:pPr>
            <w:r>
              <w:rPr>
                <w:rFonts w:ascii="Arial" w:cs="Arial" w:eastAsia="Arial" w:hAnsi="Arial"/>
                <w:sz w:val="5"/>
                <w:szCs w:val="5"/>
                <w:color w:val="auto"/>
                <w:w w:val="79"/>
              </w:rPr>
              <w:t> </w:t>
            </w:r>
          </w:p>
        </w:tc>
        <w:tc>
          <w:tcPr>
            <w:tcW w:w="560" w:type="dxa"/>
            <w:vAlign w:val="bottom"/>
            <w:shd w:val="clear" w:color="auto" w:fill="E5E5E5"/>
          </w:tcPr>
          <w:p>
            <w:pPr>
              <w:jc w:val="right"/>
              <w:ind w:right="13"/>
              <w:spacing w:after="0" w:line="148"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240"/>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E5E5E5"/>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gridSpan w:val="2"/>
            <w:shd w:val="clear" w:color="auto" w:fill="E5E5E5"/>
          </w:tcPr>
          <w:p>
            <w:pPr>
              <w:ind w:left="60"/>
              <w:spacing w:after="0" w:line="148" w:lineRule="exact"/>
              <w:rPr>
                <w:sz w:val="20"/>
                <w:szCs w:val="20"/>
                <w:color w:val="auto"/>
              </w:rPr>
            </w:pPr>
            <w:r>
              <w:rPr>
                <w:rFonts w:ascii="Arial" w:cs="Arial" w:eastAsia="Arial" w:hAnsi="Arial"/>
                <w:sz w:val="14"/>
                <w:szCs w:val="14"/>
                <w:color w:val="auto"/>
              </w:rPr>
              <w:t> </w:t>
            </w:r>
          </w:p>
        </w:tc>
      </w:tr>
      <w:tr>
        <w:trPr>
          <w:trHeight w:val="211"/>
        </w:trPr>
        <w:tc>
          <w:tcPr>
            <w:tcW w:w="7380" w:type="dxa"/>
            <w:vAlign w:val="bottom"/>
          </w:tcPr>
          <w:p>
            <w:pPr>
              <w:spacing w:after="0"/>
              <w:rPr>
                <w:sz w:val="20"/>
                <w:szCs w:val="20"/>
                <w:color w:val="auto"/>
              </w:rPr>
            </w:pPr>
            <w:r>
              <w:rPr>
                <w:rFonts w:ascii="Arial" w:cs="Arial" w:eastAsia="Arial" w:hAnsi="Arial"/>
                <w:sz w:val="14"/>
                <w:szCs w:val="14"/>
                <w:color w:val="auto"/>
              </w:rPr>
              <w:t>Long-term debt</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rPr>
              <w:t>52,072</w:t>
            </w: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43"/>
        </w:trPr>
        <w:tc>
          <w:tcPr>
            <w:tcW w:w="8220" w:type="dxa"/>
            <w:vAlign w:val="bottom"/>
            <w:gridSpan w:val="3"/>
            <w:shd w:val="clear" w:color="auto" w:fill="E5E5E5"/>
          </w:tcPr>
          <w:p>
            <w:pPr>
              <w:spacing w:after="0" w:line="143" w:lineRule="exact"/>
              <w:rPr>
                <w:sz w:val="20"/>
                <w:szCs w:val="20"/>
                <w:color w:val="auto"/>
              </w:rPr>
            </w:pPr>
            <w:r>
              <w:rPr>
                <w:rFonts w:ascii="Arial" w:cs="Arial" w:eastAsia="Arial" w:hAnsi="Arial"/>
                <w:sz w:val="14"/>
                <w:szCs w:val="14"/>
                <w:color w:val="auto"/>
              </w:rPr>
              <w:t>Redeemable convertible preferred stock, par value $0.00001 per share; 29,544,989 shares authorized, 29,084,235 shares</w:t>
            </w:r>
          </w:p>
        </w:tc>
        <w:tc>
          <w:tcPr>
            <w:tcW w:w="86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r>
      <w:tr>
        <w:trPr>
          <w:trHeight w:val="172"/>
        </w:trPr>
        <w:tc>
          <w:tcPr>
            <w:tcW w:w="73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issued and outstanding, actual; no shares authorized, issued and outstanding, pro forma and pro forma as adjusted</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31"/>
              <w:spacing w:after="0"/>
              <w:rPr>
                <w:sz w:val="20"/>
                <w:szCs w:val="20"/>
                <w:color w:val="auto"/>
              </w:rPr>
            </w:pPr>
            <w:r>
              <w:rPr>
                <w:rFonts w:ascii="Arial" w:cs="Arial" w:eastAsia="Arial" w:hAnsi="Arial"/>
                <w:sz w:val="14"/>
                <w:szCs w:val="14"/>
                <w:color w:val="auto"/>
              </w:rPr>
              <w:t>419,409</w:t>
            </w:r>
          </w:p>
        </w:tc>
        <w:tc>
          <w:tcPr>
            <w:tcW w:w="420" w:type="dxa"/>
            <w:vAlign w:val="bottom"/>
            <w:shd w:val="clear" w:color="auto" w:fill="E5E5E5"/>
          </w:tcPr>
          <w:p>
            <w:pPr>
              <w:ind w:left="240"/>
              <w:spacing w:after="0"/>
              <w:rPr>
                <w:sz w:val="20"/>
                <w:szCs w:val="20"/>
                <w:color w:val="auto"/>
              </w:rPr>
            </w:pPr>
            <w:r>
              <w:rPr>
                <w:rFonts w:ascii="Arial" w:cs="Arial" w:eastAsia="Arial" w:hAnsi="Arial"/>
                <w:sz w:val="14"/>
                <w:szCs w:val="14"/>
                <w:color w:val="auto"/>
              </w:rPr>
              <w:t xml:space="preserve">$  </w:t>
            </w:r>
          </w:p>
        </w:tc>
        <w:tc>
          <w:tcPr>
            <w:tcW w:w="140" w:type="dxa"/>
            <w:vAlign w:val="bottom"/>
            <w:shd w:val="clear" w:color="auto" w:fill="E5E5E5"/>
          </w:tcPr>
          <w:p>
            <w:pPr>
              <w:ind w:left="80"/>
              <w:spacing w:after="0"/>
              <w:rPr>
                <w:sz w:val="20"/>
                <w:szCs w:val="20"/>
                <w:color w:val="auto"/>
              </w:rPr>
            </w:pPr>
            <w:r>
              <w:rPr>
                <w:rFonts w:ascii="Arial" w:cs="Arial" w:eastAsia="Arial" w:hAnsi="Arial"/>
                <w:sz w:val="5"/>
                <w:szCs w:val="5"/>
                <w:color w:val="auto"/>
                <w:w w:val="79"/>
              </w:rPr>
              <w:t> </w:t>
            </w:r>
          </w:p>
        </w:tc>
        <w:tc>
          <w:tcPr>
            <w:tcW w:w="340" w:type="dxa"/>
            <w:vAlign w:val="bottom"/>
            <w:shd w:val="clear" w:color="auto" w:fill="E5E5E5"/>
          </w:tcPr>
          <w:p>
            <w:pPr>
              <w:jc w:val="center"/>
              <w:ind w:right="143"/>
              <w:spacing w:after="0"/>
              <w:rPr>
                <w:sz w:val="20"/>
                <w:szCs w:val="20"/>
                <w:color w:val="auto"/>
              </w:rPr>
            </w:pPr>
            <w:r>
              <w:rPr>
                <w:rFonts w:ascii="Arial" w:cs="Arial" w:eastAsia="Arial" w:hAnsi="Arial"/>
                <w:sz w:val="5"/>
                <w:szCs w:val="5"/>
                <w:color w:val="auto"/>
                <w:w w:val="79"/>
              </w:rPr>
              <w:t> </w:t>
            </w: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240"/>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E5E5E5"/>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 </w:t>
            </w:r>
          </w:p>
        </w:tc>
      </w:tr>
      <w:tr>
        <w:trPr>
          <w:trHeight w:val="211"/>
        </w:trPr>
        <w:tc>
          <w:tcPr>
            <w:tcW w:w="738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43"/>
        </w:trPr>
        <w:tc>
          <w:tcPr>
            <w:tcW w:w="7380" w:type="dxa"/>
            <w:vAlign w:val="bottom"/>
            <w:shd w:val="clear" w:color="auto" w:fill="E5E5E5"/>
          </w:tcPr>
          <w:p>
            <w:pPr>
              <w:ind w:left="140"/>
              <w:spacing w:after="0" w:line="143" w:lineRule="exact"/>
              <w:rPr>
                <w:sz w:val="20"/>
                <w:szCs w:val="20"/>
                <w:color w:val="auto"/>
              </w:rPr>
            </w:pPr>
            <w:r>
              <w:rPr>
                <w:rFonts w:ascii="Arial" w:cs="Arial" w:eastAsia="Arial" w:hAnsi="Arial"/>
                <w:sz w:val="14"/>
                <w:szCs w:val="14"/>
                <w:color w:val="auto"/>
              </w:rPr>
              <w:t xml:space="preserve">Preferred stock, par value $0.00001 per share; no shares authorized, no shares issued and outstanding, actual;     </w:t>
            </w:r>
          </w:p>
        </w:tc>
        <w:tc>
          <w:tcPr>
            <w:tcW w:w="74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r>
      <w:tr>
        <w:trPr>
          <w:trHeight w:val="172"/>
        </w:trPr>
        <w:tc>
          <w:tcPr>
            <w:tcW w:w="73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shares authorized, no shares issued and outstanding, pro forma and pro forma as adjusted</w:t>
            </w:r>
          </w:p>
        </w:tc>
        <w:tc>
          <w:tcPr>
            <w:tcW w:w="7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4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r>
      <w:tr>
        <w:trPr>
          <w:trHeight w:val="143"/>
        </w:trPr>
        <w:tc>
          <w:tcPr>
            <w:tcW w:w="822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Common stock, par value $0.00001 per share; 51,100,000 shares authorized, 11,085,044 shares issued and outstanding,</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7380" w:type="dxa"/>
            <w:vAlign w:val="bottom"/>
          </w:tcPr>
          <w:p>
            <w:pPr>
              <w:ind w:left="280"/>
              <w:spacing w:after="0"/>
              <w:rPr>
                <w:sz w:val="20"/>
                <w:szCs w:val="20"/>
                <w:color w:val="auto"/>
              </w:rPr>
            </w:pPr>
            <w:r>
              <w:rPr>
                <w:rFonts w:ascii="Arial" w:cs="Arial" w:eastAsia="Arial" w:hAnsi="Arial"/>
                <w:sz w:val="14"/>
                <w:szCs w:val="14"/>
                <w:color w:val="auto"/>
              </w:rPr>
              <w:t>actual; no shares authorized, no shares issued and outstanding, pro forma and pro forma as adjusted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3"/>
        </w:trPr>
        <w:tc>
          <w:tcPr>
            <w:tcW w:w="8220" w:type="dxa"/>
            <w:vAlign w:val="bottom"/>
            <w:gridSpan w:val="3"/>
            <w:shd w:val="clear" w:color="auto" w:fill="E5E5E5"/>
          </w:tcPr>
          <w:p>
            <w:pPr>
              <w:ind w:left="140"/>
              <w:spacing w:after="0" w:line="143" w:lineRule="exact"/>
              <w:rPr>
                <w:sz w:val="20"/>
                <w:szCs w:val="20"/>
                <w:color w:val="auto"/>
              </w:rPr>
            </w:pPr>
            <w:r>
              <w:rPr>
                <w:rFonts w:ascii="Arial" w:cs="Arial" w:eastAsia="Arial" w:hAnsi="Arial"/>
                <w:sz w:val="14"/>
                <w:szCs w:val="14"/>
                <w:color w:val="auto"/>
              </w:rPr>
              <w:t>Class A common stock, par value $0.00001 per share; no shares authorized, no shares issued and outstanding, actual;</w:t>
            </w:r>
          </w:p>
        </w:tc>
        <w:tc>
          <w:tcPr>
            <w:tcW w:w="86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r>
      <w:tr>
        <w:trPr>
          <w:trHeight w:val="157"/>
        </w:trPr>
        <w:tc>
          <w:tcPr>
            <w:tcW w:w="738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w w:val="97"/>
              </w:rPr>
              <w:t>      shares authorized, pro forma and pro forma as adjusted,       shares issued and outstanding, pro forma, and  </w:t>
            </w:r>
          </w:p>
        </w:tc>
        <w:tc>
          <w:tcPr>
            <w:tcW w:w="840" w:type="dxa"/>
            <w:vAlign w:val="bottom"/>
            <w:gridSpan w:val="2"/>
            <w:shd w:val="clear" w:color="auto" w:fill="E5E5E5"/>
          </w:tcPr>
          <w:p>
            <w:pPr>
              <w:jc w:val="right"/>
              <w:ind w:right="670"/>
              <w:spacing w:after="0"/>
              <w:rPr>
                <w:sz w:val="20"/>
                <w:szCs w:val="20"/>
                <w:color w:val="auto"/>
              </w:rPr>
            </w:pPr>
            <w:r>
              <w:rPr>
                <w:rFonts w:ascii="Arial" w:cs="Arial" w:eastAsia="Arial" w:hAnsi="Arial"/>
                <w:sz w:val="10"/>
                <w:szCs w:val="10"/>
                <w:color w:val="auto"/>
                <w:w w:val="79"/>
              </w:rPr>
              <w:t> </w:t>
            </w:r>
          </w:p>
        </w:tc>
        <w:tc>
          <w:tcPr>
            <w:tcW w:w="8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72"/>
        </w:trPr>
        <w:tc>
          <w:tcPr>
            <w:tcW w:w="73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shares issued and outstanding, pro forma as adjusted</w:t>
            </w:r>
          </w:p>
        </w:tc>
        <w:tc>
          <w:tcPr>
            <w:tcW w:w="7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r>
      <w:tr>
        <w:trPr>
          <w:trHeight w:val="143"/>
        </w:trPr>
        <w:tc>
          <w:tcPr>
            <w:tcW w:w="822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Class B common stock, par value $0.00001 per share; no shares authorized, no shares issued and outstanding, actual;</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7380" w:type="dxa"/>
            <w:vAlign w:val="bottom"/>
          </w:tcPr>
          <w:p>
            <w:pPr>
              <w:ind w:left="280"/>
              <w:spacing w:after="0"/>
              <w:rPr>
                <w:sz w:val="20"/>
                <w:szCs w:val="20"/>
                <w:color w:val="auto"/>
              </w:rPr>
            </w:pPr>
            <w:r>
              <w:rPr>
                <w:rFonts w:ascii="Arial" w:cs="Arial" w:eastAsia="Arial" w:hAnsi="Arial"/>
                <w:sz w:val="14"/>
                <w:szCs w:val="14"/>
                <w:color w:val="auto"/>
              </w:rPr>
              <w:t>      shares authorized,       shares issued and outstanding, pro forma and pro forma as adjusted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738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Additional paid-in capital</w:t>
            </w:r>
          </w:p>
        </w:tc>
        <w:tc>
          <w:tcPr>
            <w:tcW w:w="7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6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36,182</w:t>
            </w:r>
          </w:p>
        </w:tc>
        <w:tc>
          <w:tcPr>
            <w:tcW w:w="4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58"/>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Accumulated deficit</w:t>
            </w: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w w:val="96"/>
              </w:rPr>
              <w:t>(286,435)</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738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Total stockholders’ (deficit) equity</w:t>
            </w:r>
          </w:p>
        </w:tc>
        <w:tc>
          <w:tcPr>
            <w:tcW w:w="740" w:type="dxa"/>
            <w:vAlign w:val="bottom"/>
            <w:shd w:val="clear" w:color="auto" w:fill="E5E5E5"/>
          </w:tcPr>
          <w:p>
            <w:pPr>
              <w:spacing w:after="0"/>
              <w:rPr>
                <w:sz w:val="13"/>
                <w:szCs w:val="13"/>
                <w:color w:val="auto"/>
              </w:rPr>
            </w:pPr>
          </w:p>
        </w:tc>
        <w:tc>
          <w:tcPr>
            <w:tcW w:w="100" w:type="dxa"/>
            <w:vAlign w:val="bottom"/>
            <w:tcBorders>
              <w:bottom w:val="single" w:sz="8" w:color="auto"/>
            </w:tcBorders>
            <w:shd w:val="clear" w:color="auto" w:fill="E5E5E5"/>
          </w:tcPr>
          <w:p>
            <w:pPr>
              <w:spacing w:after="0"/>
              <w:rPr>
                <w:sz w:val="13"/>
                <w:szCs w:val="13"/>
                <w:color w:val="auto"/>
              </w:rPr>
            </w:pPr>
          </w:p>
        </w:tc>
        <w:tc>
          <w:tcPr>
            <w:tcW w:w="860" w:type="dxa"/>
            <w:vAlign w:val="bottom"/>
            <w:tcBorders>
              <w:bottom w:val="single" w:sz="8" w:color="auto"/>
            </w:tcBorders>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w w:val="96"/>
              </w:rPr>
              <w:t>(250,253)</w:t>
            </w:r>
          </w:p>
        </w:tc>
        <w:tc>
          <w:tcPr>
            <w:tcW w:w="420" w:type="dxa"/>
            <w:vAlign w:val="bottom"/>
            <w:tcBorders>
              <w:bottom w:val="single" w:sz="8" w:color="auto"/>
            </w:tcBorders>
            <w:shd w:val="clear" w:color="auto" w:fill="E5E5E5"/>
          </w:tcPr>
          <w:p>
            <w:pPr>
              <w:spacing w:after="0"/>
              <w:rPr>
                <w:sz w:val="13"/>
                <w:szCs w:val="13"/>
                <w:color w:val="auto"/>
              </w:rPr>
            </w:pPr>
          </w:p>
        </w:tc>
        <w:tc>
          <w:tcPr>
            <w:tcW w:w="140" w:type="dxa"/>
            <w:vAlign w:val="bottom"/>
            <w:tcBorders>
              <w:bottom w:val="single" w:sz="8" w:color="auto"/>
            </w:tcBorders>
            <w:shd w:val="clear" w:color="auto" w:fill="E5E5E5"/>
          </w:tcPr>
          <w:p>
            <w:pPr>
              <w:spacing w:after="0"/>
              <w:rPr>
                <w:sz w:val="13"/>
                <w:szCs w:val="13"/>
                <w:color w:val="auto"/>
              </w:rPr>
            </w:pPr>
          </w:p>
        </w:tc>
        <w:tc>
          <w:tcPr>
            <w:tcW w:w="340" w:type="dxa"/>
            <w:vAlign w:val="bottom"/>
            <w:tcBorders>
              <w:bottom w:val="single" w:sz="8" w:color="auto"/>
            </w:tcBorders>
            <w:shd w:val="clear" w:color="auto" w:fill="E5E5E5"/>
          </w:tcPr>
          <w:p>
            <w:pPr>
              <w:spacing w:after="0"/>
              <w:rPr>
                <w:sz w:val="13"/>
                <w:szCs w:val="13"/>
                <w:color w:val="auto"/>
              </w:rPr>
            </w:pPr>
          </w:p>
        </w:tc>
        <w:tc>
          <w:tcPr>
            <w:tcW w:w="560" w:type="dxa"/>
            <w:vAlign w:val="bottom"/>
            <w:tcBorders>
              <w:bottom w:val="single" w:sz="8" w:color="auto"/>
            </w:tcBorders>
            <w:shd w:val="clear" w:color="auto" w:fill="E5E5E5"/>
          </w:tcPr>
          <w:p>
            <w:pPr>
              <w:spacing w:after="0"/>
              <w:rPr>
                <w:sz w:val="13"/>
                <w:szCs w:val="13"/>
                <w:color w:val="auto"/>
              </w:rPr>
            </w:pPr>
          </w:p>
        </w:tc>
        <w:tc>
          <w:tcPr>
            <w:tcW w:w="320" w:type="dxa"/>
            <w:vAlign w:val="bottom"/>
            <w:tcBorders>
              <w:bottom w:val="single" w:sz="8" w:color="auto"/>
            </w:tcBorders>
            <w:shd w:val="clear" w:color="auto" w:fill="E5E5E5"/>
          </w:tcPr>
          <w:p>
            <w:pPr>
              <w:spacing w:after="0"/>
              <w:rPr>
                <w:sz w:val="13"/>
                <w:szCs w:val="13"/>
                <w:color w:val="auto"/>
              </w:rPr>
            </w:pPr>
          </w:p>
        </w:tc>
        <w:tc>
          <w:tcPr>
            <w:tcW w:w="140" w:type="dxa"/>
            <w:vAlign w:val="bottom"/>
            <w:tcBorders>
              <w:bottom w:val="single" w:sz="8" w:color="auto"/>
            </w:tcBorders>
            <w:shd w:val="clear" w:color="auto" w:fill="E5E5E5"/>
          </w:tcPr>
          <w:p>
            <w:pPr>
              <w:spacing w:after="0"/>
              <w:rPr>
                <w:sz w:val="13"/>
                <w:szCs w:val="13"/>
                <w:color w:val="auto"/>
              </w:rPr>
            </w:pPr>
          </w:p>
        </w:tc>
        <w:tc>
          <w:tcPr>
            <w:tcW w:w="240" w:type="dxa"/>
            <w:vAlign w:val="bottom"/>
            <w:tcBorders>
              <w:bottom w:val="single" w:sz="8" w:color="auto"/>
            </w:tcBorders>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r>
      <w:tr>
        <w:trPr>
          <w:trHeight w:val="175"/>
        </w:trPr>
        <w:tc>
          <w:tcPr>
            <w:tcW w:w="7380" w:type="dxa"/>
            <w:vAlign w:val="bottom"/>
          </w:tcPr>
          <w:p>
            <w:pPr>
              <w:spacing w:after="0"/>
              <w:rPr>
                <w:sz w:val="20"/>
                <w:szCs w:val="20"/>
                <w:color w:val="auto"/>
              </w:rPr>
            </w:pPr>
            <w:r>
              <w:rPr>
                <w:rFonts w:ascii="Arial" w:cs="Arial" w:eastAsia="Arial" w:hAnsi="Arial"/>
                <w:sz w:val="14"/>
                <w:szCs w:val="14"/>
                <w:color w:val="auto"/>
              </w:rPr>
              <w:t>Total capitalization</w:t>
            </w:r>
          </w:p>
        </w:tc>
        <w:tc>
          <w:tcPr>
            <w:tcW w:w="7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231"/>
              <w:spacing w:after="0"/>
              <w:rPr>
                <w:sz w:val="20"/>
                <w:szCs w:val="20"/>
                <w:color w:val="auto"/>
              </w:rPr>
            </w:pPr>
            <w:r>
              <w:rPr>
                <w:rFonts w:ascii="Arial" w:cs="Arial" w:eastAsia="Arial" w:hAnsi="Arial"/>
                <w:sz w:val="14"/>
                <w:szCs w:val="14"/>
                <w:color w:val="auto"/>
              </w:rPr>
              <w:t>221,228</w:t>
            </w:r>
          </w:p>
        </w:tc>
        <w:tc>
          <w:tcPr>
            <w:tcW w:w="420" w:type="dxa"/>
            <w:vAlign w:val="bottom"/>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1"/>
        </w:trPr>
        <w:tc>
          <w:tcPr>
            <w:tcW w:w="7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76"/>
        </w:trPr>
        <w:tc>
          <w:tcPr>
            <w:tcW w:w="7380" w:type="dxa"/>
            <w:vAlign w:val="bottom"/>
          </w:tcPr>
          <w:p>
            <w:pPr>
              <w:ind w:left="5560"/>
              <w:spacing w:after="0"/>
              <w:rPr>
                <w:sz w:val="20"/>
                <w:szCs w:val="20"/>
                <w:color w:val="auto"/>
              </w:rPr>
            </w:pPr>
            <w:r>
              <w:rPr>
                <w:rFonts w:ascii="Arial" w:cs="Arial" w:eastAsia="Arial" w:hAnsi="Arial"/>
                <w:sz w:val="14"/>
                <w:szCs w:val="14"/>
                <w:color w:val="auto"/>
              </w:rPr>
              <w:t>84</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1280"/>
          </w:cols>
          <w:pgMar w:left="300" w:top="38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9" w:lineRule="exact"/>
        <w:rPr>
          <w:sz w:val="20"/>
          <w:szCs w:val="20"/>
          <w:color w:val="auto"/>
        </w:rPr>
      </w:pPr>
    </w:p>
    <w:p>
      <w:pPr>
        <w:ind w:left="440" w:hanging="436"/>
        <w:spacing w:after="0"/>
        <w:tabs>
          <w:tab w:leader="none" w:pos="4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Each $1.00 increase or decrease in the assumed initial public offering price of $            per share, the midpoint of the estimated offering price range set forth on the cover page of this prospectus, would increase or</w:t>
      </w:r>
    </w:p>
    <w:p>
      <w:pPr>
        <w:spacing w:after="0" w:line="9" w:lineRule="exact"/>
        <w:rPr>
          <w:sz w:val="20"/>
          <w:szCs w:val="20"/>
          <w:color w:val="auto"/>
        </w:rPr>
      </w:pPr>
    </w:p>
    <w:p>
      <w:pPr>
        <w:ind w:left="440" w:right="140"/>
        <w:spacing w:after="0" w:line="244" w:lineRule="auto"/>
        <w:rPr>
          <w:sz w:val="20"/>
          <w:szCs w:val="20"/>
          <w:color w:val="auto"/>
        </w:rPr>
      </w:pPr>
      <w:r>
        <w:rPr>
          <w:rFonts w:ascii="Arial" w:cs="Arial" w:eastAsia="Arial" w:hAnsi="Arial"/>
          <w:sz w:val="11"/>
          <w:szCs w:val="11"/>
          <w:color w:val="auto"/>
        </w:rPr>
        <w:t>decrease, as applicable, pro forma as adjusted cash and cash equivalents, additional paid-in capital, total stockholders’ (deficit) equity and total capitalization by approximately $        million, assuming that the number of shares offered by us, as set forth on the cover page of this prospectus, remains the same, and after deducting underwriting discounts and commissions and estimated offering expenses payable by us. Similarly, each 1.0 million share increase or decrease in the number of shares offered by us would increase or decrease, as applicable, pro forma as adjusted cash and cash equivalents, additional paid-in capital, total stockholders’ (deficit) equity and total capitalization by approximately $        million, assuming that the assumed initial offering price to the public remains the same, and after deducting underwriting discounts and commissions and estimated offering expenses payable by us.</w:t>
      </w:r>
    </w:p>
    <w:p>
      <w:pPr>
        <w:spacing w:after="0" w:line="73" w:lineRule="exact"/>
        <w:rPr>
          <w:sz w:val="20"/>
          <w:szCs w:val="20"/>
          <w:color w:val="auto"/>
        </w:rPr>
      </w:pPr>
    </w:p>
    <w:p>
      <w:pPr>
        <w:jc w:val="both"/>
        <w:ind w:right="40"/>
        <w:spacing w:after="0" w:line="252" w:lineRule="auto"/>
        <w:rPr>
          <w:sz w:val="20"/>
          <w:szCs w:val="20"/>
          <w:color w:val="auto"/>
        </w:rPr>
      </w:pPr>
      <w:r>
        <w:rPr>
          <w:rFonts w:ascii="Arial" w:cs="Arial" w:eastAsia="Arial" w:hAnsi="Arial"/>
          <w:sz w:val="14"/>
          <w:szCs w:val="14"/>
          <w:color w:val="auto"/>
        </w:rPr>
        <w:t>The number of shares of our common stock issued and outstanding, pro forma and pro forma as adjusted, in the table above is based on 35,616,629 shares of our Class A common stock and 4,552,650 shares of our Class B common stock outstanding as of June 30, 2025, after giving effect to the Preferred Stock Conversion, the Reclassification and the Class B Stock Exchange, in each case as if they had occurred on June 30, 2025, and excludes:</w:t>
      </w:r>
    </w:p>
    <w:p>
      <w:pPr>
        <w:spacing w:after="0" w:line="80" w:lineRule="exact"/>
        <w:rPr>
          <w:sz w:val="20"/>
          <w:szCs w:val="20"/>
          <w:color w:val="auto"/>
        </w:rPr>
      </w:pPr>
    </w:p>
    <w:p>
      <w:pPr>
        <w:ind w:left="220" w:right="40" w:hanging="216"/>
        <w:spacing w:after="0" w:line="269" w:lineRule="auto"/>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8,930,919 shares of our Class A common stock issuable upon the exercise of stock options outstanding as of June 30, 2025 under our 2018 Plan, at a weighted-average exercise price of $10.59 per share;</w:t>
      </w:r>
    </w:p>
    <w:p>
      <w:pPr>
        <w:spacing w:after="0" w:line="69" w:lineRule="exact"/>
        <w:rPr>
          <w:rFonts w:ascii="Arial" w:cs="Arial" w:eastAsia="Arial" w:hAnsi="Arial"/>
          <w:sz w:val="14"/>
          <w:szCs w:val="14"/>
          <w:color w:val="auto"/>
        </w:rPr>
      </w:pPr>
    </w:p>
    <w:p>
      <w:pPr>
        <w:ind w:left="220" w:right="40" w:hanging="216"/>
        <w:spacing w:after="0" w:line="269" w:lineRule="auto"/>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1,224,549 shares of our Class A common stock issuable upon the exercise of outstanding stock options that were granted subsequent to June 30, 2025 under our 2018 Plan, at a weighted-average exercise price of $28.88 per share;</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 to 9,660 shares of our Class A common stock issuable upon the exercise of the A-6 Warrant for an exercise price of $2.5879 per share;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 to 80,357 shares of our Class A common stock issuable upon the exercise of the 2021 Common Warrant for an exercise price of $2.80 per share;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 to 41,209 shares of our Class A common stock issuable upon the exercise of the 2022 Common Warrant for an exercise price of $10.92 per share;</w:t>
      </w:r>
    </w:p>
    <w:p>
      <w:pPr>
        <w:spacing w:after="0" w:line="112" w:lineRule="exact"/>
        <w:rPr>
          <w:sz w:val="20"/>
          <w:szCs w:val="20"/>
          <w:color w:val="auto"/>
        </w:rPr>
      </w:pPr>
    </w:p>
    <w:p>
      <w:pPr>
        <w:ind w:left="220" w:hanging="219"/>
        <w:spacing w:after="0" w:line="269" w:lineRule="auto"/>
        <w:tabs>
          <w:tab w:leader="none" w:pos="200" w:val="left"/>
        </w:tabs>
        <w:rPr>
          <w:sz w:val="20"/>
          <w:szCs w:val="20"/>
          <w:color w:val="auto"/>
        </w:rPr>
      </w:pPr>
      <w:r>
        <w:rPr>
          <w:rFonts w:ascii="Arial" w:cs="Arial" w:eastAsia="Arial" w:hAnsi="Arial"/>
          <w:sz w:val="14"/>
          <w:szCs w:val="14"/>
          <w:color w:val="auto"/>
        </w:rPr>
        <w:t>•</w:t>
        <w:tab/>
        <w:t>        shares of our Class A common stock reserved for future issuance under our 2025 Plan, which will become effective upon the effectiveness of the registration statement of which this prospectus forms a part, as well as any future increases in the number of shares of our Class A common stock reserved for issuance under the 2025 Plan; and</w:t>
      </w:r>
    </w:p>
    <w:p>
      <w:pPr>
        <w:spacing w:after="0" w:line="69" w:lineRule="exact"/>
        <w:rPr>
          <w:sz w:val="20"/>
          <w:szCs w:val="20"/>
          <w:color w:val="auto"/>
        </w:rPr>
      </w:pPr>
    </w:p>
    <w:p>
      <w:pPr>
        <w:ind w:left="220" w:right="300" w:hanging="216"/>
        <w:spacing w:after="0" w:line="269" w:lineRule="auto"/>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              shares of our Class A common stock reserved for future issuance under the ESPP, which will become effective upon the effectiveness of the registration statement of which this prospectus forms a part, as well as any future increases in the number of shares of our Class A common stock reserved for issuance under the ESPP.</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40"/>
          </w:cols>
          <w:pgMar w:left="300" w:top="38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Dilution</w:t>
      </w:r>
    </w:p>
    <w:p>
      <w:pPr>
        <w:spacing w:after="0" w:line="12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w:t>
      </w:r>
    </w:p>
    <w:p>
      <w:pPr>
        <w:spacing w:after="0" w:line="69"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Our historical net tangible book value (deficit) as of June 30, 2025 was $(249) million, or $(22.46) per share. Our historical net tangible book value (deficit) per share represents our total tangible assets less our total liabilities and redeemable convertible preferred stock (which is not included within stockholders’ (deficit) equity), divided by the number of shares of common stock outstanding as of June 30, 2025.</w:t>
      </w:r>
    </w:p>
    <w:p>
      <w:pPr>
        <w:spacing w:after="0" w:line="8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Our pro forma net tangible book value as of June 30, 2025, was $        million, or $        per share. Our pro forma net tangible book value per share represents our total tangible assets less our total liabilities, divided by the number of shares of Class A and Class B common stock outstanding as of June 30, 2025, after giving effect to: (i) the Preferred Stock Conversion, (ii) the conversion of the A-6 Warrant to a warrant to purchase common stock and the related reclassification of the warrant liability to stockholders’ equity, and (iii) the filing and effectiveness of our Post-IPO Certificate of Incorporation, all of which will occur immediately prior to the completion of this offering.</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Our pro forma as adjusted net tangible book value represents our pro forma net tangible book value after giving further effect to the sale of        shares of Class A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 Our pro forma as adjusted net tangible book value as of June 30, 2025, was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        million, or $        per share. This amount represents an immediate increase in pro forma as adjusted net tangible book value of $        per share to our existing stockholders and an immediate dilution of $        per share to new investors participating in this offering. We 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this dilution on a per share basis to new investors (without giving effect to any exercise by the underwriters of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shd w:val="clear" w:color="auto" w:fill="E5E5E5"/>
          </w:tcPr>
          <w:p>
            <w:pPr>
              <w:spacing w:after="0"/>
              <w:rPr>
                <w:sz w:val="20"/>
                <w:szCs w:val="20"/>
                <w:color w:val="auto"/>
              </w:rPr>
            </w:pPr>
            <w:r>
              <w:rPr>
                <w:rFonts w:ascii="Arial" w:cs="Arial" w:eastAsia="Arial" w:hAnsi="Arial"/>
                <w:sz w:val="14"/>
                <w:szCs w:val="14"/>
                <w:color w:val="auto"/>
              </w:rPr>
              <w:t>Assumed initial public offering price per share</w:t>
            </w:r>
          </w:p>
        </w:tc>
        <w:tc>
          <w:tcPr>
            <w:tcW w:w="140" w:type="dxa"/>
            <w:vAlign w:val="bottom"/>
            <w:shd w:val="clear" w:color="auto" w:fill="E5E5E5"/>
          </w:tcPr>
          <w:p>
            <w:pPr>
              <w:spacing w:after="0"/>
              <w:rPr>
                <w:sz w:val="14"/>
                <w:szCs w:val="14"/>
                <w:color w:val="auto"/>
              </w:rPr>
            </w:pPr>
          </w:p>
        </w:tc>
        <w:tc>
          <w:tcPr>
            <w:tcW w:w="1000" w:type="dxa"/>
            <w:vAlign w:val="bottom"/>
            <w:gridSpan w:val="3"/>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 xml:space="preserve">          </w:t>
            </w:r>
          </w:p>
        </w:tc>
      </w:tr>
      <w:tr>
        <w:trPr>
          <w:trHeight w:val="157"/>
        </w:trPr>
        <w:tc>
          <w:tcPr>
            <w:tcW w:w="9360" w:type="dxa"/>
            <w:vAlign w:val="bottom"/>
          </w:tcPr>
          <w:p>
            <w:pPr>
              <w:ind w:left="140"/>
              <w:spacing w:after="0" w:line="157" w:lineRule="exact"/>
              <w:rPr>
                <w:sz w:val="20"/>
                <w:szCs w:val="20"/>
                <w:color w:val="auto"/>
              </w:rPr>
            </w:pPr>
            <w:r>
              <w:rPr>
                <w:rFonts w:ascii="Arial" w:cs="Arial" w:eastAsia="Arial" w:hAnsi="Arial"/>
                <w:sz w:val="14"/>
                <w:szCs w:val="14"/>
                <w:color w:val="auto"/>
              </w:rPr>
              <w:t>Historical net tangible book value (deficit) per share as of June 30, 2025</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(22.46)</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3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Increase in net tangible book value per share as of June 30, 2025 attributable to the pro forma adjustments described above</w:t>
            </w:r>
          </w:p>
        </w:tc>
        <w:tc>
          <w:tcPr>
            <w:tcW w:w="140" w:type="dxa"/>
            <w:vAlign w:val="bottom"/>
            <w:tcBorders>
              <w:bottom w:val="single" w:sz="8" w:color="auto"/>
            </w:tcBorders>
            <w:shd w:val="clear" w:color="auto" w:fill="E5E5E5"/>
          </w:tcPr>
          <w:p>
            <w:pPr>
              <w:spacing w:after="0"/>
              <w:rPr>
                <w:sz w:val="13"/>
                <w:szCs w:val="13"/>
                <w:color w:val="auto"/>
              </w:rPr>
            </w:pPr>
          </w:p>
        </w:tc>
        <w:tc>
          <w:tcPr>
            <w:tcW w:w="480" w:type="dxa"/>
            <w:vAlign w:val="bottom"/>
            <w:tcBorders>
              <w:bottom w:val="single" w:sz="8" w:color="auto"/>
            </w:tcBorders>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r>
      <w:tr>
        <w:trPr>
          <w:trHeight w:val="158"/>
        </w:trPr>
        <w:tc>
          <w:tcPr>
            <w:tcW w:w="9360" w:type="dxa"/>
            <w:vAlign w:val="bottom"/>
          </w:tcPr>
          <w:p>
            <w:pPr>
              <w:ind w:left="140"/>
              <w:spacing w:after="0" w:line="159" w:lineRule="exact"/>
              <w:rPr>
                <w:sz w:val="20"/>
                <w:szCs w:val="20"/>
                <w:color w:val="auto"/>
              </w:rPr>
            </w:pPr>
            <w:r>
              <w:rPr>
                <w:rFonts w:ascii="Arial" w:cs="Arial" w:eastAsia="Arial" w:hAnsi="Arial"/>
                <w:sz w:val="14"/>
                <w:szCs w:val="14"/>
                <w:color w:val="auto"/>
              </w:rPr>
              <w:t>Pro forma net tangible book value per share as of June 30, 2025</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36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Increase in pro forma net tangible book value per share attributable to new investors participating in this offering</w:t>
            </w:r>
          </w:p>
        </w:tc>
        <w:tc>
          <w:tcPr>
            <w:tcW w:w="140" w:type="dxa"/>
            <w:vAlign w:val="bottom"/>
            <w:tcBorders>
              <w:bottom w:val="single" w:sz="8" w:color="auto"/>
            </w:tcBorders>
            <w:shd w:val="clear" w:color="auto" w:fill="E5E5E5"/>
          </w:tcPr>
          <w:p>
            <w:pPr>
              <w:spacing w:after="0"/>
              <w:rPr>
                <w:sz w:val="13"/>
                <w:szCs w:val="13"/>
                <w:color w:val="auto"/>
              </w:rPr>
            </w:pPr>
          </w:p>
        </w:tc>
        <w:tc>
          <w:tcPr>
            <w:tcW w:w="480" w:type="dxa"/>
            <w:vAlign w:val="bottom"/>
            <w:tcBorders>
              <w:bottom w:val="single" w:sz="8" w:color="auto"/>
            </w:tcBorders>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r>
      <w:tr>
        <w:trPr>
          <w:trHeight w:val="159"/>
        </w:trPr>
        <w:tc>
          <w:tcPr>
            <w:tcW w:w="9360" w:type="dxa"/>
            <w:vAlign w:val="bottom"/>
          </w:tcPr>
          <w:p>
            <w:pPr>
              <w:spacing w:after="0" w:line="159" w:lineRule="exact"/>
              <w:rPr>
                <w:sz w:val="20"/>
                <w:szCs w:val="20"/>
                <w:color w:val="auto"/>
              </w:rPr>
            </w:pPr>
            <w:r>
              <w:rPr>
                <w:rFonts w:ascii="Arial" w:cs="Arial" w:eastAsia="Arial" w:hAnsi="Arial"/>
                <w:sz w:val="14"/>
                <w:szCs w:val="14"/>
                <w:color w:val="auto"/>
              </w:rPr>
              <w:t>Pro forma as adjusted net tangible book value per share after this offering</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3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Dilution per share to new investors purchasing Class A common stock in this offering</w:t>
            </w:r>
          </w:p>
        </w:tc>
        <w:tc>
          <w:tcPr>
            <w:tcW w:w="140" w:type="dxa"/>
            <w:vAlign w:val="bottom"/>
            <w:shd w:val="clear" w:color="auto" w:fill="E5E5E5"/>
          </w:tcPr>
          <w:p>
            <w:pPr>
              <w:spacing w:after="0"/>
              <w:rPr>
                <w:sz w:val="13"/>
                <w:szCs w:val="13"/>
                <w:color w:val="auto"/>
              </w:rPr>
            </w:pPr>
          </w:p>
        </w:tc>
        <w:tc>
          <w:tcPr>
            <w:tcW w:w="1000" w:type="dxa"/>
            <w:vAlign w:val="bottom"/>
            <w:gridSpan w:val="3"/>
            <w:shd w:val="clear" w:color="auto" w:fill="E5E5E5"/>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27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2795" cy="6350"/>
                    </a:xfrm>
                    <a:prstGeom prst="rect">
                      <a:avLst/>
                    </a:prstGeom>
                    <a:noFill/>
                  </pic:spPr>
                </pic:pic>
              </a:graphicData>
            </a:graphic>
          </wp:anchor>
        </w:drawing>
      </w:r>
    </w:p>
    <w:p>
      <w:pPr>
        <w:spacing w:after="0" w:line="238" w:lineRule="exact"/>
        <w:rPr>
          <w:sz w:val="20"/>
          <w:szCs w:val="20"/>
          <w:color w:val="auto"/>
        </w:rPr>
      </w:pPr>
    </w:p>
    <w:p>
      <w:pPr>
        <w:jc w:val="center"/>
        <w:ind w:right="460"/>
        <w:spacing w:after="0" w:line="441" w:lineRule="auto"/>
        <w:rPr>
          <w:sz w:val="20"/>
          <w:szCs w:val="20"/>
          <w:color w:val="auto"/>
        </w:rPr>
      </w:pPr>
      <w:r>
        <w:rPr>
          <w:rFonts w:ascii="Arial" w:cs="Arial" w:eastAsia="Arial" w:hAnsi="Arial"/>
          <w:sz w:val="14"/>
          <w:szCs w:val="14"/>
          <w:color w:val="auto"/>
        </w:rPr>
        <w:t>The dilution information discussed above is illustrative only and will change based on the actual initial public offering price and other terms of this offering determined at pricing. 86</w:t>
      </w:r>
    </w:p>
    <w:p>
      <w:pPr>
        <w:sectPr>
          <w:pgSz w:w="11900" w:h="16838" w:orient="portrait"/>
          <w:cols w:equalWidth="0" w:num="1">
            <w:col w:w="11280"/>
          </w:cols>
          <w:pgMar w:left="300" w:top="38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Each $1.00 increase or decrease in the assumed initial public offering price of $        per share, the midpoint of the estimated offering price range set forth on the cover page of this prospectus, would increase or decrease, as applicable, the pro forma as adjusted net tangible book value per share by $        per share and the dilution per share to investors participating in this offering by $        per share, assuming that the number of shares offered by us, as set forth on the cover page of this prospectus, remains the same and after deducting underwriting discounts and commissions and estimated offering expenses payable by us. Similarly, each 1.0 million share increase in the number of shares offered by us, as set forth on the cover page of this prospectus, would increase the pro forma as adjusted net tangible book value per share by $        and decrease the dilution per share to investors participating in this offering by approximately $        , assuming the assumed initial public offering price of $        per share, the midpoint of the estimated offering price range set forth on the cover page of this prospectus, remains the same and after deducting underwriting discounts and commissions and estimated offering expenses payable by us. Each 1.0 million share decrease in the number of shares offered by us, as set forth on the cover page of this prospectus, would decrease the pro forma as adjusted net tangible</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color w:val="auto"/>
        </w:rPr>
        <w:t>book value per share after this offering by $        and increase the dilution per share to new investors participating in this offering by approximately $        , assuming the assumed initial public offering price of $        per share, the midpoint of the estimated offering price range set forth on the cover page of this prospectus, remains the same and after deducting underwriting discounts and commissions and estimated offering expenses payable by us.</w:t>
      </w:r>
    </w:p>
    <w:p>
      <w:pPr>
        <w:spacing w:after="0" w:line="78"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If the underwriters exercise their option to purchase up to        additional shares in full, the pro forma as adjusted net tangible book value of our Class A common stock would increase to $        per share, representing an immediate increase in the pro forma net tangible book value per share to existing stockholders of $        per share and an immediate dilution of $        per share to investors participating in this offering, based on the assumed initial public offering price of $        per share, which is the midpoint of the estimated price range set forth on the cover page of this prospectus, and after deducting underwriting discounts and commissions and estimated offering expenses payable by us.</w:t>
      </w:r>
    </w:p>
    <w:p>
      <w:pPr>
        <w:spacing w:after="0" w:line="85"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following table summarizes, as of June 30, 2025, on the pro forma as adjusted basis described above, the number of shares of our Class A common stock, the total consideration and the average price per share (i) paid to us by our existing stockholders and (ii) to be paid by investors purchasing shares of our Class A common stock in this offering at an assumed initial public offering price of $        per share, the midpoint of the estimated offering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16280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spacing w:after="0"/>
              <w:rPr>
                <w:sz w:val="14"/>
                <w:szCs w:val="14"/>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4"/>
                <w:szCs w:val="14"/>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Total consideration</w:t>
            </w:r>
          </w:p>
        </w:tc>
        <w:tc>
          <w:tcPr>
            <w:tcW w:w="3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31"/>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2"/>
            <w:vMerge w:val="restart"/>
          </w:tcPr>
          <w:p>
            <w:pPr>
              <w:jc w:val="right"/>
              <w:ind w:right="40"/>
              <w:spacing w:after="0" w:line="126"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540" w:type="dxa"/>
            <w:vAlign w:val="bottom"/>
          </w:tcPr>
          <w:p>
            <w:pPr>
              <w:spacing w:after="0" w:line="147" w:lineRule="exact"/>
              <w:rPr>
                <w:sz w:val="20"/>
                <w:szCs w:val="20"/>
                <w:color w:val="auto"/>
              </w:rPr>
            </w:pPr>
            <w:r>
              <w:rPr>
                <w:rFonts w:ascii="Arial" w:cs="Arial" w:eastAsia="Arial" w:hAnsi="Arial"/>
                <w:sz w:val="13"/>
                <w:szCs w:val="13"/>
                <w:b w:val="1"/>
                <w:bCs w:val="1"/>
                <w:color w:val="auto"/>
              </w:rPr>
              <w:t>(in thousands, except share and per share data and</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price per</w:t>
            </w:r>
          </w:p>
        </w:tc>
        <w:tc>
          <w:tcPr>
            <w:tcW w:w="0" w:type="dxa"/>
            <w:vAlign w:val="bottom"/>
          </w:tcPr>
          <w:p>
            <w:pPr>
              <w:spacing w:after="0"/>
              <w:rPr>
                <w:sz w:val="1"/>
                <w:szCs w:val="1"/>
                <w:color w:val="auto"/>
              </w:rPr>
            </w:pPr>
          </w:p>
        </w:tc>
      </w:tr>
      <w:tr>
        <w:trPr>
          <w:trHeight w:val="157"/>
        </w:trPr>
        <w:tc>
          <w:tcPr>
            <w:tcW w:w="6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percentages)</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Number</w:t>
            </w: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Percent</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Percent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148"/>
        </w:trPr>
        <w:tc>
          <w:tcPr>
            <w:tcW w:w="654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Existing stockholders</w:t>
            </w:r>
          </w:p>
        </w:tc>
        <w:tc>
          <w:tcPr>
            <w:tcW w:w="760" w:type="dxa"/>
            <w:vAlign w:val="bottom"/>
            <w:shd w:val="clear" w:color="auto" w:fill="E5E5E5"/>
          </w:tcPr>
          <w:p>
            <w:pPr>
              <w:spacing w:after="0"/>
              <w:rPr>
                <w:sz w:val="12"/>
                <w:szCs w:val="12"/>
                <w:color w:val="auto"/>
              </w:rPr>
            </w:pPr>
          </w:p>
        </w:tc>
        <w:tc>
          <w:tcPr>
            <w:tcW w:w="1060" w:type="dxa"/>
            <w:vAlign w:val="bottom"/>
            <w:gridSpan w:val="2"/>
            <w:shd w:val="clear" w:color="auto" w:fill="E5E5E5"/>
          </w:tcPr>
          <w:p>
            <w:pPr>
              <w:jc w:val="right"/>
              <w:ind w:right="380"/>
              <w:spacing w:after="0" w:line="148" w:lineRule="exact"/>
              <w:rPr>
                <w:sz w:val="20"/>
                <w:szCs w:val="20"/>
                <w:color w:val="auto"/>
              </w:rPr>
            </w:pPr>
            <w:r>
              <w:rPr>
                <w:rFonts w:ascii="Arial" w:cs="Arial" w:eastAsia="Arial" w:hAnsi="Arial"/>
                <w:sz w:val="14"/>
                <w:szCs w:val="14"/>
                <w:color w:val="auto"/>
              </w:rPr>
              <w:t>   %</w:t>
            </w:r>
          </w:p>
        </w:tc>
        <w:tc>
          <w:tcPr>
            <w:tcW w:w="14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E5E5E5"/>
          </w:tcPr>
          <w:p>
            <w:pPr>
              <w:ind w:left="40"/>
              <w:spacing w:after="0" w:line="148" w:lineRule="exact"/>
              <w:rPr>
                <w:sz w:val="20"/>
                <w:szCs w:val="20"/>
                <w:color w:val="auto"/>
              </w:rPr>
            </w:pPr>
            <w:r>
              <w:rPr>
                <w:rFonts w:ascii="Arial" w:cs="Arial" w:eastAsia="Arial" w:hAnsi="Arial"/>
                <w:sz w:val="14"/>
                <w:szCs w:val="14"/>
                <w:color w:val="auto"/>
              </w:rPr>
              <w:t xml:space="preserve">          </w:t>
            </w:r>
          </w:p>
        </w:tc>
        <w:tc>
          <w:tcPr>
            <w:tcW w:w="880" w:type="dxa"/>
            <w:vAlign w:val="bottom"/>
            <w:gridSpan w:val="2"/>
            <w:shd w:val="clear" w:color="auto" w:fill="E5E5E5"/>
          </w:tcPr>
          <w:p>
            <w:pPr>
              <w:jc w:val="right"/>
              <w:ind w:right="180"/>
              <w:spacing w:after="0" w:line="148" w:lineRule="exact"/>
              <w:rPr>
                <w:sz w:val="20"/>
                <w:szCs w:val="20"/>
                <w:color w:val="auto"/>
              </w:rPr>
            </w:pPr>
            <w:r>
              <w:rPr>
                <w:rFonts w:ascii="Arial" w:cs="Arial" w:eastAsia="Arial" w:hAnsi="Arial"/>
                <w:sz w:val="14"/>
                <w:szCs w:val="14"/>
                <w:color w:val="auto"/>
              </w:rPr>
              <w:t>   %</w:t>
            </w:r>
          </w:p>
        </w:tc>
        <w:tc>
          <w:tcPr>
            <w:tcW w:w="32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5E5E5"/>
          </w:tcPr>
          <w:p>
            <w:pPr>
              <w:ind w:left="80"/>
              <w:spacing w:after="0" w:line="148" w:lineRule="exact"/>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58"/>
        </w:trPr>
        <w:tc>
          <w:tcPr>
            <w:tcW w:w="6540" w:type="dxa"/>
            <w:vAlign w:val="bottom"/>
          </w:tcPr>
          <w:p>
            <w:pPr>
              <w:spacing w:after="0" w:line="157" w:lineRule="exact"/>
              <w:rPr>
                <w:sz w:val="20"/>
                <w:szCs w:val="20"/>
                <w:color w:val="auto"/>
              </w:rPr>
            </w:pPr>
            <w:r>
              <w:rPr>
                <w:rFonts w:ascii="Arial" w:cs="Arial" w:eastAsia="Arial" w:hAnsi="Arial"/>
                <w:sz w:val="14"/>
                <w:szCs w:val="14"/>
                <w:color w:val="auto"/>
              </w:rPr>
              <w:t>New investors</w:t>
            </w:r>
          </w:p>
        </w:tc>
        <w:tc>
          <w:tcPr>
            <w:tcW w:w="7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4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Total</w:t>
            </w:r>
          </w:p>
        </w:tc>
        <w:tc>
          <w:tcPr>
            <w:tcW w:w="76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100%</w:t>
            </w:r>
          </w:p>
        </w:tc>
        <w:tc>
          <w:tcPr>
            <w:tcW w:w="1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E5E5E5"/>
          </w:tcPr>
          <w:p>
            <w:pPr>
              <w:spacing w:after="0"/>
              <w:rPr>
                <w:sz w:val="13"/>
                <w:szCs w:val="13"/>
                <w:color w:val="auto"/>
              </w:rPr>
            </w:pPr>
          </w:p>
        </w:tc>
        <w:tc>
          <w:tcPr>
            <w:tcW w:w="8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100%</w:t>
            </w:r>
          </w:p>
        </w:tc>
        <w:tc>
          <w:tcPr>
            <w:tcW w:w="32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presentation in this table regarding ownership by existing stockholders does not give effect to any purchases that existing stockholders may make through our directed share program or otherwise purchase in this offering. If the underwriters exercise their option to purchase additional shares of Class A common stock in full, the number of shares held by the existing stockholders after this offering would be reduced to         shares, or  % of the total number of shares of our Class A common stock outstanding after this offering, and the number of shares held by new investors would increase to        shares, or        % of the total number of shares of our Class A common stock outstanding after this offering.</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38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40"/>
        <w:spacing w:after="0" w:line="252" w:lineRule="auto"/>
        <w:rPr>
          <w:sz w:val="20"/>
          <w:szCs w:val="20"/>
          <w:color w:val="auto"/>
        </w:rPr>
      </w:pPr>
      <w:r>
        <w:rPr>
          <w:rFonts w:ascii="Arial" w:cs="Arial" w:eastAsia="Arial" w:hAnsi="Arial"/>
          <w:sz w:val="14"/>
          <w:szCs w:val="14"/>
          <w:color w:val="auto"/>
        </w:rPr>
        <w:t>The foregoing discussion and calculations above (other than the historical net tangible book value calculations) are based on 35,616,629 shares of our Class A common stock and 4,552,650 shares of our Class B common stock outstanding as of June 30, 2025, after giving effect to the Preferred Stock Conversion, the Reclassification and the Class B Stock Exchange, in each case as if they had occurred on June 30, 2025, and excludes:</w:t>
      </w:r>
    </w:p>
    <w:p>
      <w:pPr>
        <w:spacing w:after="0" w:line="80" w:lineRule="exact"/>
        <w:rPr>
          <w:sz w:val="20"/>
          <w:szCs w:val="20"/>
          <w:color w:val="auto"/>
        </w:rPr>
      </w:pPr>
    </w:p>
    <w:p>
      <w:pPr>
        <w:ind w:left="220" w:right="60" w:hanging="216"/>
        <w:spacing w:after="0" w:line="269" w:lineRule="auto"/>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8,930,919 shares of our Class A common stock issuable upon the exercise of stock options outstanding as of June 30, 2025 under our 2018 Plan, at a weighted-average exercise price of $10.59 per share;</w:t>
      </w:r>
    </w:p>
    <w:p>
      <w:pPr>
        <w:spacing w:after="0" w:line="69" w:lineRule="exact"/>
        <w:rPr>
          <w:rFonts w:ascii="Arial" w:cs="Arial" w:eastAsia="Arial" w:hAnsi="Arial"/>
          <w:sz w:val="14"/>
          <w:szCs w:val="14"/>
          <w:color w:val="auto"/>
        </w:rPr>
      </w:pPr>
    </w:p>
    <w:p>
      <w:pPr>
        <w:ind w:left="220" w:right="60" w:hanging="216"/>
        <w:spacing w:after="0" w:line="269" w:lineRule="auto"/>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1,224,549 shares of our Class A common stock issuable upon the exercise of outstanding stock options that were granted subsequent to June 30, 2025 under our 2018 Plan, at a weighted-average exercise price of $28.88 per share;</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up to 9,660 shares of our Class A common stock issuable upon the exercise of the A-6 Warrant for an exercise price of $2.5879 per share;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up to 80,357 shares of our Class A common stock issuable upon the exercise of the 2021 Common Warrant for an exercise price of $2.80 per share;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up to 41,209 shares of our Class A common stock issuable upon the exercise of the 2022 Common Warrant for an exercise price of $10.92 per share;</w:t>
      </w:r>
    </w:p>
    <w:p>
      <w:pPr>
        <w:sectPr>
          <w:pgSz w:w="11900" w:h="16838" w:orient="portrait"/>
          <w:cols w:equalWidth="0" w:num="1">
            <w:col w:w="11260"/>
          </w:cols>
          <w:pgMar w:left="300" w:top="385"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      shares of our Class A common stock reserved for future issuance under our 2025 Plan, which will become effective upon the effectiveness of the registration statement of which this prospectus forms a part, as well as any future increases in the number of shares of our Class A common stock reserved for issuance under the 2025 Plan; and</w:t>
      </w:r>
    </w:p>
    <w:p>
      <w:pPr>
        <w:spacing w:after="0" w:line="69" w:lineRule="exact"/>
        <w:rPr>
          <w:sz w:val="20"/>
          <w:szCs w:val="20"/>
          <w:color w:val="auto"/>
        </w:rPr>
      </w:pPr>
    </w:p>
    <w:p>
      <w:pPr>
        <w:sectPr>
          <w:pgSz w:w="11900" w:h="16838" w:orient="portrait"/>
          <w:cols w:equalWidth="0" w:num="2">
            <w:col w:w="60" w:space="160"/>
            <w:col w:w="11040"/>
          </w:cols>
          <w:pgMar w:left="300" w:top="385" w:right="339" w:bottom="1440" w:gutter="0" w:footer="0" w:header="0"/>
          <w:type w:val="continuous"/>
        </w:sect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ind w:right="280"/>
        <w:spacing w:after="0" w:line="269" w:lineRule="auto"/>
        <w:rPr>
          <w:sz w:val="20"/>
          <w:szCs w:val="20"/>
          <w:color w:val="auto"/>
        </w:rPr>
      </w:pPr>
      <w:r>
        <w:rPr>
          <w:rFonts w:ascii="Arial" w:cs="Arial" w:eastAsia="Arial" w:hAnsi="Arial"/>
          <w:sz w:val="14"/>
          <w:szCs w:val="14"/>
          <w:color w:val="auto"/>
        </w:rPr>
        <w:t>        shares of our Class A common stock reserved for future issuance under our ESPP, which will become effective upon the effectiveness of the registration statement of which this prospectus forms a part, as well as any future increases in the number of shares of our Class A common stock reserved for issuance under the ESPP.</w:t>
      </w:r>
    </w:p>
    <w:p>
      <w:pPr>
        <w:spacing w:after="0" w:line="59" w:lineRule="exact"/>
        <w:rPr>
          <w:sz w:val="20"/>
          <w:szCs w:val="20"/>
          <w:color w:val="auto"/>
        </w:rPr>
      </w:pPr>
    </w:p>
    <w:p>
      <w:pPr>
        <w:sectPr>
          <w:pgSz w:w="11900" w:h="16838" w:orient="portrait"/>
          <w:cols w:equalWidth="0" w:num="2">
            <w:col w:w="60" w:space="160"/>
            <w:col w:w="11040"/>
          </w:cols>
          <w:pgMar w:left="300" w:top="385" w:right="339" w:bottom="1440" w:gutter="0" w:footer="0" w:header="0"/>
          <w:type w:val="continuous"/>
        </w:sectPr>
      </w:pPr>
    </w:p>
    <w:p>
      <w:pPr>
        <w:ind w:right="160"/>
        <w:spacing w:after="0" w:line="269" w:lineRule="auto"/>
        <w:rPr>
          <w:sz w:val="20"/>
          <w:szCs w:val="20"/>
          <w:color w:val="auto"/>
        </w:rPr>
      </w:pPr>
      <w:r>
        <w:rPr>
          <w:rFonts w:ascii="Arial" w:cs="Arial" w:eastAsia="Arial" w:hAnsi="Arial"/>
          <w:sz w:val="14"/>
          <w:szCs w:val="14"/>
          <w:color w:val="auto"/>
        </w:rPr>
        <w:t>Any remaining shares available for issuance under our 2018 Plan will be added to the shares reserved under our 2025 Plan in effect following the completion of this offering and we will cease granting awards under the 2018 Plan.</w:t>
      </w:r>
    </w:p>
    <w:p>
      <w:pPr>
        <w:spacing w:after="0" w:line="6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To the extent that outstanding options or warrants are exercised, new options or other securities are issued under our equity incentive plans, or we issue additional shares of Class A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60"/>
          </w:cols>
          <w:pgMar w:left="300" w:top="38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together with our financial statements as of and for the years ended December 31, 2024 and 2023 and the related notes included elsewhere in this prospectus. This discussion and analysis as well as other parts of this prospectus contain forward-looking statements that involve risks and uncertainties, including information with respect to our plans and strategy for our business. You should carefully read the sections titled “Special note regarding forward-looking statements” and “Risk factors” to gain an understanding of the factors that could cause actual results to differ materially from the results described in or implied by the forward-looking statements contained in the following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5"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BillionToOne is transforming healthcare by redefining molecular diagnostics. Our revolutionary smNGS platform achieves what was once thought impossible—detecting and precisely quantifying genetic targets with single-molecule sensitivity. At the heart of this technological breakthrough lies our patented QCTs, enabling measurements at the physical limit of detection—the single DNA molecule. This leap forward addresses a fundamental limitation in healthcare—the inability to detect sparse but clinically crucial disease signals in cfDNA.</w:t>
      </w:r>
    </w:p>
    <w:p>
      <w:pPr>
        <w:spacing w:after="0" w:line="64"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Founded with the mission to remove the fear of the unknown through powerful and accessible smNGS-based diagnostics, we have swiftly transitioned from an R&amp;D-focused company to a proven commercial organization. Since launching UNITY, our first prenatal product in 2019, we have expanded our offerings first within prenatal genetics, and then to oncology diagnostics. To date, we have processed more than one million smNGS-based tests. Today, we test approximately 1 in 11 babies during pregnancy in the United States, a metric that is continuing to increase rapidly every year. UNITY is the first sgNIPT that uses cfDNA to provide fetal risk assessment for recessive conditions such as SCD and CF without requiring a paternal sample or invasive procedures such as amniocentesis. Since then, we have expanded our UNITY offering to cover comprehensive prenatal genetic needs from a single maternal blood draw. In 2024, our unique fetal antigen tests resulted in national medical guideline changes, enabling us to position our tests as “the new standard in prenatal care,” further contributing to both test volume and ASP growth, as we leveraged the guideline changes to contract with more insurance companies. By detecting and identifying an extensive array of severe but actionable genetic disorders during pregnancy, we enable substantially better outcomes for newborns via earlier therapeutic and other clinical interventions.</w:t>
      </w:r>
    </w:p>
    <w:p>
      <w:pPr>
        <w:spacing w:after="0" w:line="68"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 and Northstar Response. Our Northstar Select is used to guide therapy selection and has been shown to detect over 50% more actionable solid tumor mutations than conventional liquid biopsies.</w:t>
      </w:r>
      <w:r>
        <w:rPr>
          <w:rFonts w:ascii="Arial" w:cs="Arial" w:eastAsia="Arial" w:hAnsi="Arial"/>
          <w:sz w:val="20"/>
          <w:szCs w:val="20"/>
          <w:color w:val="auto"/>
          <w:vertAlign w:val="superscript"/>
        </w:rPr>
        <w:t>23</w:t>
      </w:r>
      <w:r>
        <w:rPr>
          <w:rFonts w:ascii="Arial" w:cs="Arial" w:eastAsia="Arial" w:hAnsi="Arial"/>
          <w:sz w:val="14"/>
          <w:szCs w:val="14"/>
          <w:color w:val="auto"/>
        </w:rPr>
        <w:t xml:space="preserve">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78613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16" w:lineRule="exact"/>
        <w:rPr>
          <w:sz w:val="20"/>
          <w:szCs w:val="20"/>
          <w:color w:val="auto"/>
        </w:rPr>
      </w:pPr>
    </w:p>
    <w:p>
      <w:pPr>
        <w:ind w:left="320" w:right="20" w:hanging="316"/>
        <w:spacing w:after="0" w:line="202" w:lineRule="auto"/>
        <w:tabs>
          <w:tab w:leader="none" w:pos="320" w:val="left"/>
        </w:tabs>
        <w:numPr>
          <w:ilvl w:val="0"/>
          <w:numId w:val="59"/>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60"/>
          </w:cols>
          <w:pgMar w:left="300" w:top="38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Our business momentum is evidenced by our rapidly scaling commercial success and improving operational efficiency. Of approximately one million smNGS-based tests that we have processed since our initial launch, over 50% of them, or approximately 508,000 tests, were processed within the last 12 months ended June 30, 2025. For the year ended December 31, 2024, we generated revenue of $152.6 million, representing 113% year-over-year growth, with a gross margin of 53% and net loss of $41.6 million. We have incurred losses since inception, including a net loss of $41.6 million and $4.2 million for the year ended December 31, 2024 and six months ended June 30, 2025, respectively, and we had an accumulated deficit of $286.4 million as of June 30, 2025. Our loss from operations for the six months ended June 30, 2024 and 2025 was $22.8 million and $3.9 million, respectively. Our business model has demonstrated improving operational leverage, which has enabled us to reach, on a non-GAAP income from operations basis, positive operating income after adjusting for stock-based compensation expense for the six months ended June 30, 2025. During this period, we generated revenue of $125.5 million, representing 82% year-over-year revenue growth as compared to the six months ended June 30, 2024, with a gross margin of 65%. This translated to a non-GAAP net operating income of $1.2 million for the six months ended June 30, 2025 compared to a non-GAAP net operating loss of $18.9 million for the six months ended June 30, 2024, which represented an improvement of approximately $20.1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38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Since our founding, we have developed and commercially launched multiple products and achieved a number of significant milestones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14605</wp:posOffset>
            </wp:positionV>
            <wp:extent cx="5436870" cy="7036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220"/>
          </w:cols>
          <w:pgMar w:left="300" w:top="385" w:right="1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 and key performance metrics</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revenue is driven by selling and performing molecular diagnostic tests ordered by physicians and other providers. We generally bill the patients’ insurance carrier, the patient, or a combination of both upon delivery of the test results. We first commercialized our prenatal products in 2019 and our oncology products in early 2023. Our revenue has grown rapidly from $ 8.1 million in 2021 to $152.6 million in 2024. Our pace of growth remains strong, as revenue grew 113% year-over-year in 2024 and 82% year-over-year in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63500</wp:posOffset>
            </wp:positionV>
            <wp:extent cx="2672080" cy="2425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72080" cy="242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revenue is the function of two inputs: the number of tests ordered and the ASP that we can achieve through reimbursement. There is a flywheel effect between these two factors. The more tests that we process, the easier it becomes for us to contract with third-party payors and become an in-network provider. This increases our ASP for our tests, as the denial rate of our tests significantly decreases once we become an in-network provider. As we become an in-network provider, it becomes easier for our sales representatives to convince ordering providers to use our tests.</w:t>
      </w:r>
    </w:p>
    <w:p>
      <w:pPr>
        <w:spacing w:after="0" w:line="85"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We believe the in-network status results in a better patient and provider experience, with fewer requirements for prior authorization and lower patient payment responsibilities. The impact of this flywheel can be seen in the results of concurrent increases of ASP and test volumes, which enable us to grow our revenue at a rapid rate. For example, for the six months ended June 30, 2025 compared to the six months ended June 30, 2024, our test volumes grew 52% year-over-year while ASPs grew 22% year-over-year, contributing to the 86% year-over-year increase in our clinical test revenue.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60"/>
          </w:cols>
          <w:pgMar w:left="300" w:top="38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168275</wp:posOffset>
            </wp:positionV>
            <wp:extent cx="4044315" cy="1918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44315" cy="191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believe that the combined effect of ASP increases, COGS decreases, and improved operational efficiency has been the main driver in decreases in our net losses. Our net losses decreased from $82.7 million in the year ended December 31, 2023 to $41.6 million in the year ended December 31, 2024, despite our heavy investments in the growth of our sales force, new product launches, and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5603875" cy="1852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387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0"/>
          <w:szCs w:val="10"/>
          <w:color w:val="auto"/>
        </w:rPr>
        <w:t>Overall ASP is the weighted average ASP across all of our prenatal and oncology products. It is computed by dividing revenue for our prenatal and oncology tests by the number of tests that are delivered and billable.</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Overall Cost Per Test is the weighted average cost per test across all of our prenatal and oncology products. It is computed by dividing cost of goods sold for our prenatal and oncology tests by the number of tests that are accessioned.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20"/>
          </w:cols>
          <w:pgMar w:left="300" w:top="385"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168275</wp:posOffset>
            </wp:positionV>
            <wp:extent cx="2152015" cy="18592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2015"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Since increasing test volume drives each of these factors, either directly or indirectly, we believe that our net loss margin can continue to improve for at least the next twelve months, as long as we can continue to drive increased test volumes. However, such improvement will require continuous investments in sales force, further innovation, and new product launches, necessitating a balance between reaching profitability and investing for growth. While we are nearing operating profitability and positive cashflow, we will continue to optimize for long-term growth over short-term increases in profitability.</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market for our products is large and expanding. We have only partially penetrated the NIPT market, and in oncology, we have only just begun. We believe the superiority of our products, combined with our investments in our sales force, marketing infrastructure, enhancements to existing tests, increases in our ASP, and new product development will result in further revenue growth over the coming years.</w:t>
      </w:r>
    </w:p>
    <w:p>
      <w:pPr>
        <w:spacing w:after="0" w:line="80"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Our strategy is to target large existing markets with our products. We believe the unique capabilities of our smNGS platform enable us to launch superior products in these markets and capture significant market share. We have successfully demonstrated this strategy in the prenatal market, and we are in the earlier phases of repeating this success in the oncology market with our therapy selection (Northstar Select) and therapy response monitoring (Northstar Response) products. We anticipate launching our first assay for MRD detection in 2026, and we believe our smNGS technology has the potential to support our entry into the early cancer detection market longer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results of operations and performance</w:t>
      </w:r>
    </w:p>
    <w:p>
      <w:pPr>
        <w:spacing w:after="0" w:line="115" w:lineRule="exact"/>
        <w:rPr>
          <w:sz w:val="20"/>
          <w:szCs w:val="20"/>
          <w:color w:val="auto"/>
        </w:rPr>
      </w:pPr>
    </w:p>
    <w:p>
      <w:pPr>
        <w:ind w:right="460"/>
        <w:spacing w:after="0" w:line="280" w:lineRule="auto"/>
        <w:rPr>
          <w:sz w:val="20"/>
          <w:szCs w:val="20"/>
          <w:color w:val="auto"/>
        </w:rPr>
      </w:pPr>
      <w:r>
        <w:rPr>
          <w:rFonts w:ascii="Arial" w:cs="Arial" w:eastAsia="Arial" w:hAnsi="Arial"/>
          <w:sz w:val="13"/>
          <w:szCs w:val="13"/>
          <w:color w:val="auto"/>
        </w:rPr>
        <w:t>We believe certain factors have influenced, and will continue to influence, our operating performance and results of operations. While each of these factors presents significant opportunities for our business, they also pose important risks and challenges that we must successfully address to sustain and grow our business and improve our results of operations. Our ability to successfully address the factors below is subject to various risks and uncertainties, including those described under the section titled “Risk factors.”</w:t>
      </w:r>
    </w:p>
    <w:p>
      <w:pPr>
        <w:spacing w:after="0" w:line="64" w:lineRule="exact"/>
        <w:rPr>
          <w:sz w:val="20"/>
          <w:szCs w:val="20"/>
          <w:color w:val="auto"/>
        </w:rPr>
      </w:pPr>
    </w:p>
    <w:p>
      <w:pPr>
        <w:ind w:left="900" w:hanging="445"/>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Market adoption and commercial success</w:t>
      </w:r>
    </w:p>
    <w:p>
      <w:pPr>
        <w:spacing w:after="0" w:line="112" w:lineRule="exact"/>
        <w:rPr>
          <w:sz w:val="20"/>
          <w:szCs w:val="20"/>
          <w:color w:val="auto"/>
        </w:rPr>
      </w:pPr>
    </w:p>
    <w:p>
      <w:pPr>
        <w:ind w:left="800" w:right="60"/>
        <w:spacing w:after="0" w:line="252" w:lineRule="auto"/>
        <w:rPr>
          <w:sz w:val="20"/>
          <w:szCs w:val="20"/>
          <w:color w:val="auto"/>
        </w:rPr>
      </w:pPr>
      <w:r>
        <w:rPr>
          <w:rFonts w:ascii="Arial" w:cs="Arial" w:eastAsia="Arial" w:hAnsi="Arial"/>
          <w:sz w:val="14"/>
          <w:szCs w:val="14"/>
          <w:color w:val="auto"/>
        </w:rPr>
        <w:t>Our success and future growth depend on maintaining and expanding market acceptance and achieving commercial success in our prenatal and oncology product lines. This requires our sales teams to develop and maintain relationships with obstetricians, maternal-fetal medicine specialists, oncologists, and other providers. In addition, our sales teams must be able to convincingly communicate the clinical</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60"/>
          </w:cols>
          <w:pgMar w:left="300" w:top="38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800" w:right="140"/>
        <w:spacing w:after="0" w:line="243" w:lineRule="auto"/>
        <w:rPr>
          <w:sz w:val="20"/>
          <w:szCs w:val="20"/>
          <w:color w:val="auto"/>
        </w:rPr>
      </w:pPr>
      <w:r>
        <w:rPr>
          <w:rFonts w:ascii="Arial" w:cs="Arial" w:eastAsia="Arial" w:hAnsi="Arial"/>
          <w:sz w:val="14"/>
          <w:szCs w:val="14"/>
          <w:color w:val="auto"/>
        </w:rPr>
        <w:t>utility and value of our tests in enabling personalized patient care. The commercial success of our existing tests and any new tests we develop will depend upon factors such as clinical evidence supporting their effectiveness, inclusion in clinical practice guidelines, adoption by the medical community, favorable coverage by third-party payors, and our ability to differentiate our offerings in competitive markets. In addition, our ability to maintain and expand our sales and marketing capabilities to support increased adoption of our molecular diagnostic solutions will be another key factor to our success. Our strategies to support our products’ adoption and our commercial success include:</w:t>
      </w:r>
    </w:p>
    <w:p>
      <w:pPr>
        <w:spacing w:after="0" w:line="87" w:lineRule="exact"/>
        <w:rPr>
          <w:sz w:val="20"/>
          <w:szCs w:val="20"/>
          <w:color w:val="auto"/>
        </w:rPr>
      </w:pPr>
    </w:p>
    <w:p>
      <w:pPr>
        <w:ind w:left="1000" w:right="60" w:hanging="209"/>
        <w:spacing w:after="0" w:line="269" w:lineRule="auto"/>
        <w:tabs>
          <w:tab w:leader="none" w:pos="100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Increase geographic coverage: </w:t>
      </w:r>
      <w:r>
        <w:rPr>
          <w:rFonts w:ascii="Arial" w:cs="Arial" w:eastAsia="Arial" w:hAnsi="Arial"/>
          <w:sz w:val="14"/>
          <w:szCs w:val="14"/>
          <w:color w:val="auto"/>
        </w:rPr>
        <w:t>Each field sales representative can effectively cover a small geographic region. Adding additional sales representatives enables our</w:t>
      </w:r>
      <w:r>
        <w:rPr>
          <w:rFonts w:ascii="Arial" w:cs="Arial" w:eastAsia="Arial" w:hAnsi="Arial"/>
          <w:sz w:val="14"/>
          <w:szCs w:val="14"/>
          <w:b w:val="1"/>
          <w:bCs w:val="1"/>
          <w:color w:val="auto"/>
        </w:rPr>
        <w:t xml:space="preserve"> </w:t>
      </w:r>
      <w:r>
        <w:rPr>
          <w:rFonts w:ascii="Arial" w:cs="Arial" w:eastAsia="Arial" w:hAnsi="Arial"/>
          <w:sz w:val="14"/>
          <w:szCs w:val="14"/>
          <w:color w:val="auto"/>
        </w:rPr>
        <w:t>sales team to effectively access and convert new clinics in additional geographic regions.</w:t>
      </w:r>
    </w:p>
    <w:p>
      <w:pPr>
        <w:spacing w:after="0" w:line="69" w:lineRule="exact"/>
        <w:rPr>
          <w:rFonts w:ascii="Arial" w:cs="Arial" w:eastAsia="Arial" w:hAnsi="Arial"/>
          <w:sz w:val="14"/>
          <w:szCs w:val="14"/>
          <w:color w:val="auto"/>
        </w:rPr>
      </w:pPr>
    </w:p>
    <w:p>
      <w:pPr>
        <w:ind w:left="1000" w:right="20" w:hanging="209"/>
        <w:spacing w:after="0" w:line="252" w:lineRule="auto"/>
        <w:tabs>
          <w:tab w:leader="none" w:pos="100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Greater penetration within a covered territory: </w:t>
      </w:r>
      <w:r>
        <w:rPr>
          <w:rFonts w:ascii="Arial" w:cs="Arial" w:eastAsia="Arial" w:hAnsi="Arial"/>
          <w:sz w:val="14"/>
          <w:szCs w:val="14"/>
          <w:color w:val="auto"/>
        </w:rPr>
        <w:t>As the account access, provider education, and onboarding of a new ordering provider within a clinic takes time, our</w:t>
      </w:r>
      <w:r>
        <w:rPr>
          <w:rFonts w:ascii="Arial" w:cs="Arial" w:eastAsia="Arial" w:hAnsi="Arial"/>
          <w:sz w:val="14"/>
          <w:szCs w:val="14"/>
          <w:b w:val="1"/>
          <w:bCs w:val="1"/>
          <w:color w:val="auto"/>
        </w:rPr>
        <w:t xml:space="preserve"> </w:t>
      </w:r>
      <w:r>
        <w:rPr>
          <w:rFonts w:ascii="Arial" w:cs="Arial" w:eastAsia="Arial" w:hAnsi="Arial"/>
          <w:sz w:val="14"/>
          <w:szCs w:val="14"/>
          <w:color w:val="auto"/>
        </w:rPr>
        <w:t>sales representatives often onboard one clinic at a time. Approximately 35% of our sales team members have been in their territories for less than 18 months. As our sales representatives mature, we expect them to further penetrate their territories. Even our most tenured continue to onboard new clinics.</w:t>
      </w:r>
    </w:p>
    <w:p>
      <w:pPr>
        <w:spacing w:after="0" w:line="80" w:lineRule="exact"/>
        <w:rPr>
          <w:rFonts w:ascii="Arial" w:cs="Arial" w:eastAsia="Arial" w:hAnsi="Arial"/>
          <w:sz w:val="14"/>
          <w:szCs w:val="14"/>
          <w:color w:val="auto"/>
        </w:rPr>
      </w:pPr>
    </w:p>
    <w:p>
      <w:pPr>
        <w:ind w:left="1000" w:right="80" w:hanging="209"/>
        <w:spacing w:after="0" w:line="254" w:lineRule="auto"/>
        <w:tabs>
          <w:tab w:leader="none" w:pos="100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Expansion within a clinic: </w:t>
      </w:r>
      <w:r>
        <w:rPr>
          <w:rFonts w:ascii="Arial" w:cs="Arial" w:eastAsia="Arial" w:hAnsi="Arial"/>
          <w:sz w:val="14"/>
          <w:szCs w:val="14"/>
          <w:color w:val="auto"/>
        </w:rPr>
        <w:t>Once an ordering provider within a clinic first starts to use our tests, we often see expansion of our tests to other providers within the</w:t>
      </w:r>
      <w:r>
        <w:rPr>
          <w:rFonts w:ascii="Arial" w:cs="Arial" w:eastAsia="Arial" w:hAnsi="Arial"/>
          <w:sz w:val="14"/>
          <w:szCs w:val="14"/>
          <w:b w:val="1"/>
          <w:bCs w:val="1"/>
          <w:color w:val="auto"/>
        </w:rPr>
        <w:t xml:space="preserve"> </w:t>
      </w:r>
      <w:r>
        <w:rPr>
          <w:rFonts w:ascii="Arial" w:cs="Arial" w:eastAsia="Arial" w:hAnsi="Arial"/>
          <w:sz w:val="14"/>
          <w:szCs w:val="14"/>
          <w:color w:val="auto"/>
        </w:rPr>
        <w:t>clinic. We believe that our unique product offerings and exceptional end-to-end service drive this adoption. Our cohort analysis indicates that the net test retention, as defined by the total number of tests that are received from a cohort of clinics first onboarded in a particular quarter, even after accounting for any account or provider churn, is over 100% after a year for the majority of quarterly cohorts.</w:t>
      </w:r>
      <w:r>
        <w:rPr>
          <w:rFonts w:ascii="Arial" w:cs="Arial" w:eastAsia="Arial" w:hAnsi="Arial"/>
          <w:sz w:val="20"/>
          <w:szCs w:val="20"/>
          <w:color w:val="auto"/>
          <w:vertAlign w:val="superscript"/>
        </w:rPr>
        <w:t>24</w:t>
      </w:r>
    </w:p>
    <w:p>
      <w:pPr>
        <w:spacing w:after="0" w:line="1" w:lineRule="exact"/>
        <w:rPr>
          <w:rFonts w:ascii="Arial" w:cs="Arial" w:eastAsia="Arial" w:hAnsi="Arial"/>
          <w:sz w:val="14"/>
          <w:szCs w:val="14"/>
          <w:color w:val="auto"/>
        </w:rPr>
      </w:pPr>
    </w:p>
    <w:p>
      <w:pPr>
        <w:ind w:left="1000" w:right="340" w:hanging="209"/>
        <w:spacing w:after="0" w:line="253" w:lineRule="auto"/>
        <w:tabs>
          <w:tab w:leader="none" w:pos="100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Effective marketing execution to drive adoption: </w:t>
      </w:r>
      <w:r>
        <w:rPr>
          <w:rFonts w:ascii="Arial" w:cs="Arial" w:eastAsia="Arial" w:hAnsi="Arial"/>
          <w:sz w:val="14"/>
          <w:szCs w:val="14"/>
          <w:color w:val="auto"/>
        </w:rPr>
        <w:t>We support our field sales team with marketing collaterals, digital campaigns, webinars, and other marketing</w:t>
      </w:r>
      <w:r>
        <w:rPr>
          <w:rFonts w:ascii="Arial" w:cs="Arial" w:eastAsia="Arial" w:hAnsi="Arial"/>
          <w:sz w:val="14"/>
          <w:szCs w:val="14"/>
          <w:b w:val="1"/>
          <w:bCs w:val="1"/>
          <w:color w:val="auto"/>
        </w:rPr>
        <w:t xml:space="preserve"> </w:t>
      </w:r>
      <w:r>
        <w:rPr>
          <w:rFonts w:ascii="Arial" w:cs="Arial" w:eastAsia="Arial" w:hAnsi="Arial"/>
          <w:sz w:val="14"/>
          <w:szCs w:val="14"/>
          <w:color w:val="auto"/>
        </w:rPr>
        <w:t>channels to help educate physicians about our products and the unique advantages and value propositions that they provide.</w:t>
      </w:r>
    </w:p>
    <w:p>
      <w:pPr>
        <w:spacing w:after="0" w:line="80" w:lineRule="exact"/>
        <w:rPr>
          <w:rFonts w:ascii="Arial" w:cs="Arial" w:eastAsia="Arial" w:hAnsi="Arial"/>
          <w:sz w:val="14"/>
          <w:szCs w:val="14"/>
          <w:color w:val="auto"/>
        </w:rPr>
      </w:pPr>
    </w:p>
    <w:p>
      <w:pPr>
        <w:ind w:left="1000" w:hanging="209"/>
        <w:spacing w:after="0" w:line="269" w:lineRule="auto"/>
        <w:tabs>
          <w:tab w:leader="none" w:pos="100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Our ability to continue innovating our test portfolio: </w:t>
      </w:r>
      <w:r>
        <w:rPr>
          <w:rFonts w:ascii="Arial" w:cs="Arial" w:eastAsia="Arial" w:hAnsi="Arial"/>
          <w:sz w:val="14"/>
          <w:szCs w:val="14"/>
          <w:color w:val="auto"/>
        </w:rPr>
        <w:t>We are focused on continually innovating our product portfolio and capitalizing on opportunities created by our</w:t>
      </w:r>
      <w:r>
        <w:rPr>
          <w:rFonts w:ascii="Arial" w:cs="Arial" w:eastAsia="Arial" w:hAnsi="Arial"/>
          <w:sz w:val="14"/>
          <w:szCs w:val="14"/>
          <w:b w:val="1"/>
          <w:bCs w:val="1"/>
          <w:color w:val="auto"/>
        </w:rPr>
        <w:t xml:space="preserve"> </w:t>
      </w:r>
      <w:r>
        <w:rPr>
          <w:rFonts w:ascii="Arial" w:cs="Arial" w:eastAsia="Arial" w:hAnsi="Arial"/>
          <w:sz w:val="14"/>
          <w:szCs w:val="14"/>
          <w:color w:val="auto"/>
        </w:rPr>
        <w:t>smNGS platform. This enhances our competitive position and positions us for long-term growth.</w:t>
      </w:r>
    </w:p>
    <w:p>
      <w:pPr>
        <w:spacing w:after="0" w:line="69" w:lineRule="exact"/>
        <w:rPr>
          <w:rFonts w:ascii="Arial" w:cs="Arial" w:eastAsia="Arial" w:hAnsi="Arial"/>
          <w:sz w:val="14"/>
          <w:szCs w:val="14"/>
          <w:color w:val="auto"/>
        </w:rPr>
      </w:pPr>
    </w:p>
    <w:p>
      <w:pPr>
        <w:ind w:left="900" w:hanging="445"/>
        <w:spacing w:after="0"/>
        <w:tabs>
          <w:tab w:leader="none" w:pos="900"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Payor coverage, contracting, and more effective reimbursement operations</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ASPs and revenue depend heavily on our success in achieving and maintaining broad coverage and adequate reimbursement for our molecular diagnostic tests from third-party payors. Third-party reimbursement for our tests represented more than 90% of our revenue for each of the years ended December 31, 2023 and 2024, and we expect government and commercial third-party payors to continue to be our primary source of payments. Coverage and reimbursement by third-party payors, including commercial health insurers, managed care organizations, and government healthcare programs such as Medicare and Medicaid, can be limited and uncertain for the types of specialized molecular diagnostic tests we offer. Each payor makes its own determination as to whether to establish a policy to cover our tests as well as the amount it will reimburse for such tests. Payors make these determinations based on factors that include medical necessity, clinical utility, and cost-effectiveness. Reimbursement rates vary significantly by test-type, payor, and coverage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8613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242" w:lineRule="exact"/>
        <w:rPr>
          <w:sz w:val="20"/>
          <w:szCs w:val="20"/>
          <w:color w:val="auto"/>
        </w:rPr>
      </w:pPr>
    </w:p>
    <w:p>
      <w:pPr>
        <w:ind w:left="320" w:right="20" w:hanging="316"/>
        <w:spacing w:after="0" w:line="213" w:lineRule="auto"/>
        <w:tabs>
          <w:tab w:leader="none" w:pos="320" w:val="left"/>
        </w:tabs>
        <w:numPr>
          <w:ilvl w:val="0"/>
          <w:numId w:val="62"/>
        </w:numPr>
        <w:rPr>
          <w:rFonts w:ascii="Arial" w:cs="Arial" w:eastAsia="Arial" w:hAnsi="Arial"/>
          <w:sz w:val="16"/>
          <w:szCs w:val="16"/>
          <w:color w:val="auto"/>
          <w:vertAlign w:val="superscript"/>
        </w:rPr>
      </w:pPr>
      <w:r>
        <w:rPr>
          <w:rFonts w:ascii="Arial" w:cs="Arial" w:eastAsia="Arial" w:hAnsi="Arial"/>
          <w:sz w:val="10"/>
          <w:szCs w:val="10"/>
          <w:color w:val="auto"/>
        </w:rPr>
        <w:t>Our cohort analysis was conducted by reviewing the last 18 quarters of prenatal sales data, as of June 30, 2025. A “cohort” is defined as the group of clinics that began ordering our tests in that specific quarter. We tracked each cohort to determine if test orders increased or decreased over its first year. Net test retention is greater than 100% if the total number of tests ordered in the cohort’s fourth full quarter as a customer is higher than in its first full quarter. Out of 18 cohorts, 12 cohorts had net test retention over 100%.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38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800" w:right="60"/>
        <w:spacing w:after="0" w:line="226" w:lineRule="auto"/>
        <w:rPr>
          <w:sz w:val="20"/>
          <w:szCs w:val="20"/>
          <w:color w:val="auto"/>
        </w:rPr>
      </w:pPr>
      <w:r>
        <w:rPr>
          <w:rFonts w:ascii="Arial" w:cs="Arial" w:eastAsia="Arial" w:hAnsi="Arial"/>
          <w:sz w:val="14"/>
          <w:szCs w:val="14"/>
          <w:color w:val="auto"/>
        </w:rPr>
        <w:t>We believe our tests provide significantly greater value than the established Medicare Clinical Laboratory Fee Schedule (CLFS) rates. The current CLFS price established for our sgNIPT is $1,153.62. However, when accounting for the testing cost savings and the savings from earlier clinical intervention made possible by our sgNIPT compared to traditional NIPT, a peer-reviewed study estimated the true value of our test to range from $2,336 (on a healthcare cost-neutral basis, i.e., where the cost savings from reduced time, specialist referrals, fewer paternal and follow-on tests are passed through to the price of the test) to $7,233 (the equivalent cost to identify one affected pregnancy via sequential carrier screening, i.e., where the cost savings from dramatically increasing the number of affected pregnancies identified are passed through to the price of the test).</w:t>
      </w:r>
      <w:r>
        <w:rPr>
          <w:rFonts w:ascii="Arial" w:cs="Arial" w:eastAsia="Arial" w:hAnsi="Arial"/>
          <w:sz w:val="20"/>
          <w:szCs w:val="20"/>
          <w:color w:val="auto"/>
          <w:vertAlign w:val="superscript"/>
        </w:rPr>
        <w:t>25</w:t>
      </w:r>
      <w:r>
        <w:rPr>
          <w:rFonts w:ascii="Arial" w:cs="Arial" w:eastAsia="Arial" w:hAnsi="Arial"/>
          <w:sz w:val="14"/>
          <w:szCs w:val="14"/>
          <w:color w:val="auto"/>
        </w:rPr>
        <w:t xml:space="preserve"> We note that CMS determines the price of a test primarily based on an analysis of the costs to provide a test, rather than the intrinsic value it may provide.</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While our ASPs have significantly increased over time, they are, in aggregate, still less than approximately 50% of the CLFS rates for our tests. This is primarily because</w:t>
      </w:r>
    </w:p>
    <w:p>
      <w:pPr>
        <w:spacing w:after="0" w:line="10" w:lineRule="exact"/>
        <w:rPr>
          <w:sz w:val="20"/>
          <w:szCs w:val="20"/>
          <w:color w:val="auto"/>
        </w:rPr>
      </w:pPr>
    </w:p>
    <w:p>
      <w:pPr>
        <w:jc w:val="both"/>
        <w:ind w:left="800" w:hanging="6"/>
        <w:spacing w:after="0" w:line="241" w:lineRule="auto"/>
        <w:tabs>
          <w:tab w:leader="none" w:pos="963"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are not in-network with all payors, (ii) when we get in-network with a payor, we may agree to a rate that is less than 100% of the CLFS in return for more consistent in-network payments for our services, and (iii) not all of our tests are considered covered benefits by all payors. As we increase contracting and coverage of our tests, we believe that ASPs can continue to increase over time.</w:t>
      </w:r>
    </w:p>
    <w:p>
      <w:pPr>
        <w:spacing w:after="0" w:line="89" w:lineRule="exact"/>
        <w:rPr>
          <w:sz w:val="20"/>
          <w:szCs w:val="20"/>
          <w:color w:val="auto"/>
        </w:rPr>
      </w:pPr>
    </w:p>
    <w:p>
      <w:pPr>
        <w:ind w:left="800" w:right="260"/>
        <w:spacing w:after="0" w:line="269" w:lineRule="auto"/>
        <w:rPr>
          <w:sz w:val="20"/>
          <w:szCs w:val="20"/>
          <w:color w:val="auto"/>
        </w:rPr>
      </w:pPr>
      <w:r>
        <w:rPr>
          <w:rFonts w:ascii="Arial" w:cs="Arial" w:eastAsia="Arial" w:hAnsi="Arial"/>
          <w:sz w:val="14"/>
          <w:szCs w:val="14"/>
          <w:color w:val="auto"/>
        </w:rPr>
        <w:t>Historically, our market access and reimbursement teams have pursued strategies to increasing our ASPs by expanding our payor coverage and reimbursement. We believe these strategies will continue to grow our ASPs over time.</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Examples include:</w:t>
      </w:r>
    </w:p>
    <w:p>
      <w:pPr>
        <w:spacing w:after="0" w:line="112" w:lineRule="exact"/>
        <w:rPr>
          <w:sz w:val="20"/>
          <w:szCs w:val="20"/>
          <w:color w:val="auto"/>
        </w:rPr>
      </w:pPr>
    </w:p>
    <w:p>
      <w:pPr>
        <w:ind w:left="1000" w:hanging="209"/>
        <w:spacing w:after="0" w:line="241" w:lineRule="auto"/>
        <w:tabs>
          <w:tab w:leader="none" w:pos="100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Strategic contracting with third-party payors: </w:t>
      </w:r>
      <w:r>
        <w:rPr>
          <w:rFonts w:ascii="Arial" w:cs="Arial" w:eastAsia="Arial" w:hAnsi="Arial"/>
          <w:sz w:val="14"/>
          <w:szCs w:val="14"/>
          <w:color w:val="auto"/>
        </w:rPr>
        <w:t>We prioritize entering into contracts with major commercial insurance companies and other third-party payors. These</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contracts typically result in higher, more reliable reimbursement rates for our products compared to non-contracted arrangements, where reimbursement can be significantly lower or, in some cases, not provided at all. Historically, expanding our network of contracted payors has been a major driver of higher reimbursement rates, which support increased ASPs. As of December 31, 2024, our payor contracts encompass approximately 225 million covered lives within the United States, which we expect will continue to grow as we enter into additional agreements. This extensive payor network not only enhances access to our diagnostic tests for patients but also provides greater predictability and stability in our revenues.</w:t>
      </w:r>
    </w:p>
    <w:p>
      <w:pPr>
        <w:spacing w:after="0" w:line="89" w:lineRule="exact"/>
        <w:rPr>
          <w:rFonts w:ascii="Arial" w:cs="Arial" w:eastAsia="Arial" w:hAnsi="Arial"/>
          <w:sz w:val="14"/>
          <w:szCs w:val="14"/>
          <w:color w:val="auto"/>
        </w:rPr>
      </w:pPr>
    </w:p>
    <w:p>
      <w:pPr>
        <w:ind w:left="1000" w:right="80" w:hanging="209"/>
        <w:spacing w:after="0" w:line="241" w:lineRule="auto"/>
        <w:tabs>
          <w:tab w:leader="none" w:pos="100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Securing unique reimbursement and procedural codes: </w:t>
      </w:r>
      <w:r>
        <w:rPr>
          <w:rFonts w:ascii="Arial" w:cs="Arial" w:eastAsia="Arial" w:hAnsi="Arial"/>
          <w:sz w:val="14"/>
          <w:szCs w:val="14"/>
          <w:color w:val="auto"/>
        </w:rPr>
        <w:t>A critical aspect of our market access strategy is to obtain specific reimbursement and procedural codes</w:t>
      </w:r>
      <w:r>
        <w:rPr>
          <w:rFonts w:ascii="Arial" w:cs="Arial" w:eastAsia="Arial" w:hAnsi="Arial"/>
          <w:sz w:val="14"/>
          <w:szCs w:val="14"/>
          <w:b w:val="1"/>
          <w:bCs w:val="1"/>
          <w:color w:val="auto"/>
        </w:rPr>
        <w:t xml:space="preserve"> </w:t>
      </w:r>
      <w:r>
        <w:rPr>
          <w:rFonts w:ascii="Arial" w:cs="Arial" w:eastAsia="Arial" w:hAnsi="Arial"/>
          <w:sz w:val="14"/>
          <w:szCs w:val="14"/>
          <w:color w:val="auto"/>
        </w:rPr>
        <w:t>for our tests, rather than using the generic codes that may not fully capture the uniqueness and value that our tests provide. These codes facilitate appropriate billing and reimbursement from payors and drive broader clinical adoption. For instance, our UNITY Carrier Screen was assigned a PLA code, 0449U, which has received CMS pricing of $1,825, effective January 1, 2025. Similarly, our Northstar Select and Northstar Response products received PLA codes 0487U and 0486U, respectively, with CMS pricing of $2,920 and $1,644 respectively. As our codes of 0449U and 0487U have been added to the coverage policies of payors, including Medicare for the latter, our ASPs have increased.</w:t>
      </w:r>
    </w:p>
    <w:p>
      <w:pPr>
        <w:spacing w:after="0" w:line="89" w:lineRule="exact"/>
        <w:rPr>
          <w:rFonts w:ascii="Arial" w:cs="Arial" w:eastAsia="Arial" w:hAnsi="Arial"/>
          <w:sz w:val="14"/>
          <w:szCs w:val="14"/>
          <w:color w:val="auto"/>
        </w:rPr>
      </w:pPr>
    </w:p>
    <w:p>
      <w:pPr>
        <w:ind w:left="1000" w:right="40" w:hanging="209"/>
        <w:spacing w:after="0" w:line="269" w:lineRule="auto"/>
        <w:tabs>
          <w:tab w:leader="none" w:pos="100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Expanding payor coverage criteria and clinical utility: </w:t>
      </w:r>
      <w:r>
        <w:rPr>
          <w:rFonts w:ascii="Arial" w:cs="Arial" w:eastAsia="Arial" w:hAnsi="Arial"/>
          <w:sz w:val="14"/>
          <w:szCs w:val="14"/>
          <w:color w:val="auto"/>
        </w:rPr>
        <w:t>Changes in payor policies, such as the expansion of coverage criteria or the recognition of new indications,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can have a pronounced effect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8613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38" w:lineRule="exact"/>
        <w:rPr>
          <w:sz w:val="20"/>
          <w:szCs w:val="20"/>
          <w:color w:val="auto"/>
        </w:rPr>
      </w:pPr>
    </w:p>
    <w:p>
      <w:pPr>
        <w:ind w:left="320" w:hanging="316"/>
        <w:spacing w:after="0"/>
        <w:tabs>
          <w:tab w:leader="none" w:pos="320" w:val="left"/>
        </w:tabs>
        <w:numPr>
          <w:ilvl w:val="0"/>
          <w:numId w:val="65"/>
        </w:numPr>
        <w:rPr>
          <w:rFonts w:ascii="Arial" w:cs="Arial" w:eastAsia="Arial" w:hAnsi="Arial"/>
          <w:sz w:val="16"/>
          <w:szCs w:val="16"/>
          <w:color w:val="auto"/>
          <w:vertAlign w:val="superscript"/>
        </w:rPr>
      </w:pPr>
      <w:r>
        <w:rPr>
          <w:rFonts w:ascii="Arial" w:cs="Arial" w:eastAsia="Arial" w:hAnsi="Arial"/>
          <w:sz w:val="10"/>
          <w:szCs w:val="10"/>
          <w:color w:val="auto"/>
        </w:rPr>
        <w:t>Riku, S., Herman, M., et al. (2022). Reflex single-gene non-invasive prenatal testing is associated with markedly better detection of fetuses affected with single-gene recessive disorders at lower cost. Journal of Medical Economics.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40"/>
          </w:cols>
          <w:pgMar w:left="300" w:top="38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020" w:right="100"/>
        <w:spacing w:after="0" w:line="246" w:lineRule="auto"/>
        <w:rPr>
          <w:sz w:val="20"/>
          <w:szCs w:val="20"/>
          <w:color w:val="auto"/>
        </w:rPr>
      </w:pPr>
      <w:r>
        <w:rPr>
          <w:rFonts w:ascii="Arial" w:cs="Arial" w:eastAsia="Arial" w:hAnsi="Arial"/>
          <w:sz w:val="14"/>
          <w:szCs w:val="14"/>
          <w:color w:val="auto"/>
        </w:rPr>
        <w:t>our revenues and ASPs. In 2024, several payors began covering additional tests within our prenatal panel, specifically those for 22q11.2 deletion syndrome (22q microdeletion), RhD NIPT, and fetal antigen NIPT. Most recently, Geisinger issued a positive coverage policy for the sgNIPT component of our Fetal Risk Screen for recessive conditions. The inclusion of these tests in positive coverage policies has directly contributed to a notable improvement in the Overall ASP for our prenatal product portfolio.</w:t>
      </w:r>
    </w:p>
    <w:p>
      <w:pPr>
        <w:spacing w:after="0" w:line="74" w:lineRule="exact"/>
        <w:rPr>
          <w:sz w:val="20"/>
          <w:szCs w:val="20"/>
          <w:color w:val="auto"/>
        </w:rPr>
      </w:pPr>
    </w:p>
    <w:p>
      <w:pPr>
        <w:ind w:left="1020"/>
        <w:spacing w:after="0" w:line="252" w:lineRule="auto"/>
        <w:rPr>
          <w:sz w:val="20"/>
          <w:szCs w:val="20"/>
          <w:color w:val="auto"/>
        </w:rPr>
      </w:pPr>
      <w:r>
        <w:rPr>
          <w:rFonts w:ascii="Arial" w:cs="Arial" w:eastAsia="Arial" w:hAnsi="Arial"/>
          <w:sz w:val="14"/>
          <w:szCs w:val="14"/>
          <w:color w:val="auto"/>
        </w:rPr>
        <w:t>Moreover, we achieved a significant milestone earlier this year with the receipt of a positive coverage determination from Medicare’s MolDX for Northstar Select. As a result, Medicare coverage for Northstar Select began on February 14, 2025, expanding access for eligible patients. We plan to submit additional dossiers to MolDX for further coverage evaluations for Northstar Response, which, if successful, would significantly increase our ASPs in the future.</w:t>
      </w:r>
    </w:p>
    <w:p>
      <w:pPr>
        <w:spacing w:after="0" w:line="80" w:lineRule="exact"/>
        <w:rPr>
          <w:sz w:val="20"/>
          <w:szCs w:val="20"/>
          <w:color w:val="auto"/>
        </w:rPr>
      </w:pPr>
    </w:p>
    <w:p>
      <w:pPr>
        <w:ind w:left="1020" w:right="40"/>
        <w:spacing w:after="0" w:line="246" w:lineRule="auto"/>
        <w:rPr>
          <w:sz w:val="20"/>
          <w:szCs w:val="20"/>
          <w:color w:val="auto"/>
        </w:rPr>
      </w:pPr>
      <w:r>
        <w:rPr>
          <w:rFonts w:ascii="Arial" w:cs="Arial" w:eastAsia="Arial" w:hAnsi="Arial"/>
          <w:sz w:val="14"/>
          <w:szCs w:val="14"/>
          <w:color w:val="auto"/>
        </w:rPr>
        <w:t>Our continued engagement with medical societies and generation of clinical utility evidence may also facilitate the inclusion of our tests in future clinical practice guidelines. For instance, even with more recent expansions, 22q11.2 microdeletion that we provide is only reimbursed in a minority of cases. We believe a change in the guidelines by ACOG would likely drive a much higher approval rate for this add-on by payors, substantially increasing the Overall ASP for our tests. Achieving guideline inclusion is a benefit for patients, and it is a significant catalyst for expanded reimbursement which can further elevate our ASPs.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63500</wp:posOffset>
            </wp:positionV>
            <wp:extent cx="4030980" cy="1938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30980" cy="193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hanging="445"/>
        <w:spacing w:after="0"/>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Internalizing and strengthening our reimbursement capabilities &amp; incorporating automation and AI to reimbursement operations:</w:t>
      </w:r>
    </w:p>
    <w:p>
      <w:pPr>
        <w:spacing w:after="0" w:line="112" w:lineRule="exact"/>
        <w:rPr>
          <w:sz w:val="20"/>
          <w:szCs w:val="20"/>
          <w:color w:val="auto"/>
        </w:rPr>
      </w:pPr>
    </w:p>
    <w:p>
      <w:pPr>
        <w:ind w:left="800"/>
        <w:spacing w:after="0" w:line="243" w:lineRule="auto"/>
        <w:rPr>
          <w:sz w:val="20"/>
          <w:szCs w:val="20"/>
          <w:color w:val="auto"/>
        </w:rPr>
      </w:pPr>
      <w:r>
        <w:rPr>
          <w:rFonts w:ascii="Arial" w:cs="Arial" w:eastAsia="Arial" w:hAnsi="Arial"/>
          <w:sz w:val="14"/>
          <w:szCs w:val="14"/>
          <w:color w:val="auto"/>
        </w:rPr>
        <w:t>To further optimize our reimbursement outcomes, in July 2023, we transitioned from relying on third-party vendors to managing our reimbursement function in-house. We have invested in building a high-performing, specialized team dedicated to all aspects of reimbursement, including claims management, appeals, and payor relations. This team’s expertise and commitment have enabled a more consistent, and accurate billing and appeal process, along with the rapid identification and resolution of reimbursement issues. Since bringing this capability in-house, we have achieved dramatically improved results, evidenced by a significant and sustained increase in ASPs over the past two years.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20"/>
          </w:cols>
          <w:pgMar w:left="300" w:top="385"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800" w:right="100"/>
        <w:spacing w:after="0" w:line="246" w:lineRule="auto"/>
        <w:rPr>
          <w:sz w:val="20"/>
          <w:szCs w:val="20"/>
          <w:color w:val="auto"/>
        </w:rPr>
      </w:pPr>
      <w:r>
        <w:rPr>
          <w:rFonts w:ascii="Arial" w:cs="Arial" w:eastAsia="Arial" w:hAnsi="Arial"/>
          <w:sz w:val="14"/>
          <w:szCs w:val="14"/>
          <w:color w:val="auto"/>
        </w:rPr>
        <w:t>In addition, we have integrated our internal systems end-to-end, automated many of the repetitive reimbursement procedures, and incorporated AI for significant efficiency improvements (e.g., using large language models (LLMs) to read, categorize, and react to thousands of correspondence from insurance companies that we receive every day), allowing our team to significantly increase their productivity. For example, this has allowed us to respond to or correct 50% more claims by insurance companies with only a 15% corresponding increase in headcount.</w:t>
      </w:r>
    </w:p>
    <w:p>
      <w:pPr>
        <w:spacing w:after="0" w:line="74" w:lineRule="exact"/>
        <w:rPr>
          <w:sz w:val="20"/>
          <w:szCs w:val="20"/>
          <w:color w:val="auto"/>
        </w:rPr>
      </w:pPr>
    </w:p>
    <w:p>
      <w:pPr>
        <w:ind w:left="800" w:right="120"/>
        <w:spacing w:after="0" w:line="269" w:lineRule="auto"/>
        <w:rPr>
          <w:sz w:val="20"/>
          <w:szCs w:val="20"/>
          <w:color w:val="auto"/>
        </w:rPr>
      </w:pPr>
      <w:r>
        <w:rPr>
          <w:rFonts w:ascii="Arial" w:cs="Arial" w:eastAsia="Arial" w:hAnsi="Arial"/>
          <w:sz w:val="14"/>
          <w:szCs w:val="14"/>
          <w:color w:val="auto"/>
        </w:rPr>
        <w:t>This strategic move not only streamlines our operations and improves cash flow but also allows us to better advocate for the value of our diagnostic tests with payors by providing rapid feedback and responding proactively to evolving reimbursement trends.</w:t>
      </w:r>
    </w:p>
    <w:p>
      <w:pPr>
        <w:spacing w:after="0" w:line="69" w:lineRule="exact"/>
        <w:rPr>
          <w:sz w:val="20"/>
          <w:szCs w:val="20"/>
          <w:color w:val="auto"/>
        </w:rPr>
      </w:pPr>
    </w:p>
    <w:p>
      <w:pPr>
        <w:ind w:left="900" w:hanging="445"/>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Relentless focus on reducing costs and increasing operational efficiency</w:t>
      </w:r>
    </w:p>
    <w:p>
      <w:pPr>
        <w:spacing w:after="0" w:line="112" w:lineRule="exact"/>
        <w:rPr>
          <w:sz w:val="20"/>
          <w:szCs w:val="20"/>
          <w:color w:val="auto"/>
        </w:rPr>
      </w:pPr>
    </w:p>
    <w:p>
      <w:pPr>
        <w:ind w:left="800" w:right="120"/>
        <w:spacing w:after="0" w:line="252" w:lineRule="auto"/>
        <w:rPr>
          <w:sz w:val="20"/>
          <w:szCs w:val="20"/>
          <w:color w:val="auto"/>
        </w:rPr>
      </w:pPr>
      <w:r>
        <w:rPr>
          <w:rFonts w:ascii="Arial" w:cs="Arial" w:eastAsia="Arial" w:hAnsi="Arial"/>
          <w:sz w:val="14"/>
          <w:szCs w:val="14"/>
          <w:color w:val="auto"/>
        </w:rPr>
        <w:t>Our financial results depend upon our ability to support current and future levels of demand for our prenatal screening and oncology diagnostic tests while maintaining discipline around our cost structure. Historically, we have been able to grow the size of our operational team much more slowly than our test volume increases. This has led to significantly increased operational leverage and efficiencies on a per-test basis and has been a driver in improving our net loss margin.</w:t>
      </w:r>
    </w:p>
    <w:p>
      <w:pPr>
        <w:spacing w:after="0" w:line="80" w:lineRule="exact"/>
        <w:rPr>
          <w:sz w:val="20"/>
          <w:szCs w:val="20"/>
          <w:color w:val="auto"/>
        </w:rPr>
      </w:pPr>
    </w:p>
    <w:p>
      <w:pPr>
        <w:ind w:left="800" w:right="20"/>
        <w:spacing w:after="0" w:line="241" w:lineRule="auto"/>
        <w:rPr>
          <w:sz w:val="20"/>
          <w:szCs w:val="20"/>
          <w:color w:val="auto"/>
        </w:rPr>
      </w:pPr>
      <w:r>
        <w:rPr>
          <w:rFonts w:ascii="Arial" w:cs="Arial" w:eastAsia="Arial" w:hAnsi="Arial"/>
          <w:sz w:val="14"/>
          <w:szCs w:val="14"/>
          <w:color w:val="auto"/>
        </w:rPr>
        <w:t>We actively seek ways to continuously reduce our costs-per-test and improve our gross profit margin, long-term profitability, and return on investment. In the last approximately three years, we have reduced COGS per test by more than 50% through automation and optimization of laboratory workflows, successful negotiations with suppliers, and re-design and re-validation of assays with more optimized chemistry or higher-throughput sequencing. For example, AI-supported accessioning of test requisitions reduced the average accessioning time from more than three minutes to 60 seconds, saving significant labor costs, and allowing us to shift our highly talented laboratory personnel to higher impact activities. These reductions have been important contributors to the growth of our gross profit margin over time to 65% gross profit margin in the first half of 2025.</w:t>
      </w:r>
    </w:p>
    <w:p>
      <w:pPr>
        <w:spacing w:after="0" w:line="79" w:lineRule="exact"/>
        <w:rPr>
          <w:sz w:val="20"/>
          <w:szCs w:val="20"/>
          <w:color w:val="auto"/>
        </w:rPr>
      </w:pPr>
    </w:p>
    <w:p>
      <w:pPr>
        <w:ind w:left="800" w:right="140"/>
        <w:spacing w:after="0" w:line="246" w:lineRule="auto"/>
        <w:rPr>
          <w:sz w:val="20"/>
          <w:szCs w:val="20"/>
          <w:color w:val="auto"/>
        </w:rPr>
      </w:pPr>
      <w:r>
        <w:rPr>
          <w:rFonts w:ascii="Arial" w:cs="Arial" w:eastAsia="Arial" w:hAnsi="Arial"/>
          <w:sz w:val="14"/>
          <w:szCs w:val="14"/>
          <w:color w:val="auto"/>
        </w:rPr>
        <w:t>Nevertheless, as our test volumes grow, we have made and will continue to make significant investments in state-of-the-art infrastructure to support our growth. In 2023 we successfully expanded our laboratory operations from a single facility with 36,000 square feet in Menlo Park, CA by adding a second laboratory facility in Union City, CA with 90,000 square feet. We estimate that these facilities can support a further four times revenue growth from $266.3 million annualized run-rate (ARR) as of June 30, 2025 to almost $1.1 billion ARR.</w:t>
      </w:r>
    </w:p>
    <w:p>
      <w:pPr>
        <w:spacing w:after="0" w:line="85" w:lineRule="exact"/>
        <w:rPr>
          <w:sz w:val="20"/>
          <w:szCs w:val="20"/>
          <w:color w:val="auto"/>
        </w:rPr>
      </w:pPr>
    </w:p>
    <w:p>
      <w:pPr>
        <w:ind w:left="800" w:right="140"/>
        <w:spacing w:after="0" w:line="252" w:lineRule="auto"/>
        <w:rPr>
          <w:sz w:val="20"/>
          <w:szCs w:val="20"/>
          <w:color w:val="auto"/>
        </w:rPr>
      </w:pPr>
      <w:r>
        <w:rPr>
          <w:rFonts w:ascii="Arial" w:cs="Arial" w:eastAsia="Arial" w:hAnsi="Arial"/>
          <w:sz w:val="14"/>
          <w:szCs w:val="14"/>
          <w:color w:val="auto"/>
        </w:rPr>
        <w:t>To further support our growth beyond our current facilities, we have also entered a lease for the construction of 220,000 square feet of laboratory space in Austin, Texas with favorable terms and tenant improvement package. We expect to occupy this facility in 2027, and open in 2028. Once the facility is fully utilized, we expect our potential testing capacity to be nearly triple our current capabilities.</w:t>
      </w:r>
    </w:p>
    <w:p>
      <w:pPr>
        <w:spacing w:after="0" w:line="70" w:lineRule="exact"/>
        <w:rPr>
          <w:sz w:val="20"/>
          <w:szCs w:val="20"/>
          <w:color w:val="auto"/>
        </w:rPr>
      </w:pPr>
    </w:p>
    <w:p>
      <w:pPr>
        <w:ind w:left="800"/>
        <w:spacing w:after="0" w:line="243" w:lineRule="auto"/>
        <w:rPr>
          <w:sz w:val="20"/>
          <w:szCs w:val="20"/>
          <w:color w:val="auto"/>
        </w:rPr>
      </w:pPr>
      <w:r>
        <w:rPr>
          <w:rFonts w:ascii="Arial" w:cs="Arial" w:eastAsia="Arial" w:hAnsi="Arial"/>
          <w:sz w:val="14"/>
          <w:szCs w:val="14"/>
          <w:color w:val="auto"/>
        </w:rPr>
        <w:t>In addition, we must simultaneously enhance our customer service capabilities, improve our billing and administrative processes, expand our quality assurance programs, incorporate new laboratory equipment and automation, and implement new technology systems, all while maintaining competitive turnaround times. As such, our expenses may increase. In order to maintain cost discipline, we will continue to re-design and optimize our processes, integrate AI into our workflows, and increasingly automate both our laboratory and non-laboratory operations. We believe that our continued focus in optimization, automation, and AI for higher operational efficiencies will drive further productivity gains.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38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900" w:hanging="445"/>
        <w:spacing w:after="0"/>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Continued research and development and new product innovation</w:t>
      </w:r>
    </w:p>
    <w:p>
      <w:pPr>
        <w:spacing w:after="0" w:line="101" w:lineRule="exact"/>
        <w:rPr>
          <w:sz w:val="20"/>
          <w:szCs w:val="20"/>
          <w:color w:val="auto"/>
        </w:rPr>
      </w:pPr>
    </w:p>
    <w:p>
      <w:pPr>
        <w:ind w:left="800"/>
        <w:spacing w:after="0" w:line="239" w:lineRule="auto"/>
        <w:rPr>
          <w:sz w:val="20"/>
          <w:szCs w:val="20"/>
          <w:color w:val="auto"/>
        </w:rPr>
      </w:pPr>
      <w:r>
        <w:rPr>
          <w:rFonts w:ascii="Arial" w:cs="Arial" w:eastAsia="Arial" w:hAnsi="Arial"/>
          <w:sz w:val="14"/>
          <w:szCs w:val="14"/>
          <w:color w:val="auto"/>
        </w:rPr>
        <w:t>We expect to maintain significant levels of investment in research and development as we continue to develop new molecular diagnostic assays, enhance existing tests, and expand our testing capabilities into new clinical applications within our prenatal screening and oncology diagnostics product lines. These investments include costs for new test development, costs to validate new assays or to improve current assays, clinical studies to demonstrate utility and support reimbursement efforts, and development costs for new testing methodologies and platforms. Our ability to develop new products, obtain regulatory approvals for such products when required, successfully launch new products into the market, and drive adoption by healthcare providers will continue to play a key role in our competitive position and financial results. We believe these investments are critical to maintaining our technological leadership, supporting physician adoption, and driving favorable coverage decisions by payors across both our prenatal and oncology product lines. We incurred $22.4 million, $36.6 million, $16.1 million and $22.2 million in research and development expenses during the years ended December 31, 2023 and 2024 and the six months ended June 30, 2024 and 2025, respectively.</w:t>
      </w:r>
    </w:p>
    <w:p>
      <w:pPr>
        <w:spacing w:after="0" w:line="92" w:lineRule="exact"/>
        <w:rPr>
          <w:sz w:val="20"/>
          <w:szCs w:val="20"/>
          <w:color w:val="auto"/>
        </w:rPr>
      </w:pPr>
    </w:p>
    <w:p>
      <w:pPr>
        <w:ind w:left="800" w:right="20"/>
        <w:spacing w:after="0" w:line="223" w:lineRule="auto"/>
        <w:rPr>
          <w:sz w:val="20"/>
          <w:szCs w:val="20"/>
          <w:color w:val="auto"/>
        </w:rPr>
      </w:pPr>
      <w:r>
        <w:rPr>
          <w:rFonts w:ascii="Arial" w:cs="Arial" w:eastAsia="Arial" w:hAnsi="Arial"/>
          <w:sz w:val="14"/>
          <w:szCs w:val="14"/>
          <w:color w:val="auto"/>
        </w:rPr>
        <w:t>Some of our earlier prenatal product innovations include our UNITY Complete Portfolio, which encompasses our original five gene UNITY Fetal Risk Screen, UNITY Aneuploidy Screen, UNITY Fetal RhD NIPT, and UNITY Fetal Antigen NIPT. We continue to innovate within our prenatal product portfolio. For example, we recently launched a 14-gene version of our UNITY Fetal Risk Screen panel, which screens for more conditions than our existing five-gene guideline-focused screening panel. We estimate the 14-gene version of UNITY Fetal Risk Screen will expand the serviceable addressable market for UNITY by 70%, as some physicians prefer larger panels.</w:t>
      </w:r>
      <w:r>
        <w:rPr>
          <w:rFonts w:ascii="Arial" w:cs="Arial" w:eastAsia="Arial" w:hAnsi="Arial"/>
          <w:sz w:val="20"/>
          <w:szCs w:val="20"/>
          <w:color w:val="auto"/>
          <w:vertAlign w:val="superscript"/>
        </w:rPr>
        <w:t>26</w:t>
      </w:r>
      <w:r>
        <w:rPr>
          <w:rFonts w:ascii="Arial" w:cs="Arial" w:eastAsia="Arial" w:hAnsi="Arial"/>
          <w:sz w:val="14"/>
          <w:szCs w:val="14"/>
          <w:color w:val="auto"/>
        </w:rPr>
        <w:t xml:space="preserve"> We plan to continue innovating novel screening and diagnostic products for the prenatal market.</w:t>
      </w:r>
    </w:p>
    <w:p>
      <w:pPr>
        <w:spacing w:after="0" w:line="90" w:lineRule="exact"/>
        <w:rPr>
          <w:sz w:val="20"/>
          <w:szCs w:val="20"/>
          <w:color w:val="auto"/>
        </w:rPr>
      </w:pPr>
    </w:p>
    <w:p>
      <w:pPr>
        <w:ind w:left="800" w:right="120"/>
        <w:spacing w:after="0"/>
        <w:rPr>
          <w:sz w:val="20"/>
          <w:szCs w:val="20"/>
          <w:color w:val="auto"/>
        </w:rPr>
      </w:pPr>
      <w:r>
        <w:rPr>
          <w:rFonts w:ascii="Arial" w:cs="Arial" w:eastAsia="Arial" w:hAnsi="Arial"/>
          <w:sz w:val="14"/>
          <w:szCs w:val="14"/>
          <w:color w:val="auto"/>
        </w:rPr>
        <w:t>We are innovating within our oncology portfolio of products as well. For example, earlier this year, we launched a new version of our Northstar Response test, called Response V2, which provides significant improvements in precision and sensitivity over our original Response product. Importantly, Response V2’s limit of detection at 0.01% tumor allele fraction already matches that of the leading tumor informed MRD assay. This level of sensitivity suggests our potential ability to develop a highly competitive tumor-naïve MRD assay using our smNGS platform. Longer-term we believe we may be able to develop products for even larger segments of the oncology diagnostic market, which we estimate represents an annual market opportunity of over $100 billion in the United States alone. Half of this addressable market includes early detection, an area in which we have not yet begun specific product development or commercial sales, but we believe will be strongly enabled by our existing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8613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6" w:lineRule="exact"/>
        <w:rPr>
          <w:sz w:val="20"/>
          <w:szCs w:val="20"/>
          <w:color w:val="auto"/>
        </w:rPr>
      </w:pPr>
    </w:p>
    <w:p>
      <w:pPr>
        <w:ind w:left="320" w:right="120" w:hanging="316"/>
        <w:spacing w:after="0" w:line="213" w:lineRule="auto"/>
        <w:tabs>
          <w:tab w:leader="none" w:pos="32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This estimate is based on a survey of over 100 OB/GYNs and MFMs conducted on our behalf in 2023 about their use of carrier screening panels. In response to a survey question about which panel sizes OB/GYNs and MFMs use for carrier screening, 35% of respondents indicated they use a panel covering 2-5 conditions, and 25% of respondents indicated they use a panel covering 6-15 conditions. Therefore, based on the survey responses, we estimate the 14-gene UNITY panel could potentially expand the serviceable addressable market for UNITY by 70% compared to the 5-gene panel.</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40"/>
          </w:cols>
          <w:pgMar w:left="300" w:top="385"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6316345" cy="31718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63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hanging="316"/>
        <w:spacing w:after="0" w:line="286" w:lineRule="auto"/>
        <w:tabs>
          <w:tab w:leader="none" w:pos="3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Estimated $2.5 billion prenatal market assumes two tests per pregnancy (per ACOG guidelines, which also support the use of NIPT for all pregnancies regardless of maternal age or prior risk), over 3.5 million births annually in the United States (per publicly available 2023 CDC data), and an ASP of over $400 per test (consistent with our historical ASP).</w:t>
      </w:r>
    </w:p>
    <w:p>
      <w:pPr>
        <w:spacing w:after="0" w:line="19" w:lineRule="exact"/>
        <w:rPr>
          <w:rFonts w:ascii="Arial" w:cs="Arial" w:eastAsia="Arial" w:hAnsi="Arial"/>
          <w:sz w:val="10"/>
          <w:szCs w:val="10"/>
          <w:color w:val="auto"/>
        </w:rPr>
      </w:pPr>
    </w:p>
    <w:p>
      <w:pPr>
        <w:ind w:left="320" w:right="20" w:hanging="316"/>
        <w:spacing w:after="0" w:line="263" w:lineRule="auto"/>
        <w:tabs>
          <w:tab w:leader="none" w:pos="3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Estimated $6 billion therapy selection market assumes 800,000 late-stage cancer patients are diagnosed every year (based on (i) 2,000,000 new cancer cases, excluding non-melanoma skin cancers, in the United States (per publicly available 2025 data from the American Cancer Society) and (ii) approximately 40% of cancers detected are late-stage (per publicly available 2025 data from the CDC)), two tests per patient (consistent with our internal user data), and an ASP of $4,000 per test (based on industry benchmarks ranging from approximately $3,000 to over $5,000 per test).</w:t>
      </w:r>
    </w:p>
    <w:p>
      <w:pPr>
        <w:spacing w:after="0" w:line="31" w:lineRule="exact"/>
        <w:rPr>
          <w:rFonts w:ascii="Arial" w:cs="Arial" w:eastAsia="Arial" w:hAnsi="Arial"/>
          <w:sz w:val="10"/>
          <w:szCs w:val="10"/>
          <w:color w:val="auto"/>
        </w:rPr>
      </w:pPr>
    </w:p>
    <w:p>
      <w:pPr>
        <w:ind w:left="320" w:right="80" w:hanging="316"/>
        <w:spacing w:after="0" w:line="263" w:lineRule="auto"/>
        <w:tabs>
          <w:tab w:leader="none" w:pos="3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Estimated over $15 billion therapy monitoring market assumes 800,000 late-stage cancer patients are diagnosed every year (based on the same assumptions outlined in (2) above), testing occurs six times per year (consistent with suggested industry intervals for tests with a similar purpose, such as CT scans), an 18-24 month average survival for late-stage cancer patients (based on our analysis of publicly available 2025 data from the American Cancer Society), and an ASP of $1,600 per test consistent with the CMS price of our test of $1,644.</w:t>
      </w:r>
    </w:p>
    <w:p>
      <w:pPr>
        <w:spacing w:after="0" w:line="31" w:lineRule="exact"/>
        <w:rPr>
          <w:rFonts w:ascii="Arial" w:cs="Arial" w:eastAsia="Arial" w:hAnsi="Arial"/>
          <w:sz w:val="10"/>
          <w:szCs w:val="10"/>
          <w:color w:val="auto"/>
        </w:rPr>
      </w:pPr>
    </w:p>
    <w:p>
      <w:pPr>
        <w:ind w:left="320" w:right="80" w:hanging="316"/>
        <w:spacing w:after="0" w:line="263" w:lineRule="auto"/>
        <w:tabs>
          <w:tab w:leader="none" w:pos="3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Estimated over $30 billion minimal residual disease market assumes 18.6 million cancer survivors (based on publicly available 2025 data from the American Cancer Society), two to three tests per patient per year (which we believe is a reasonable assumption for monitoring of this type), and an ASP of $1,000 per test based on the publicly disclosed ASP of competitor MRDs. We are developing a tissue-free, pan-cancer MRD test, which we expect to be commercially available in 2026.</w:t>
      </w:r>
    </w:p>
    <w:p>
      <w:pPr>
        <w:spacing w:after="0" w:line="31" w:lineRule="exact"/>
        <w:rPr>
          <w:rFonts w:ascii="Arial" w:cs="Arial" w:eastAsia="Arial" w:hAnsi="Arial"/>
          <w:sz w:val="10"/>
          <w:szCs w:val="10"/>
          <w:color w:val="auto"/>
        </w:rPr>
      </w:pPr>
    </w:p>
    <w:p>
      <w:pPr>
        <w:ind w:left="320" w:right="220" w:hanging="316"/>
        <w:spacing w:after="0" w:line="248" w:lineRule="auto"/>
        <w:tabs>
          <w:tab w:leader="none" w:pos="3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Estimated over $50 billion early detection market assumes eligible patients would include anyone over approximately 40 years of age, which is estimated at 157 million people in the United States (based on our analysis of the most recent U.S. census data), one-third of eligible patients would use an annual test (analogizing publicly reported industry usage of other tests that are recommended on an annual basis as part of a regular physical exam, such as mammograms and prostate cancer tests), and an ASP of $1,000 per test based on publicly disclosed CMS prices of competing early detection assays ranging from $600 to $1,500. Longer term, we believe that our smNGS-based technology could address the sensitivity challenges of early-stage cancer detection. While we have not yet started development in this area, the research work for MRD and our Select and Response tests is a necessary precursor to early detection development. We also believe that there is significant potential for our smNGS platform to accommodate products in this area. We believe the molecular information provided by our tests can assist in predicting the diagnostic pathway that can confirm the presence and tissue of origin of cancer. Given the capabilities of our existing tests and stated focus of our development efforts, we believe it is reasonable to include early detection in our calculation of total addressable market opportunity.</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0"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majority of our revenue is derived from sales of our prenatal test, UNITY, and a smaller portion is derived from sales of our liquid biopsy oncology tests, Northstar. Specifically, in 2024, 96% of our revenues were from our prenatal tests, 2% of our revenues were from our oncology tests, and 2% of our revenue was from our clinical trial support services. Additionally, during the six months ended June 30, 2025, 93% of our revenue was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60"/>
          </w:cols>
          <w:pgMar w:left="300" w:top="38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from our prenatal tests, 6% of our revenue was from our oncology tests, and 1% of our revenue was from our clinical trial support services. We market our products to health clinics and physicians or a combination of the insurance carrier and patient for fees. Revenue for tests is recognized when test results are delivered to the ordering physician.</w:t>
      </w:r>
    </w:p>
    <w:p>
      <w:pPr>
        <w:spacing w:after="0" w:line="59"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For many health clinics and physicians, the payment we ultimately receive depends upon the rate of reimbursement from insurance carriers. We may also negotiate rates with patients, if the patient is responsible for payment. Our efforts in obtaining reimbursement based on individual claims, including pursuing appeals or reconsiderations of claim denials, may take a substantial amount of time, and bills may not be paid for many months or, in some cases, ultimately may not receive payment.</w:t>
      </w:r>
    </w:p>
    <w:p>
      <w:pPr>
        <w:spacing w:after="0" w:line="8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We expect our revenue to increase over time as we expand our sales efforts, introduce new products, and contract with more payors. In addition, positive reimbursement decisions from insurance carriers would eliminate much of the uncertainty around payment and increase our overall revenue growth from ordering physicians.</w:t>
      </w:r>
    </w:p>
    <w:p>
      <w:pPr>
        <w:spacing w:after="0" w:line="6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We also derive revenue from a strategic partnership with Johnson &amp; Johnson that utilizes our testing capabilities as part of a project to perform clinical trials. Revenue from this strategic partnership agreement is recognized as services are performed and tests are delivered, as well as upon the achievement of certain milestones including (i) receipt of approval of the trial, which was achieved in 2023, (ii) various patient enrollment milestones, and (iii) subsequent full trial completion. Our revenue derived from this agreement has not been material to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cost of revenue consists primarily of expenses related to materials and consumables, test kits, personnel-related expenses such as salaries, stock-based compensation and related benefits for its operations and support personnel, shipping costs, overhead allocations, depreciation expense, facilities-related expenses and other services used in connection delivering the Company’s services.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99" w:lineRule="exact"/>
        <w:rPr>
          <w:sz w:val="20"/>
          <w:szCs w:val="20"/>
          <w:color w:val="auto"/>
        </w:rPr>
      </w:pPr>
    </w:p>
    <w:p>
      <w:pPr>
        <w:jc w:val="both"/>
        <w:ind w:right="540"/>
        <w:spacing w:after="0" w:line="252" w:lineRule="auto"/>
        <w:rPr>
          <w:sz w:val="20"/>
          <w:szCs w:val="20"/>
          <w:color w:val="auto"/>
        </w:rPr>
      </w:pPr>
      <w:r>
        <w:rPr>
          <w:rFonts w:ascii="Arial" w:cs="Arial" w:eastAsia="Arial" w:hAnsi="Arial"/>
          <w:sz w:val="14"/>
          <w:szCs w:val="14"/>
          <w:color w:val="auto"/>
        </w:rPr>
        <w:t>Gross profit represents revenue less cost of revenue. Gross margin is gross profit expressed as a percentage of revenue. Our gross profit has been, and may in the future be, influenced by several factors, including test volumes and prices paid for our tests, changes in materials and consumables costs, laboratory processing costs, personnel costs, shipping, and logistics costs.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Research and development expenses include costs incurred to develop our technology, clinical samples and conduct clinical studies to develop and support our products. These costs consist primarily of personnel-related expenses such as salaries and related benefits for our product development employees. Research and development expenses also include non-personnel costs such as materials and consumables used for research, clinical third-party services and consulting expenses, and an allocation of our general overhead expenses. These costs are expensed in the period as incurred.</w:t>
      </w:r>
    </w:p>
    <w:p>
      <w:pPr>
        <w:spacing w:after="0" w:line="85"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believe that continued investment in our products is important to our future growth and, as a result, we expect our research and development costs to increase in absolute dollars and moderately decline as a percentage of revenue over time if our revenue increases.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38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99" w:lineRule="exact"/>
        <w:rPr>
          <w:sz w:val="20"/>
          <w:szCs w:val="20"/>
          <w:color w:val="auto"/>
        </w:rPr>
      </w:pPr>
    </w:p>
    <w:p>
      <w:pPr>
        <w:ind w:right="460"/>
        <w:spacing w:after="0" w:line="252" w:lineRule="auto"/>
        <w:rPr>
          <w:sz w:val="20"/>
          <w:szCs w:val="20"/>
          <w:color w:val="auto"/>
        </w:rPr>
      </w:pPr>
      <w:r>
        <w:rPr>
          <w:rFonts w:ascii="Arial" w:cs="Arial" w:eastAsia="Arial" w:hAnsi="Arial"/>
          <w:sz w:val="14"/>
          <w:szCs w:val="14"/>
          <w:color w:val="auto"/>
        </w:rPr>
        <w:t>Selling, general and administrative expenses consist primarily of personnel-related expenses such as salaries and related benefits for our sales, marketing, and general and administrative employees. Selling, general and administrative expenses also include commission payments, marketing related expenses in promoting our brand and tests, and training costs for the sales employees.</w:t>
      </w:r>
    </w:p>
    <w:p>
      <w:pPr>
        <w:spacing w:after="0" w:line="8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We expect selling, general and administrative expenses to increase in absolute dollars as we increase our sales and marketing personnel, increase product offerings, grow our operations and incur additional expenses associated with operating as a public company. These expenses as a result of operating as a public company include expenses necessary to comply with the rules and regulations applicable to companies listed on Nasdaq and related compliance and reporting obligations pursuant to the rules and regulations of the SEC, as well as higher expenses for general and director and officer insurance, investor relations and other professional services.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income earned on our short-term cash and cash equivalents and marketable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10"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Interest expense is attributable to our borrowing with Western Alliance Bank, including the amortization of the debt discount. The debt with Western Alliance Bank was repaid in full in August 2024 with the proceeds from the new Oberland Capital debt. Interest on our finance leases is also recorded in interest expense.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gain on extinguishment of debt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Net gain on extinguishment of debt relates to the extinguishment of the Western Alliance Bank debt and 2022 Convertible Notes.</w:t>
      </w:r>
    </w:p>
    <w:p>
      <w:pPr>
        <w:spacing w:after="0" w:line="101"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elected to prepay the outstanding amount of the Western Alliance Bank debt in August 2024 and wrote-off the unamortized debt issuance costs incurred before prepayment fees in connection with the extinguishment.</w:t>
      </w:r>
    </w:p>
    <w:p>
      <w:pPr>
        <w:spacing w:after="0" w:line="69" w:lineRule="exact"/>
        <w:rPr>
          <w:sz w:val="20"/>
          <w:szCs w:val="20"/>
          <w:color w:val="auto"/>
        </w:rPr>
      </w:pPr>
    </w:p>
    <w:p>
      <w:pPr>
        <w:jc w:val="both"/>
        <w:ind w:right="200"/>
        <w:spacing w:after="0" w:line="252" w:lineRule="auto"/>
        <w:rPr>
          <w:sz w:val="20"/>
          <w:szCs w:val="20"/>
          <w:color w:val="auto"/>
        </w:rPr>
      </w:pPr>
      <w:r>
        <w:rPr>
          <w:rFonts w:ascii="Arial" w:cs="Arial" w:eastAsia="Arial" w:hAnsi="Arial"/>
          <w:sz w:val="14"/>
          <w:szCs w:val="14"/>
          <w:color w:val="auto"/>
        </w:rPr>
        <w:t>The 2022 Convertible Notes were amended such that the 2022 Convertible Notes converted into a round of preferred equity not originally contemplated in the agreement which we concluded was accounted for as a debt extinguishment. The gain on extinguishment consisted of the difference between the fair value of preferred equity received and the carrying amount of the 2022 Convertible Notes.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term loan</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Change in fair value of term loan relates to the Oberland Capital debt where we elected the fair value option under ASC 825 and is accounted for at fair value on a recurring basis. We also elected to record interest expense related to the Oberland Capital debt as change in fair value of term loan.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convertible notes</w:t>
      </w:r>
    </w:p>
    <w:p>
      <w:pPr>
        <w:spacing w:after="0" w:line="110"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Change in fair value of convertible notes relates to convertible debt where we elected the fair value option under ASC 825 and is accounted for at fair value on a recurring basis. We also elected to record interest expense related to the convertible debt as change in fair value of convertible notes.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60"/>
          </w:cols>
          <w:pgMar w:left="300" w:top="38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Other expense, net is comprised of the change in fair value of our liabilities related to warrants for common stock and redeemable convertible preferred stock and various income or expense items of a non-recurring nature.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99"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Provision for income taxes consists of U.S. federal, state, and foreign income taxes. We maintain a full valuation allowance on our federal and state deferred tax assets as we have concluded that it is not more likely than not that the deferred tax assets will be realized.</w:t>
      </w:r>
    </w:p>
    <w:p>
      <w:pPr>
        <w:spacing w:after="0" w:line="6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 xml:space="preserve">We account for uncertain tax positions in accordance with ASC 740-10, </w:t>
      </w:r>
      <w:r>
        <w:rPr>
          <w:rFonts w:ascii="Arial" w:cs="Arial" w:eastAsia="Arial" w:hAnsi="Arial"/>
          <w:sz w:val="14"/>
          <w:szCs w:val="14"/>
          <w:i w:val="1"/>
          <w:iCs w:val="1"/>
          <w:color w:val="auto"/>
        </w:rPr>
        <w:t>Accounting for Uncertainty in Income Taxes</w:t>
      </w:r>
      <w:r>
        <w:rPr>
          <w:rFonts w:ascii="Arial" w:cs="Arial" w:eastAsia="Arial" w:hAnsi="Arial"/>
          <w:sz w:val="14"/>
          <w:szCs w:val="14"/>
          <w:color w:val="auto"/>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 are classified in the financial statements as income tax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derived from our statements of operations for each of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Years ended 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22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760" w:type="dxa"/>
            <w:vAlign w:val="bottom"/>
            <w:tcBorders>
              <w:top w:val="single" w:sz="8" w:color="auto"/>
              <w:bottom w:val="single" w:sz="8" w:color="auto"/>
            </w:tcBorders>
          </w:tcPr>
          <w:p>
            <w:pPr>
              <w:jc w:val="right"/>
              <w:ind w:right="171"/>
              <w:spacing w:after="0" w:line="138" w:lineRule="exact"/>
              <w:rPr>
                <w:sz w:val="20"/>
                <w:szCs w:val="20"/>
                <w:color w:val="auto"/>
              </w:rPr>
            </w:pPr>
            <w:r>
              <w:rPr>
                <w:rFonts w:ascii="Arial" w:cs="Arial" w:eastAsia="Arial" w:hAnsi="Arial"/>
                <w:sz w:val="13"/>
                <w:szCs w:val="13"/>
                <w:b w:val="1"/>
                <w:bCs w:val="1"/>
                <w:color w:val="auto"/>
                <w:w w:val="88"/>
              </w:rPr>
              <w:t>     2023</w:t>
            </w: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2"/>
              </w:rPr>
              <w:t>     2024</w:t>
            </w: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780" w:type="dxa"/>
            <w:vAlign w:val="bottom"/>
            <w:tcBorders>
              <w:top w:val="single" w:sz="8" w:color="auto"/>
              <w:bottom w:val="single" w:sz="8" w:color="auto"/>
            </w:tcBorders>
          </w:tcPr>
          <w:p>
            <w:pPr>
              <w:jc w:val="right"/>
              <w:ind w:right="191"/>
              <w:spacing w:after="0" w:line="138" w:lineRule="exact"/>
              <w:rPr>
                <w:sz w:val="20"/>
                <w:szCs w:val="20"/>
                <w:color w:val="auto"/>
              </w:rPr>
            </w:pPr>
            <w:r>
              <w:rPr>
                <w:rFonts w:ascii="Arial" w:cs="Arial" w:eastAsia="Arial" w:hAnsi="Arial"/>
                <w:sz w:val="13"/>
                <w:szCs w:val="13"/>
                <w:b w:val="1"/>
                <w:bCs w:val="1"/>
                <w:color w:val="auto"/>
                <w:w w:val="88"/>
              </w:rPr>
              <w:t>     2024</w:t>
            </w: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60" w:type="dxa"/>
            <w:vAlign w:val="bottom"/>
            <w:tcBorders>
              <w:top w:val="single" w:sz="8" w:color="auto"/>
              <w:bottom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92"/>
              </w:rPr>
              <w:t>     2025</w:t>
            </w:r>
          </w:p>
        </w:tc>
        <w:tc>
          <w:tcPr>
            <w:tcW w:w="80" w:type="dxa"/>
            <w:vAlign w:val="bottom"/>
            <w:tcBorders>
              <w:bottom w:val="single" w:sz="8" w:color="auto"/>
            </w:tcBorders>
          </w:tcPr>
          <w:p>
            <w:pPr>
              <w:spacing w:after="0"/>
              <w:rPr>
                <w:sz w:val="11"/>
                <w:szCs w:val="11"/>
                <w:color w:val="auto"/>
              </w:rPr>
            </w:pPr>
          </w:p>
        </w:tc>
      </w:tr>
      <w:tr>
        <w:trPr>
          <w:trHeight w:val="148"/>
        </w:trPr>
        <w:tc>
          <w:tcPr>
            <w:tcW w:w="4740" w:type="dxa"/>
            <w:vAlign w:val="bottom"/>
            <w:gridSpan w:val="2"/>
            <w:shd w:val="clear" w:color="auto" w:fill="E5E5E5"/>
          </w:tcPr>
          <w:p>
            <w:pPr>
              <w:spacing w:after="0" w:line="148" w:lineRule="exact"/>
              <w:rPr>
                <w:sz w:val="20"/>
                <w:szCs w:val="20"/>
                <w:color w:val="auto"/>
              </w:rPr>
            </w:pPr>
            <w:r>
              <w:rPr>
                <w:rFonts w:ascii="Arial" w:cs="Arial" w:eastAsia="Arial" w:hAnsi="Arial"/>
                <w:sz w:val="14"/>
                <w:szCs w:val="14"/>
                <w:color w:val="auto"/>
              </w:rPr>
              <w:t>Revenue</w:t>
            </w:r>
          </w:p>
        </w:tc>
        <w:tc>
          <w:tcPr>
            <w:tcW w:w="2340" w:type="dxa"/>
            <w:vAlign w:val="bottom"/>
            <w:gridSpan w:val="2"/>
            <w:shd w:val="clear" w:color="auto" w:fill="E5E5E5"/>
          </w:tcPr>
          <w:p>
            <w:pPr>
              <w:jc w:val="right"/>
              <w:ind w:right="57"/>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71"/>
              <w:spacing w:after="0" w:line="148" w:lineRule="exact"/>
              <w:rPr>
                <w:sz w:val="20"/>
                <w:szCs w:val="20"/>
                <w:color w:val="auto"/>
              </w:rPr>
            </w:pPr>
            <w:r>
              <w:rPr>
                <w:rFonts w:ascii="Arial" w:cs="Arial" w:eastAsia="Arial" w:hAnsi="Arial"/>
                <w:sz w:val="14"/>
                <w:szCs w:val="14"/>
                <w:color w:val="auto"/>
              </w:rPr>
              <w:t>71,729</w:t>
            </w:r>
          </w:p>
        </w:tc>
        <w:tc>
          <w:tcPr>
            <w:tcW w:w="42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40"/>
              <w:spacing w:after="0" w:line="148" w:lineRule="exact"/>
              <w:rPr>
                <w:sz w:val="20"/>
                <w:szCs w:val="20"/>
                <w:color w:val="auto"/>
              </w:rPr>
            </w:pPr>
            <w:r>
              <w:rPr>
                <w:rFonts w:ascii="Arial" w:cs="Arial" w:eastAsia="Arial" w:hAnsi="Arial"/>
                <w:sz w:val="14"/>
                <w:szCs w:val="14"/>
                <w:color w:val="auto"/>
              </w:rPr>
              <w:t>152,582</w:t>
            </w:r>
          </w:p>
        </w:tc>
        <w:tc>
          <w:tcPr>
            <w:tcW w:w="400" w:type="dxa"/>
            <w:vAlign w:val="bottom"/>
            <w:gridSpan w:val="2"/>
            <w:shd w:val="clear" w:color="auto" w:fill="E5E5E5"/>
          </w:tcPr>
          <w:p>
            <w:pPr>
              <w:jc w:val="right"/>
              <w:ind w:right="77"/>
              <w:spacing w:after="0" w:line="148" w:lineRule="exact"/>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91"/>
              <w:spacing w:after="0" w:line="148" w:lineRule="exact"/>
              <w:rPr>
                <w:sz w:val="20"/>
                <w:szCs w:val="20"/>
                <w:color w:val="auto"/>
              </w:rPr>
            </w:pPr>
            <w:r>
              <w:rPr>
                <w:rFonts w:ascii="Arial" w:cs="Arial" w:eastAsia="Arial" w:hAnsi="Arial"/>
                <w:sz w:val="14"/>
                <w:szCs w:val="14"/>
                <w:color w:val="auto"/>
              </w:rPr>
              <w:t>69,086</w:t>
            </w:r>
          </w:p>
        </w:tc>
        <w:tc>
          <w:tcPr>
            <w:tcW w:w="42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E5E5E5"/>
          </w:tcPr>
          <w:p>
            <w:pPr>
              <w:jc w:val="right"/>
              <w:ind w:right="20"/>
              <w:spacing w:after="0" w:line="148" w:lineRule="exact"/>
              <w:rPr>
                <w:sz w:val="20"/>
                <w:szCs w:val="20"/>
                <w:color w:val="auto"/>
              </w:rPr>
            </w:pPr>
            <w:r>
              <w:rPr>
                <w:rFonts w:ascii="Arial" w:cs="Arial" w:eastAsia="Arial" w:hAnsi="Arial"/>
                <w:sz w:val="14"/>
                <w:szCs w:val="14"/>
                <w:color w:val="auto"/>
              </w:rPr>
              <w:t>125,536</w:t>
            </w:r>
          </w:p>
        </w:tc>
        <w:tc>
          <w:tcPr>
            <w:tcW w:w="80" w:type="dxa"/>
            <w:vAlign w:val="bottom"/>
            <w:shd w:val="clear" w:color="auto" w:fill="E5E5E5"/>
          </w:tcPr>
          <w:p>
            <w:pPr>
              <w:spacing w:after="0"/>
              <w:rPr>
                <w:sz w:val="12"/>
                <w:szCs w:val="12"/>
                <w:color w:val="auto"/>
              </w:rPr>
            </w:pPr>
          </w:p>
        </w:tc>
      </w:tr>
      <w:tr>
        <w:trPr>
          <w:trHeight w:val="158"/>
        </w:trPr>
        <w:tc>
          <w:tcPr>
            <w:tcW w:w="4740" w:type="dxa"/>
            <w:vAlign w:val="bottom"/>
            <w:gridSpan w:val="2"/>
          </w:tcPr>
          <w:p>
            <w:pPr>
              <w:spacing w:after="0" w:line="157" w:lineRule="exact"/>
              <w:rPr>
                <w:sz w:val="20"/>
                <w:szCs w:val="20"/>
                <w:color w:val="auto"/>
              </w:rPr>
            </w:pPr>
            <w:r>
              <w:rPr>
                <w:rFonts w:ascii="Arial" w:cs="Arial" w:eastAsia="Arial" w:hAnsi="Arial"/>
                <w:sz w:val="13"/>
                <w:szCs w:val="13"/>
                <w:color w:val="auto"/>
              </w:rPr>
              <w:t>Cost of revenue</w:t>
            </w:r>
            <w:r>
              <w:rPr>
                <w:rFonts w:ascii="Arial" w:cs="Arial" w:eastAsia="Arial" w:hAnsi="Arial"/>
                <w:sz w:val="18"/>
                <w:szCs w:val="18"/>
                <w:color w:val="auto"/>
                <w:vertAlign w:val="superscript"/>
              </w:rPr>
              <w:t>(1)</w:t>
            </w:r>
          </w:p>
        </w:tc>
        <w:tc>
          <w:tcPr>
            <w:tcW w:w="2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54,421</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71,667</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34,105</w:t>
            </w: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44,098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Gross profit</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17,308</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80,915</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rPr>
              <w:t>34,981</w:t>
            </w:r>
          </w:p>
        </w:tc>
        <w:tc>
          <w:tcPr>
            <w:tcW w:w="4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81,438</w:t>
            </w:r>
          </w:p>
        </w:tc>
        <w:tc>
          <w:tcPr>
            <w:tcW w:w="80" w:type="dxa"/>
            <w:vAlign w:val="bottom"/>
            <w:shd w:val="clear" w:color="auto" w:fill="E5E5E5"/>
          </w:tcPr>
          <w:p>
            <w:pPr>
              <w:spacing w:after="0"/>
              <w:rPr>
                <w:sz w:val="13"/>
                <w:szCs w:val="13"/>
                <w:color w:val="auto"/>
              </w:rPr>
            </w:pPr>
          </w:p>
        </w:tc>
      </w:tr>
      <w:tr>
        <w:trPr>
          <w:trHeight w:val="211"/>
        </w:trPr>
        <w:tc>
          <w:tcPr>
            <w:tcW w:w="47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220" w:type="dxa"/>
            <w:vAlign w:val="bottom"/>
            <w:shd w:val="clear" w:color="auto" w:fill="E5E5E5"/>
          </w:tcPr>
          <w:p>
            <w:pPr>
              <w:spacing w:after="0"/>
              <w:rPr>
                <w:sz w:val="13"/>
                <w:szCs w:val="13"/>
                <w:color w:val="auto"/>
              </w:rPr>
            </w:pPr>
          </w:p>
        </w:tc>
        <w:tc>
          <w:tcPr>
            <w:tcW w:w="4520" w:type="dxa"/>
            <w:vAlign w:val="bottom"/>
            <w:shd w:val="clear" w:color="auto" w:fill="E5E5E5"/>
          </w:tcPr>
          <w:p>
            <w:pPr>
              <w:ind w:left="60"/>
              <w:spacing w:after="0" w:line="157" w:lineRule="exact"/>
              <w:rPr>
                <w:sz w:val="20"/>
                <w:szCs w:val="20"/>
                <w:color w:val="auto"/>
              </w:rPr>
            </w:pPr>
            <w:r>
              <w:rPr>
                <w:rFonts w:ascii="Arial" w:cs="Arial" w:eastAsia="Arial" w:hAnsi="Arial"/>
                <w:sz w:val="13"/>
                <w:szCs w:val="13"/>
                <w:color w:val="auto"/>
              </w:rPr>
              <w:t>Research and development</w:t>
            </w:r>
            <w:r>
              <w:rPr>
                <w:rFonts w:ascii="Arial" w:cs="Arial" w:eastAsia="Arial" w:hAnsi="Arial"/>
                <w:sz w:val="18"/>
                <w:szCs w:val="18"/>
                <w:color w:val="auto"/>
                <w:vertAlign w:val="superscript"/>
              </w:rPr>
              <w:t>(1)</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22,414</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36,596</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rPr>
              <w:t>16,050</w:t>
            </w:r>
          </w:p>
        </w:tc>
        <w:tc>
          <w:tcPr>
            <w:tcW w:w="4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22,181</w:t>
            </w:r>
          </w:p>
        </w:tc>
        <w:tc>
          <w:tcPr>
            <w:tcW w:w="80" w:type="dxa"/>
            <w:vAlign w:val="bottom"/>
            <w:shd w:val="clear" w:color="auto" w:fill="E5E5E5"/>
          </w:tcPr>
          <w:p>
            <w:pPr>
              <w:spacing w:after="0"/>
              <w:rPr>
                <w:sz w:val="13"/>
                <w:szCs w:val="13"/>
                <w:color w:val="auto"/>
              </w:rPr>
            </w:pPr>
          </w:p>
        </w:tc>
      </w:tr>
      <w:tr>
        <w:trPr>
          <w:trHeight w:val="158"/>
        </w:trPr>
        <w:tc>
          <w:tcPr>
            <w:tcW w:w="220" w:type="dxa"/>
            <w:vAlign w:val="bottom"/>
          </w:tcPr>
          <w:p>
            <w:pPr>
              <w:spacing w:after="0"/>
              <w:rPr>
                <w:sz w:val="13"/>
                <w:szCs w:val="13"/>
                <w:color w:val="auto"/>
              </w:rPr>
            </w:pPr>
          </w:p>
        </w:tc>
        <w:tc>
          <w:tcPr>
            <w:tcW w:w="4520" w:type="dxa"/>
            <w:vAlign w:val="bottom"/>
          </w:tcPr>
          <w:p>
            <w:pPr>
              <w:ind w:left="60"/>
              <w:spacing w:after="0" w:line="157" w:lineRule="exact"/>
              <w:rPr>
                <w:sz w:val="20"/>
                <w:szCs w:val="20"/>
                <w:color w:val="auto"/>
              </w:rPr>
            </w:pPr>
            <w:r>
              <w:rPr>
                <w:rFonts w:ascii="Arial" w:cs="Arial" w:eastAsia="Arial" w:hAnsi="Arial"/>
                <w:sz w:val="13"/>
                <w:szCs w:val="13"/>
                <w:color w:val="auto"/>
              </w:rPr>
              <w:t>Selling, general and administrative</w:t>
            </w:r>
            <w:r>
              <w:rPr>
                <w:rFonts w:ascii="Arial" w:cs="Arial" w:eastAsia="Arial" w:hAnsi="Arial"/>
                <w:sz w:val="18"/>
                <w:szCs w:val="18"/>
                <w:color w:val="auto"/>
                <w:vertAlign w:val="superscript"/>
              </w:rPr>
              <w:t>(1)</w:t>
            </w:r>
          </w:p>
        </w:tc>
        <w:tc>
          <w:tcPr>
            <w:tcW w:w="2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64,389</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91,465</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41,751</w:t>
            </w: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63,199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Total operating expenses</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86,803</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128,061</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rPr>
              <w:t>57,801</w:t>
            </w:r>
          </w:p>
        </w:tc>
        <w:tc>
          <w:tcPr>
            <w:tcW w:w="4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85,380</w:t>
            </w:r>
          </w:p>
        </w:tc>
        <w:tc>
          <w:tcPr>
            <w:tcW w:w="80" w:type="dxa"/>
            <w:vAlign w:val="bottom"/>
            <w:shd w:val="clear" w:color="auto" w:fill="E5E5E5"/>
          </w:tcPr>
          <w:p>
            <w:pPr>
              <w:spacing w:after="0"/>
              <w:rPr>
                <w:sz w:val="13"/>
                <w:szCs w:val="13"/>
                <w:color w:val="auto"/>
              </w:rPr>
            </w:pPr>
          </w:p>
        </w:tc>
      </w:tr>
      <w:tr>
        <w:trPr>
          <w:trHeight w:val="175"/>
        </w:trPr>
        <w:tc>
          <w:tcPr>
            <w:tcW w:w="47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(69,495)</w:t>
            </w:r>
          </w:p>
        </w:tc>
        <w:tc>
          <w:tcPr>
            <w:tcW w:w="4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(47,146)</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(22,820)</w:t>
            </w:r>
          </w:p>
        </w:tc>
        <w:tc>
          <w:tcPr>
            <w:tcW w:w="4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
        </w:trPr>
        <w:tc>
          <w:tcPr>
            <w:tcW w:w="4740" w:type="dxa"/>
            <w:vAlign w:val="bottom"/>
            <w:gridSpan w:val="2"/>
          </w:tcPr>
          <w:p>
            <w:pPr>
              <w:spacing w:after="0"/>
              <w:rPr>
                <w:sz w:val="3"/>
                <w:szCs w:val="3"/>
                <w:color w:val="auto"/>
              </w:rPr>
            </w:pPr>
          </w:p>
        </w:tc>
        <w:tc>
          <w:tcPr>
            <w:tcW w:w="2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r>
      <w:tr>
        <w:trPr>
          <w:trHeight w:val="157"/>
        </w:trPr>
        <w:tc>
          <w:tcPr>
            <w:tcW w:w="4740" w:type="dxa"/>
            <w:vAlign w:val="bottom"/>
            <w:gridSpan w:val="2"/>
          </w:tcPr>
          <w:p>
            <w:pPr>
              <w:spacing w:after="0" w:line="157" w:lineRule="exact"/>
              <w:rPr>
                <w:sz w:val="20"/>
                <w:szCs w:val="20"/>
                <w:color w:val="auto"/>
              </w:rPr>
            </w:pPr>
            <w:r>
              <w:rPr>
                <w:rFonts w:ascii="Arial" w:cs="Arial" w:eastAsia="Arial" w:hAnsi="Arial"/>
                <w:sz w:val="14"/>
                <w:szCs w:val="14"/>
                <w:color w:val="auto"/>
              </w:rPr>
              <w:t>Interest income</w:t>
            </w: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71"/>
              <w:spacing w:after="0" w:line="157" w:lineRule="exact"/>
              <w:rPr>
                <w:sz w:val="20"/>
                <w:szCs w:val="20"/>
                <w:color w:val="auto"/>
              </w:rPr>
            </w:pPr>
            <w:r>
              <w:rPr>
                <w:rFonts w:ascii="Arial" w:cs="Arial" w:eastAsia="Arial" w:hAnsi="Arial"/>
                <w:sz w:val="14"/>
                <w:szCs w:val="14"/>
                <w:color w:val="auto"/>
              </w:rPr>
              <w:t>3,456</w:t>
            </w:r>
          </w:p>
        </w:tc>
        <w:tc>
          <w:tcPr>
            <w:tcW w:w="420" w:type="dxa"/>
            <w:vAlign w:val="bottom"/>
          </w:tcPr>
          <w:p>
            <w:pPr>
              <w:spacing w:after="0"/>
              <w:rPr>
                <w:sz w:val="13"/>
                <w:szCs w:val="13"/>
                <w:color w:val="auto"/>
              </w:rPr>
            </w:pPr>
          </w:p>
        </w:tc>
        <w:tc>
          <w:tcPr>
            <w:tcW w:w="7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5,819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91"/>
              <w:spacing w:after="0" w:line="157" w:lineRule="exact"/>
              <w:rPr>
                <w:sz w:val="20"/>
                <w:szCs w:val="20"/>
                <w:color w:val="auto"/>
              </w:rPr>
            </w:pPr>
            <w:r>
              <w:rPr>
                <w:rFonts w:ascii="Arial" w:cs="Arial" w:eastAsia="Arial" w:hAnsi="Arial"/>
                <w:sz w:val="14"/>
                <w:szCs w:val="14"/>
                <w:color w:val="auto"/>
              </w:rPr>
              <w:t>2,196</w:t>
            </w:r>
          </w:p>
        </w:tc>
        <w:tc>
          <w:tcPr>
            <w:tcW w:w="420" w:type="dxa"/>
            <w:vAlign w:val="bottom"/>
          </w:tcPr>
          <w:p>
            <w:pPr>
              <w:spacing w:after="0"/>
              <w:rPr>
                <w:sz w:val="13"/>
                <w:szCs w:val="13"/>
                <w:color w:val="auto"/>
              </w:rPr>
            </w:pP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2,957</w:t>
            </w:r>
          </w:p>
        </w:tc>
        <w:tc>
          <w:tcPr>
            <w:tcW w:w="80" w:type="dxa"/>
            <w:vAlign w:val="bottom"/>
          </w:tcPr>
          <w:p>
            <w:pPr>
              <w:spacing w:after="0"/>
              <w:rPr>
                <w:sz w:val="13"/>
                <w:szCs w:val="1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Interest expense</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31"/>
              <w:spacing w:after="0" w:line="157" w:lineRule="exact"/>
              <w:rPr>
                <w:sz w:val="20"/>
                <w:szCs w:val="20"/>
                <w:color w:val="auto"/>
              </w:rPr>
            </w:pPr>
            <w:r>
              <w:rPr>
                <w:rFonts w:ascii="Arial" w:cs="Arial" w:eastAsia="Arial" w:hAnsi="Arial"/>
                <w:sz w:val="14"/>
                <w:szCs w:val="14"/>
                <w:color w:val="auto"/>
              </w:rPr>
              <w:t>(3,272)</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(2,386)</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51"/>
              <w:spacing w:after="0" w:line="157" w:lineRule="exact"/>
              <w:rPr>
                <w:sz w:val="20"/>
                <w:szCs w:val="20"/>
                <w:color w:val="auto"/>
              </w:rPr>
            </w:pPr>
            <w:r>
              <w:rPr>
                <w:rFonts w:ascii="Arial" w:cs="Arial" w:eastAsia="Arial" w:hAnsi="Arial"/>
                <w:sz w:val="14"/>
                <w:szCs w:val="14"/>
                <w:color w:val="auto"/>
              </w:rPr>
              <w:t>(1,917)</w:t>
            </w:r>
          </w:p>
        </w:tc>
        <w:tc>
          <w:tcPr>
            <w:tcW w:w="4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(72)</w:t>
            </w:r>
          </w:p>
        </w:tc>
      </w:tr>
      <w:tr>
        <w:trPr>
          <w:trHeight w:val="157"/>
        </w:trPr>
        <w:tc>
          <w:tcPr>
            <w:tcW w:w="4740" w:type="dxa"/>
            <w:vAlign w:val="bottom"/>
            <w:gridSpan w:val="2"/>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71"/>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7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7,289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91"/>
              <w:spacing w:after="0" w:line="157" w:lineRule="exact"/>
              <w:rPr>
                <w:sz w:val="20"/>
                <w:szCs w:val="20"/>
                <w:color w:val="auto"/>
              </w:rPr>
            </w:pPr>
            <w:r>
              <w:rPr>
                <w:rFonts w:ascii="Arial" w:cs="Arial" w:eastAsia="Arial" w:hAnsi="Arial"/>
                <w:sz w:val="14"/>
                <w:szCs w:val="14"/>
                <w:color w:val="auto"/>
              </w:rPr>
              <w:t>8,635</w:t>
            </w:r>
          </w:p>
        </w:tc>
        <w:tc>
          <w:tcPr>
            <w:tcW w:w="420" w:type="dxa"/>
            <w:vAlign w:val="bottom"/>
          </w:tcPr>
          <w:p>
            <w:pPr>
              <w:spacing w:after="0"/>
              <w:rPr>
                <w:sz w:val="13"/>
                <w:szCs w:val="13"/>
                <w:color w:val="auto"/>
              </w:rPr>
            </w:pPr>
          </w:p>
        </w:tc>
        <w:tc>
          <w:tcPr>
            <w:tcW w:w="64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term loan</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(3,137)</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(3,102)</w:t>
            </w:r>
          </w:p>
        </w:tc>
      </w:tr>
      <w:tr>
        <w:trPr>
          <w:trHeight w:val="157"/>
        </w:trPr>
        <w:tc>
          <w:tcPr>
            <w:tcW w:w="4740" w:type="dxa"/>
            <w:vAlign w:val="bottom"/>
            <w:gridSpan w:val="2"/>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31"/>
              <w:spacing w:after="0" w:line="157" w:lineRule="exact"/>
              <w:rPr>
                <w:sz w:val="20"/>
                <w:szCs w:val="20"/>
                <w:color w:val="auto"/>
              </w:rPr>
            </w:pPr>
            <w:r>
              <w:rPr>
                <w:rFonts w:ascii="Arial" w:cs="Arial" w:eastAsia="Arial" w:hAnsi="Arial"/>
                <w:sz w:val="14"/>
                <w:szCs w:val="14"/>
                <w:color w:val="auto"/>
              </w:rPr>
              <w:t>(12,921)</w:t>
            </w:r>
          </w:p>
        </w:tc>
        <w:tc>
          <w:tcPr>
            <w:tcW w:w="420" w:type="dxa"/>
            <w:vAlign w:val="bottom"/>
          </w:tcPr>
          <w:p>
            <w:pPr>
              <w:spacing w:after="0"/>
              <w:rPr>
                <w:sz w:val="13"/>
                <w:szCs w:val="13"/>
                <w:color w:val="auto"/>
              </w:rPr>
            </w:pPr>
          </w:p>
        </w:tc>
        <w:tc>
          <w:tcPr>
            <w:tcW w:w="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(835)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51"/>
              <w:spacing w:after="0" w:line="157" w:lineRule="exact"/>
              <w:rPr>
                <w:sz w:val="20"/>
                <w:szCs w:val="20"/>
                <w:color w:val="auto"/>
              </w:rPr>
            </w:pPr>
            <w:r>
              <w:rPr>
                <w:rFonts w:ascii="Arial" w:cs="Arial" w:eastAsia="Arial" w:hAnsi="Arial"/>
                <w:sz w:val="14"/>
                <w:szCs w:val="14"/>
                <w:color w:val="auto"/>
              </w:rPr>
              <w:t>(835)</w:t>
            </w:r>
          </w:p>
        </w:tc>
        <w:tc>
          <w:tcPr>
            <w:tcW w:w="420" w:type="dxa"/>
            <w:vAlign w:val="bottom"/>
          </w:tcPr>
          <w:p>
            <w:pPr>
              <w:spacing w:after="0"/>
              <w:rPr>
                <w:sz w:val="13"/>
                <w:szCs w:val="13"/>
                <w:color w:val="auto"/>
              </w:rPr>
            </w:pPr>
          </w:p>
        </w:tc>
        <w:tc>
          <w:tcPr>
            <w:tcW w:w="64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 net</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31"/>
              <w:spacing w:after="0" w:line="157" w:lineRule="exact"/>
              <w:rPr>
                <w:sz w:val="20"/>
                <w:szCs w:val="20"/>
                <w:color w:val="auto"/>
              </w:rPr>
            </w:pPr>
            <w:r>
              <w:rPr>
                <w:rFonts w:ascii="Arial" w:cs="Arial" w:eastAsia="Arial" w:hAnsi="Arial"/>
                <w:sz w:val="14"/>
                <w:szCs w:val="14"/>
                <w:color w:val="auto"/>
              </w:rPr>
              <w:t>(442)</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(1,145)</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51"/>
              <w:spacing w:after="0" w:line="157" w:lineRule="exact"/>
              <w:rPr>
                <w:sz w:val="20"/>
                <w:szCs w:val="20"/>
                <w:color w:val="auto"/>
              </w:rPr>
            </w:pPr>
            <w:r>
              <w:rPr>
                <w:rFonts w:ascii="Arial" w:cs="Arial" w:eastAsia="Arial" w:hAnsi="Arial"/>
                <w:sz w:val="14"/>
                <w:szCs w:val="14"/>
                <w:color w:val="auto"/>
              </w:rPr>
              <w:t>(443)</w:t>
            </w:r>
          </w:p>
        </w:tc>
        <w:tc>
          <w:tcPr>
            <w:tcW w:w="420" w:type="dxa"/>
            <w:vAlign w:val="bottom"/>
            <w:shd w:val="clear" w:color="auto" w:fill="E5E5E5"/>
          </w:tcPr>
          <w:p>
            <w:pPr>
              <w:spacing w:after="0"/>
              <w:rPr>
                <w:sz w:val="13"/>
                <w:szCs w:val="13"/>
                <w:color w:val="auto"/>
              </w:rPr>
            </w:pPr>
          </w:p>
        </w:tc>
        <w:tc>
          <w:tcPr>
            <w:tcW w:w="5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39</w:t>
            </w:r>
          </w:p>
        </w:tc>
        <w:tc>
          <w:tcPr>
            <w:tcW w:w="80" w:type="dxa"/>
            <w:vAlign w:val="bottom"/>
            <w:shd w:val="clear" w:color="auto" w:fill="E5E5E5"/>
          </w:tcPr>
          <w:p>
            <w:pPr>
              <w:spacing w:after="0"/>
              <w:rPr>
                <w:sz w:val="13"/>
                <w:szCs w:val="13"/>
                <w:color w:val="auto"/>
              </w:rPr>
            </w:pPr>
          </w:p>
        </w:tc>
      </w:tr>
      <w:tr>
        <w:trPr>
          <w:trHeight w:val="159"/>
        </w:trPr>
        <w:tc>
          <w:tcPr>
            <w:tcW w:w="4740" w:type="dxa"/>
            <w:vAlign w:val="bottom"/>
            <w:gridSpan w:val="2"/>
          </w:tcPr>
          <w:p>
            <w:pPr>
              <w:spacing w:after="0" w:line="159" w:lineRule="exact"/>
              <w:rPr>
                <w:sz w:val="20"/>
                <w:szCs w:val="20"/>
                <w:color w:val="auto"/>
              </w:rPr>
            </w:pPr>
            <w:r>
              <w:rPr>
                <w:rFonts w:ascii="Arial" w:cs="Arial" w:eastAsia="Arial" w:hAnsi="Arial"/>
                <w:sz w:val="14"/>
                <w:szCs w:val="14"/>
                <w:color w:val="auto"/>
              </w:rPr>
              <w:t>Total other income (expense)</w:t>
            </w:r>
          </w:p>
        </w:tc>
        <w:tc>
          <w:tcPr>
            <w:tcW w:w="2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1"/>
              <w:spacing w:after="0" w:line="159" w:lineRule="exact"/>
              <w:rPr>
                <w:sz w:val="20"/>
                <w:szCs w:val="20"/>
                <w:color w:val="auto"/>
              </w:rPr>
            </w:pPr>
            <w:r>
              <w:rPr>
                <w:rFonts w:ascii="Arial" w:cs="Arial" w:eastAsia="Arial" w:hAnsi="Arial"/>
                <w:sz w:val="14"/>
                <w:szCs w:val="14"/>
                <w:color w:val="auto"/>
              </w:rPr>
              <w:t>(13,179)</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40"/>
              <w:spacing w:after="0" w:line="159" w:lineRule="exact"/>
              <w:rPr>
                <w:sz w:val="20"/>
                <w:szCs w:val="20"/>
                <w:color w:val="auto"/>
              </w:rPr>
            </w:pPr>
            <w:r>
              <w:rPr>
                <w:rFonts w:ascii="Arial" w:cs="Arial" w:eastAsia="Arial" w:hAnsi="Arial"/>
                <w:sz w:val="14"/>
                <w:szCs w:val="14"/>
                <w:color w:val="auto"/>
              </w:rPr>
              <w:t>5,605</w:t>
            </w: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1"/>
              <w:spacing w:after="0" w:line="159" w:lineRule="exact"/>
              <w:rPr>
                <w:sz w:val="20"/>
                <w:szCs w:val="20"/>
                <w:color w:val="auto"/>
              </w:rPr>
            </w:pPr>
            <w:r>
              <w:rPr>
                <w:rFonts w:ascii="Arial" w:cs="Arial" w:eastAsia="Arial" w:hAnsi="Arial"/>
                <w:sz w:val="14"/>
                <w:szCs w:val="14"/>
                <w:color w:val="auto"/>
              </w:rPr>
              <w:t>7,636</w:t>
            </w:r>
          </w:p>
        </w:tc>
        <w:tc>
          <w:tcPr>
            <w:tcW w:w="4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Loss before provision for income taxes</w:t>
            </w:r>
          </w:p>
        </w:tc>
        <w:tc>
          <w:tcPr>
            <w:tcW w:w="21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31"/>
              <w:spacing w:after="0" w:line="157" w:lineRule="exact"/>
              <w:rPr>
                <w:sz w:val="20"/>
                <w:szCs w:val="20"/>
                <w:color w:val="auto"/>
              </w:rPr>
            </w:pPr>
            <w:r>
              <w:rPr>
                <w:rFonts w:ascii="Arial" w:cs="Arial" w:eastAsia="Arial" w:hAnsi="Arial"/>
                <w:sz w:val="14"/>
                <w:szCs w:val="14"/>
                <w:color w:val="auto"/>
              </w:rPr>
              <w:t>(82,674)</w:t>
            </w:r>
          </w:p>
        </w:tc>
        <w:tc>
          <w:tcPr>
            <w:tcW w:w="42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(41,541)</w:t>
            </w: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51"/>
              <w:spacing w:after="0" w:line="157" w:lineRule="exact"/>
              <w:rPr>
                <w:sz w:val="20"/>
                <w:szCs w:val="20"/>
                <w:color w:val="auto"/>
              </w:rPr>
            </w:pPr>
            <w:r>
              <w:rPr>
                <w:rFonts w:ascii="Arial" w:cs="Arial" w:eastAsia="Arial" w:hAnsi="Arial"/>
                <w:sz w:val="14"/>
                <w:szCs w:val="14"/>
                <w:color w:val="auto"/>
              </w:rPr>
              <w:t>(15,184)</w:t>
            </w:r>
          </w:p>
        </w:tc>
        <w:tc>
          <w:tcPr>
            <w:tcW w:w="420" w:type="dxa"/>
            <w:vAlign w:val="bottom"/>
            <w:shd w:val="clear" w:color="auto" w:fill="E5E5E5"/>
          </w:tcPr>
          <w:p>
            <w:pPr>
              <w:spacing w:after="0"/>
              <w:rPr>
                <w:sz w:val="13"/>
                <w:szCs w:val="13"/>
                <w:color w:val="auto"/>
              </w:rPr>
            </w:pP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(4,120)</w:t>
            </w:r>
          </w:p>
        </w:tc>
      </w:tr>
      <w:tr>
        <w:trPr>
          <w:trHeight w:val="158"/>
        </w:trPr>
        <w:tc>
          <w:tcPr>
            <w:tcW w:w="4740" w:type="dxa"/>
            <w:vAlign w:val="bottom"/>
            <w:gridSpan w:val="2"/>
          </w:tcPr>
          <w:p>
            <w:pPr>
              <w:spacing w:after="0" w:line="157" w:lineRule="exact"/>
              <w:rPr>
                <w:sz w:val="20"/>
                <w:szCs w:val="20"/>
                <w:color w:val="auto"/>
              </w:rPr>
            </w:pPr>
            <w:r>
              <w:rPr>
                <w:rFonts w:ascii="Arial" w:cs="Arial" w:eastAsia="Arial" w:hAnsi="Arial"/>
                <w:sz w:val="14"/>
                <w:szCs w:val="14"/>
                <w:color w:val="auto"/>
              </w:rPr>
              <w:t>Provision for income taxes</w:t>
            </w:r>
          </w:p>
        </w:tc>
        <w:tc>
          <w:tcPr>
            <w:tcW w:w="2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9</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5</w:t>
            </w: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74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Net loss</w:t>
            </w:r>
          </w:p>
        </w:tc>
        <w:tc>
          <w:tcPr>
            <w:tcW w:w="2340" w:type="dxa"/>
            <w:vAlign w:val="bottom"/>
            <w:gridSpan w:val="2"/>
            <w:shd w:val="clear" w:color="auto" w:fill="E5E5E5"/>
          </w:tcPr>
          <w:p>
            <w:pPr>
              <w:jc w:val="right"/>
              <w:ind w:right="57"/>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31"/>
              <w:spacing w:after="0" w:line="157" w:lineRule="exact"/>
              <w:rPr>
                <w:sz w:val="20"/>
                <w:szCs w:val="20"/>
                <w:color w:val="auto"/>
              </w:rPr>
            </w:pPr>
            <w:r>
              <w:rPr>
                <w:rFonts w:ascii="Arial" w:cs="Arial" w:eastAsia="Arial" w:hAnsi="Arial"/>
                <w:sz w:val="14"/>
                <w:szCs w:val="14"/>
                <w:color w:val="auto"/>
              </w:rPr>
              <w:t>(82,683)</w:t>
            </w:r>
          </w:p>
        </w:tc>
        <w:tc>
          <w:tcPr>
            <w:tcW w:w="420" w:type="dxa"/>
            <w:vAlign w:val="bottom"/>
            <w:shd w:val="clear" w:color="auto" w:fill="E5E5E5"/>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(41,570)</w:t>
            </w:r>
          </w:p>
        </w:tc>
        <w:tc>
          <w:tcPr>
            <w:tcW w:w="400" w:type="dxa"/>
            <w:vAlign w:val="bottom"/>
            <w:gridSpan w:val="2"/>
            <w:shd w:val="clear" w:color="auto" w:fill="E5E5E5"/>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51"/>
              <w:spacing w:after="0" w:line="157" w:lineRule="exact"/>
              <w:rPr>
                <w:sz w:val="20"/>
                <w:szCs w:val="20"/>
                <w:color w:val="auto"/>
              </w:rPr>
            </w:pPr>
            <w:r>
              <w:rPr>
                <w:rFonts w:ascii="Arial" w:cs="Arial" w:eastAsia="Arial" w:hAnsi="Arial"/>
                <w:sz w:val="14"/>
                <w:szCs w:val="14"/>
                <w:color w:val="auto"/>
              </w:rPr>
              <w:t>(15,189)</w:t>
            </w:r>
          </w:p>
        </w:tc>
        <w:tc>
          <w:tcPr>
            <w:tcW w:w="420" w:type="dxa"/>
            <w:vAlign w:val="bottom"/>
            <w:shd w:val="clear" w:color="auto" w:fill="E5E5E5"/>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(4,234)</w:t>
            </w:r>
          </w:p>
        </w:tc>
      </w:tr>
      <w:tr>
        <w:trPr>
          <w:trHeight w:val="157"/>
        </w:trPr>
        <w:tc>
          <w:tcPr>
            <w:tcW w:w="22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20" w:type="dxa"/>
            <w:vAlign w:val="bottom"/>
          </w:tcPr>
          <w:p>
            <w:pPr>
              <w:spacing w:after="0"/>
              <w:rPr>
                <w:sz w:val="20"/>
                <w:szCs w:val="20"/>
                <w:color w:val="auto"/>
              </w:rPr>
            </w:pPr>
            <w:r>
              <w:rPr>
                <w:rFonts w:ascii="Arial" w:cs="Arial" w:eastAsia="Arial" w:hAnsi="Arial"/>
                <w:sz w:val="11"/>
                <w:szCs w:val="11"/>
                <w:color w:val="auto"/>
              </w:rPr>
              <w:t>(1)</w:t>
            </w:r>
          </w:p>
        </w:tc>
        <w:tc>
          <w:tcPr>
            <w:tcW w:w="4520" w:type="dxa"/>
            <w:vAlign w:val="bottom"/>
          </w:tcPr>
          <w:p>
            <w:pPr>
              <w:ind w:left="220"/>
              <w:spacing w:after="0"/>
              <w:rPr>
                <w:sz w:val="20"/>
                <w:szCs w:val="20"/>
                <w:color w:val="auto"/>
              </w:rPr>
            </w:pPr>
            <w:r>
              <w:rPr>
                <w:rFonts w:ascii="Arial" w:cs="Arial" w:eastAsia="Arial" w:hAnsi="Arial"/>
                <w:sz w:val="11"/>
                <w:szCs w:val="11"/>
                <w:color w:val="auto"/>
              </w:rPr>
              <w:t>Includes stock-based compensation expense as follows (in thousands):</w:t>
            </w: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64"/>
        </w:trPr>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140" w:type="dxa"/>
            <w:vAlign w:val="bottom"/>
          </w:tcPr>
          <w:p>
            <w:pPr>
              <w:jc w:val="right"/>
              <w:ind w:right="1050"/>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1280"/>
          </w:cols>
          <w:pgMar w:left="300" w:top="38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7162800"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5"/>
          </w:tcPr>
          <w:p>
            <w:pPr>
              <w:ind w:left="200"/>
              <w:spacing w:after="0"/>
              <w:rPr>
                <w:sz w:val="20"/>
                <w:szCs w:val="20"/>
                <w:color w:val="auto"/>
              </w:rPr>
            </w:pPr>
            <w:r>
              <w:rPr>
                <w:rFonts w:ascii="Arial" w:cs="Arial" w:eastAsia="Arial" w:hAnsi="Arial"/>
                <w:sz w:val="13"/>
                <w:szCs w:val="13"/>
                <w:b w:val="1"/>
                <w:bCs w:val="1"/>
                <w:color w:val="auto"/>
              </w:rPr>
              <w:t>Years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xml:space="preserve">    </w:t>
            </w:r>
          </w:p>
        </w:tc>
        <w:tc>
          <w:tcPr>
            <w:tcW w:w="900" w:type="dxa"/>
            <w:vAlign w:val="bottom"/>
            <w:tcBorders>
              <w:top w:val="single" w:sz="8" w:color="auto"/>
              <w:bottom w:val="single" w:sz="8" w:color="auto"/>
            </w:tcBorders>
          </w:tcPr>
          <w:p>
            <w:pPr>
              <w:jc w:val="right"/>
              <w:ind w:right="433"/>
              <w:spacing w:after="0" w:line="138" w:lineRule="exact"/>
              <w:rPr>
                <w:sz w:val="20"/>
                <w:szCs w:val="20"/>
                <w:color w:val="auto"/>
              </w:rPr>
            </w:pPr>
            <w:r>
              <w:rPr>
                <w:rFonts w:ascii="Arial" w:cs="Arial" w:eastAsia="Arial" w:hAnsi="Arial"/>
                <w:sz w:val="13"/>
                <w:szCs w:val="13"/>
                <w:b w:val="1"/>
                <w:bCs w:val="1"/>
                <w:color w:val="auto"/>
                <w:w w:val="97"/>
              </w:rPr>
              <w:t>  2023</w:t>
            </w:r>
          </w:p>
        </w:tc>
        <w:tc>
          <w:tcPr>
            <w:tcW w:w="540" w:type="dxa"/>
            <w:vAlign w:val="bottom"/>
            <w:tcBorders>
              <w:top w:val="single" w:sz="8" w:color="auto"/>
              <w:bottom w:val="single" w:sz="8" w:color="auto"/>
            </w:tcBorders>
            <w:gridSpan w:val="2"/>
          </w:tcPr>
          <w:p>
            <w:pPr>
              <w:jc w:val="right"/>
              <w:ind w:right="80"/>
              <w:spacing w:after="0" w:line="138" w:lineRule="exact"/>
              <w:rPr>
                <w:sz w:val="20"/>
                <w:szCs w:val="20"/>
                <w:color w:val="auto"/>
              </w:rPr>
            </w:pPr>
            <w:r>
              <w:rPr>
                <w:rFonts w:ascii="Arial" w:cs="Arial" w:eastAsia="Arial" w:hAnsi="Arial"/>
                <w:sz w:val="13"/>
                <w:szCs w:val="13"/>
                <w:b w:val="1"/>
                <w:bCs w:val="1"/>
                <w:color w:val="auto"/>
              </w:rPr>
              <w:t xml:space="preserve">    </w:t>
            </w:r>
          </w:p>
        </w:tc>
        <w:tc>
          <w:tcPr>
            <w:tcW w:w="3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6"/>
              </w:rPr>
              <w:t>  2024</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80" w:type="dxa"/>
            <w:vAlign w:val="bottom"/>
            <w:tcBorders>
              <w:top w:val="single" w:sz="8" w:color="auto"/>
              <w:bottom w:val="single" w:sz="8" w:color="auto"/>
            </w:tcBorders>
          </w:tcPr>
          <w:p>
            <w:pPr>
              <w:jc w:val="right"/>
              <w:ind w:right="271"/>
              <w:spacing w:after="0" w:line="138" w:lineRule="exact"/>
              <w:rPr>
                <w:sz w:val="20"/>
                <w:szCs w:val="20"/>
                <w:color w:val="auto"/>
              </w:rPr>
            </w:pPr>
            <w:r>
              <w:rPr>
                <w:rFonts w:ascii="Arial" w:cs="Arial" w:eastAsia="Arial" w:hAnsi="Arial"/>
                <w:sz w:val="13"/>
                <w:szCs w:val="13"/>
                <w:b w:val="1"/>
                <w:bCs w:val="1"/>
                <w:color w:val="auto"/>
                <w:w w:val="92"/>
              </w:rPr>
              <w:t>     2024</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5"/>
                <w:szCs w:val="5"/>
                <w:b w:val="1"/>
                <w:bCs w:val="1"/>
                <w:color w:val="auto"/>
                <w:w w:val="79"/>
              </w:rPr>
              <w:t> </w:t>
            </w:r>
          </w:p>
        </w:tc>
        <w:tc>
          <w:tcPr>
            <w:tcW w:w="54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2"/>
              </w:rPr>
              <w:t>     2025</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E5E5E5"/>
          </w:tcPr>
          <w:p>
            <w:pPr>
              <w:spacing w:after="0" w:line="148" w:lineRule="exact"/>
              <w:rPr>
                <w:sz w:val="20"/>
                <w:szCs w:val="20"/>
                <w:color w:val="auto"/>
              </w:rPr>
            </w:pPr>
            <w:r>
              <w:rPr>
                <w:rFonts w:ascii="Arial" w:cs="Arial" w:eastAsia="Arial" w:hAnsi="Arial"/>
                <w:sz w:val="14"/>
                <w:szCs w:val="14"/>
                <w:color w:val="auto"/>
              </w:rPr>
              <w:t>Cost of revenue</w:t>
            </w:r>
          </w:p>
        </w:tc>
        <w:tc>
          <w:tcPr>
            <w:tcW w:w="780" w:type="dxa"/>
            <w:vAlign w:val="bottom"/>
            <w:gridSpan w:val="2"/>
            <w:shd w:val="clear" w:color="auto" w:fill="E5E5E5"/>
          </w:tcPr>
          <w:p>
            <w:pPr>
              <w:jc w:val="right"/>
              <w:ind w:right="201"/>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33"/>
              <w:spacing w:after="0" w:line="148" w:lineRule="exact"/>
              <w:rPr>
                <w:sz w:val="20"/>
                <w:szCs w:val="20"/>
                <w:color w:val="auto"/>
              </w:rPr>
            </w:pPr>
            <w:r>
              <w:rPr>
                <w:rFonts w:ascii="Arial" w:cs="Arial" w:eastAsia="Arial" w:hAnsi="Arial"/>
                <w:sz w:val="14"/>
                <w:szCs w:val="14"/>
                <w:color w:val="auto"/>
              </w:rPr>
              <w:t>683</w:t>
            </w:r>
          </w:p>
        </w:tc>
        <w:tc>
          <w:tcPr>
            <w:tcW w:w="400" w:type="dxa"/>
            <w:vAlign w:val="bottom"/>
            <w:shd w:val="clear" w:color="auto" w:fill="E5E5E5"/>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360"/>
              <w:spacing w:after="0" w:line="148" w:lineRule="exact"/>
              <w:rPr>
                <w:sz w:val="20"/>
                <w:szCs w:val="20"/>
                <w:color w:val="auto"/>
              </w:rPr>
            </w:pPr>
            <w:r>
              <w:rPr>
                <w:rFonts w:ascii="Arial" w:cs="Arial" w:eastAsia="Arial" w:hAnsi="Arial"/>
                <w:sz w:val="14"/>
                <w:szCs w:val="14"/>
                <w:color w:val="auto"/>
                <w:w w:val="96"/>
              </w:rPr>
              <w:t>1,183</w:t>
            </w:r>
          </w:p>
        </w:tc>
        <w:tc>
          <w:tcPr>
            <w:tcW w:w="460" w:type="dxa"/>
            <w:vAlign w:val="bottom"/>
            <w:gridSpan w:val="2"/>
            <w:shd w:val="clear" w:color="auto" w:fill="E5E5E5"/>
          </w:tcPr>
          <w:p>
            <w:pPr>
              <w:jc w:val="right"/>
              <w:ind w:right="37"/>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71"/>
              <w:spacing w:after="0" w:line="148" w:lineRule="exact"/>
              <w:rPr>
                <w:sz w:val="20"/>
                <w:szCs w:val="20"/>
                <w:color w:val="auto"/>
              </w:rPr>
            </w:pPr>
            <w:r>
              <w:rPr>
                <w:rFonts w:ascii="Arial" w:cs="Arial" w:eastAsia="Arial" w:hAnsi="Arial"/>
                <w:sz w:val="14"/>
                <w:szCs w:val="14"/>
                <w:color w:val="auto"/>
              </w:rPr>
              <w:t>564</w:t>
            </w:r>
          </w:p>
        </w:tc>
        <w:tc>
          <w:tcPr>
            <w:tcW w:w="540" w:type="dxa"/>
            <w:vAlign w:val="bottom"/>
            <w:shd w:val="clear" w:color="auto" w:fill="E5E5E5"/>
          </w:tcPr>
          <w:p>
            <w:pPr>
              <w:ind w:left="3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57"/>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33"/>
              <w:spacing w:after="0" w:line="157" w:lineRule="exact"/>
              <w:rPr>
                <w:sz w:val="20"/>
                <w:szCs w:val="20"/>
                <w:color w:val="auto"/>
              </w:rPr>
            </w:pPr>
            <w:r>
              <w:rPr>
                <w:rFonts w:ascii="Arial" w:cs="Arial" w:eastAsia="Arial" w:hAnsi="Arial"/>
                <w:sz w:val="14"/>
                <w:szCs w:val="14"/>
                <w:color w:val="auto"/>
              </w:rPr>
              <w:t>1,450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w w:val="96"/>
              </w:rPr>
              <w:t>2,341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71"/>
              <w:spacing w:after="0" w:line="157" w:lineRule="exact"/>
              <w:rPr>
                <w:sz w:val="20"/>
                <w:szCs w:val="20"/>
                <w:color w:val="auto"/>
              </w:rPr>
            </w:pPr>
            <w:r>
              <w:rPr>
                <w:rFonts w:ascii="Arial" w:cs="Arial" w:eastAsia="Arial" w:hAnsi="Arial"/>
                <w:sz w:val="14"/>
                <w:szCs w:val="14"/>
                <w:color w:val="auto"/>
              </w:rPr>
              <w:t>1,166</w:t>
            </w:r>
          </w:p>
        </w:tc>
        <w:tc>
          <w:tcPr>
            <w:tcW w:w="540" w:type="dxa"/>
            <w:vAlign w:val="bottom"/>
          </w:tcPr>
          <w:p>
            <w:pPr>
              <w:spacing w:after="0"/>
              <w:rPr>
                <w:sz w:val="13"/>
                <w:szCs w:val="13"/>
                <w:color w:val="auto"/>
              </w:rPr>
            </w:pPr>
          </w:p>
        </w:tc>
        <w:tc>
          <w:tcPr>
            <w:tcW w:w="58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57"/>
        </w:trPr>
        <w:tc>
          <w:tcPr>
            <w:tcW w:w="58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Selling, general and administrative</w:t>
            </w: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3"/>
              <w:spacing w:after="0" w:line="157" w:lineRule="exact"/>
              <w:rPr>
                <w:sz w:val="20"/>
                <w:szCs w:val="20"/>
                <w:color w:val="auto"/>
              </w:rPr>
            </w:pPr>
            <w:r>
              <w:rPr>
                <w:rFonts w:ascii="Arial" w:cs="Arial" w:eastAsia="Arial" w:hAnsi="Arial"/>
                <w:sz w:val="14"/>
                <w:szCs w:val="14"/>
                <w:color w:val="auto"/>
              </w:rPr>
              <w:t>2,721</w:t>
            </w:r>
          </w:p>
        </w:tc>
        <w:tc>
          <w:tcPr>
            <w:tcW w:w="4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20" w:type="dxa"/>
            <w:vAlign w:val="bottom"/>
            <w:gridSpan w:val="2"/>
            <w:shd w:val="clear" w:color="auto" w:fill="E5E5E5"/>
          </w:tcPr>
          <w:p>
            <w:pPr>
              <w:jc w:val="right"/>
              <w:ind w:right="360"/>
              <w:spacing w:after="0" w:line="157" w:lineRule="exact"/>
              <w:rPr>
                <w:sz w:val="20"/>
                <w:szCs w:val="20"/>
                <w:color w:val="auto"/>
              </w:rPr>
            </w:pPr>
            <w:r>
              <w:rPr>
                <w:rFonts w:ascii="Arial" w:cs="Arial" w:eastAsia="Arial" w:hAnsi="Arial"/>
                <w:sz w:val="14"/>
                <w:szCs w:val="14"/>
                <w:color w:val="auto"/>
                <w:w w:val="96"/>
              </w:rPr>
              <w:t>4,838</w:t>
            </w: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2,175</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175"/>
        </w:trPr>
        <w:tc>
          <w:tcPr>
            <w:tcW w:w="5880" w:type="dxa"/>
            <w:vAlign w:val="bottom"/>
            <w:gridSpan w:val="2"/>
          </w:tcPr>
          <w:p>
            <w:pPr>
              <w:spacing w:after="0"/>
              <w:rPr>
                <w:sz w:val="20"/>
                <w:szCs w:val="20"/>
                <w:color w:val="auto"/>
              </w:rPr>
            </w:pPr>
            <w:r>
              <w:rPr>
                <w:rFonts w:ascii="Arial" w:cs="Arial" w:eastAsia="Arial" w:hAnsi="Arial"/>
                <w:sz w:val="14"/>
                <w:szCs w:val="14"/>
                <w:color w:val="auto"/>
              </w:rPr>
              <w:t>Total stock-based compensation expense</w:t>
            </w:r>
          </w:p>
        </w:tc>
        <w:tc>
          <w:tcPr>
            <w:tcW w:w="460" w:type="dxa"/>
            <w:vAlign w:val="bottom"/>
          </w:tcPr>
          <w:p>
            <w:pPr>
              <w:spacing w:after="0"/>
              <w:rPr>
                <w:sz w:val="15"/>
                <w:szCs w:val="15"/>
                <w:color w:val="auto"/>
              </w:rPr>
            </w:pPr>
          </w:p>
        </w:tc>
        <w:tc>
          <w:tcPr>
            <w:tcW w:w="320" w:type="dxa"/>
            <w:vAlign w:val="bottom"/>
            <w:tcBorders>
              <w:top w:val="single" w:sz="8" w:color="auto"/>
            </w:tcBorders>
          </w:tcPr>
          <w:p>
            <w:pPr>
              <w:jc w:val="right"/>
              <w:ind w:right="20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color w:val="auto"/>
              </w:rPr>
              <w:t>4,854</w:t>
            </w:r>
          </w:p>
        </w:tc>
        <w:tc>
          <w:tcPr>
            <w:tcW w:w="4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color w:val="auto"/>
                <w:w w:val="96"/>
              </w:rPr>
              <w:t>8,362</w:t>
            </w:r>
          </w:p>
        </w:tc>
        <w:tc>
          <w:tcPr>
            <w:tcW w:w="46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3,905</w:t>
            </w: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5,106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560" w:type="dxa"/>
            <w:vAlign w:val="bottom"/>
            <w:gridSpan w:val="5"/>
          </w:tcPr>
          <w:p>
            <w:pPr>
              <w:spacing w:after="0"/>
              <w:rPr>
                <w:sz w:val="20"/>
                <w:szCs w:val="20"/>
                <w:color w:val="auto"/>
              </w:rPr>
            </w:pPr>
            <w:r>
              <w:rPr>
                <w:rFonts w:ascii="Arial" w:cs="Arial" w:eastAsia="Arial" w:hAnsi="Arial"/>
                <w:sz w:val="14"/>
                <w:szCs w:val="14"/>
                <w:color w:val="auto"/>
              </w:rPr>
              <w:t>The following table sets forth our financial statements of operations data expressed as a percentage of revenue:</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4"/>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6"/>
              </w:rPr>
              <w:t>Years ended December 31,</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8"/>
                <w:szCs w:val="8"/>
                <w:b w:val="1"/>
                <w:bCs w:val="1"/>
                <w:color w:val="auto"/>
                <w:w w:val="74"/>
              </w:rPr>
              <w:t> </w:t>
            </w:r>
          </w:p>
        </w:tc>
        <w:tc>
          <w:tcPr>
            <w:tcW w:w="780" w:type="dxa"/>
            <w:vAlign w:val="bottom"/>
            <w:tcBorders>
              <w:top w:val="single" w:sz="8" w:color="auto"/>
              <w:bottom w:val="single" w:sz="8" w:color="auto"/>
            </w:tcBorders>
            <w:gridSpan w:val="2"/>
          </w:tcPr>
          <w:p>
            <w:pPr>
              <w:jc w:val="right"/>
              <w:ind w:right="201"/>
              <w:spacing w:after="0" w:line="138" w:lineRule="exact"/>
              <w:rPr>
                <w:sz w:val="20"/>
                <w:szCs w:val="20"/>
                <w:color w:val="auto"/>
              </w:rPr>
            </w:pPr>
            <w:r>
              <w:rPr>
                <w:rFonts w:ascii="Arial" w:cs="Arial" w:eastAsia="Arial" w:hAnsi="Arial"/>
                <w:sz w:val="13"/>
                <w:szCs w:val="13"/>
                <w:b w:val="1"/>
                <w:bCs w:val="1"/>
                <w:color w:val="auto"/>
                <w:w w:val="88"/>
              </w:rPr>
              <w:t>     2023</w:t>
            </w:r>
          </w:p>
        </w:tc>
        <w:tc>
          <w:tcPr>
            <w:tcW w:w="9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xml:space="preserve">    </w:t>
            </w:r>
          </w:p>
        </w:tc>
        <w:tc>
          <w:tcPr>
            <w:tcW w:w="4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7"/>
              </w:rPr>
              <w:t>  2024</w:t>
            </w: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3"/>
          </w:tcPr>
          <w:p>
            <w:pPr>
              <w:jc w:val="right"/>
              <w:ind w:right="611"/>
              <w:spacing w:after="0" w:line="138" w:lineRule="exact"/>
              <w:rPr>
                <w:sz w:val="20"/>
                <w:szCs w:val="20"/>
                <w:color w:val="auto"/>
              </w:rPr>
            </w:pPr>
            <w:r>
              <w:rPr>
                <w:rFonts w:ascii="Arial" w:cs="Arial" w:eastAsia="Arial" w:hAnsi="Arial"/>
                <w:sz w:val="13"/>
                <w:szCs w:val="13"/>
                <w:b w:val="1"/>
                <w:bCs w:val="1"/>
                <w:color w:val="auto"/>
                <w:w w:val="95"/>
              </w:rPr>
              <w:t>        2024</w:t>
            </w:r>
          </w:p>
        </w:tc>
        <w:tc>
          <w:tcPr>
            <w:tcW w:w="540" w:type="dxa"/>
            <w:vAlign w:val="bottom"/>
            <w:tcBorders>
              <w:top w:val="single" w:sz="8" w:color="auto"/>
              <w:bottom w:val="single" w:sz="8" w:color="auto"/>
            </w:tcBorders>
          </w:tcPr>
          <w:p>
            <w:pPr>
              <w:ind w:left="320"/>
              <w:spacing w:after="0" w:line="138" w:lineRule="exact"/>
              <w:rPr>
                <w:sz w:val="20"/>
                <w:szCs w:val="20"/>
                <w:color w:val="auto"/>
              </w:rPr>
            </w:pPr>
            <w:r>
              <w:rPr>
                <w:rFonts w:ascii="Arial" w:cs="Arial" w:eastAsia="Arial" w:hAnsi="Arial"/>
                <w:sz w:val="13"/>
                <w:szCs w:val="13"/>
                <w:b w:val="1"/>
                <w:bCs w:val="1"/>
                <w:color w:val="auto"/>
              </w:rPr>
              <w:t xml:space="preserve">    </w:t>
            </w:r>
          </w:p>
        </w:tc>
        <w:tc>
          <w:tcPr>
            <w:tcW w:w="3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2"/>
              </w:rPr>
              <w:t>  2025</w:t>
            </w:r>
          </w:p>
        </w:tc>
        <w:tc>
          <w:tcPr>
            <w:tcW w:w="2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80" w:type="dxa"/>
            <w:vAlign w:val="bottom"/>
            <w:gridSpan w:val="2"/>
            <w:shd w:val="clear" w:color="auto" w:fill="E5E5E5"/>
          </w:tcPr>
          <w:p>
            <w:pPr>
              <w:spacing w:after="0" w:line="148" w:lineRule="exact"/>
              <w:rPr>
                <w:sz w:val="20"/>
                <w:szCs w:val="20"/>
                <w:color w:val="auto"/>
              </w:rPr>
            </w:pPr>
            <w:r>
              <w:rPr>
                <w:rFonts w:ascii="Arial" w:cs="Arial" w:eastAsia="Arial" w:hAnsi="Arial"/>
                <w:sz w:val="14"/>
                <w:szCs w:val="14"/>
                <w:color w:val="auto"/>
              </w:rPr>
              <w:t>Revenue</w:t>
            </w:r>
          </w:p>
        </w:tc>
        <w:tc>
          <w:tcPr>
            <w:tcW w:w="780" w:type="dxa"/>
            <w:vAlign w:val="bottom"/>
            <w:gridSpan w:val="2"/>
            <w:shd w:val="clear" w:color="auto" w:fill="E5E5E5"/>
          </w:tcPr>
          <w:p>
            <w:pPr>
              <w:jc w:val="right"/>
              <w:ind w:right="81"/>
              <w:spacing w:after="0" w:line="148" w:lineRule="exact"/>
              <w:rPr>
                <w:sz w:val="20"/>
                <w:szCs w:val="20"/>
                <w:color w:val="auto"/>
              </w:rPr>
            </w:pPr>
            <w:r>
              <w:rPr>
                <w:rFonts w:ascii="Arial" w:cs="Arial" w:eastAsia="Arial" w:hAnsi="Arial"/>
                <w:sz w:val="14"/>
                <w:szCs w:val="14"/>
                <w:color w:val="auto"/>
              </w:rPr>
              <w:t>100%</w:t>
            </w:r>
          </w:p>
        </w:tc>
        <w:tc>
          <w:tcPr>
            <w:tcW w:w="90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20"/>
              <w:spacing w:after="0" w:line="148" w:lineRule="exact"/>
              <w:rPr>
                <w:sz w:val="20"/>
                <w:szCs w:val="20"/>
                <w:color w:val="auto"/>
              </w:rPr>
            </w:pPr>
            <w:r>
              <w:rPr>
                <w:rFonts w:ascii="Arial" w:cs="Arial" w:eastAsia="Arial" w:hAnsi="Arial"/>
                <w:sz w:val="14"/>
                <w:szCs w:val="14"/>
                <w:color w:val="auto"/>
              </w:rPr>
              <w:t>100%</w:t>
            </w:r>
          </w:p>
        </w:tc>
        <w:tc>
          <w:tcPr>
            <w:tcW w:w="3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340" w:type="dxa"/>
            <w:vAlign w:val="bottom"/>
            <w:gridSpan w:val="3"/>
            <w:shd w:val="clear" w:color="auto" w:fill="E5E5E5"/>
          </w:tcPr>
          <w:p>
            <w:pPr>
              <w:jc w:val="right"/>
              <w:ind w:right="471"/>
              <w:spacing w:after="0" w:line="148" w:lineRule="exact"/>
              <w:rPr>
                <w:sz w:val="20"/>
                <w:szCs w:val="20"/>
                <w:color w:val="auto"/>
              </w:rPr>
            </w:pPr>
            <w:r>
              <w:rPr>
                <w:rFonts w:ascii="Arial" w:cs="Arial" w:eastAsia="Arial" w:hAnsi="Arial"/>
                <w:sz w:val="14"/>
                <w:szCs w:val="14"/>
                <w:color w:val="auto"/>
              </w:rPr>
              <w:t>100%</w:t>
            </w:r>
          </w:p>
        </w:tc>
        <w:tc>
          <w:tcPr>
            <w:tcW w:w="54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100%</w:t>
            </w:r>
          </w:p>
        </w:tc>
        <w:tc>
          <w:tcPr>
            <w:tcW w:w="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740" w:type="dxa"/>
            <w:vAlign w:val="bottom"/>
          </w:tcPr>
          <w:p>
            <w:pPr>
              <w:spacing w:after="0" w:line="157" w:lineRule="exact"/>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3"/>
                <w:szCs w:val="13"/>
                <w:color w:val="auto"/>
              </w:rPr>
            </w:pPr>
          </w:p>
        </w:tc>
        <w:tc>
          <w:tcPr>
            <w:tcW w:w="780" w:type="dxa"/>
            <w:vAlign w:val="bottom"/>
            <w:gridSpan w:val="2"/>
          </w:tcPr>
          <w:p>
            <w:pPr>
              <w:jc w:val="right"/>
              <w:ind w:right="81"/>
              <w:spacing w:after="0" w:line="157" w:lineRule="exact"/>
              <w:rPr>
                <w:sz w:val="20"/>
                <w:szCs w:val="20"/>
                <w:color w:val="auto"/>
              </w:rPr>
            </w:pPr>
            <w:r>
              <w:rPr>
                <w:rFonts w:ascii="Arial" w:cs="Arial" w:eastAsia="Arial" w:hAnsi="Arial"/>
                <w:sz w:val="14"/>
                <w:szCs w:val="14"/>
                <w:color w:val="auto"/>
              </w:rPr>
              <w:t>76%</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47%</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7" w:lineRule="exact"/>
              <w:rPr>
                <w:sz w:val="20"/>
                <w:szCs w:val="20"/>
                <w:color w:val="auto"/>
              </w:rPr>
            </w:pPr>
            <w:r>
              <w:rPr>
                <w:rFonts w:ascii="Arial" w:cs="Arial" w:eastAsia="Arial" w:hAnsi="Arial"/>
                <w:sz w:val="14"/>
                <w:szCs w:val="14"/>
                <w:color w:val="auto"/>
              </w:rPr>
              <w:t>49%</w:t>
            </w:r>
          </w:p>
        </w:tc>
        <w:tc>
          <w:tcPr>
            <w:tcW w:w="54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Gross margin</w:t>
            </w:r>
          </w:p>
        </w:tc>
        <w:tc>
          <w:tcPr>
            <w:tcW w:w="14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81"/>
              <w:spacing w:after="0" w:line="157" w:lineRule="exact"/>
              <w:rPr>
                <w:sz w:val="20"/>
                <w:szCs w:val="20"/>
                <w:color w:val="auto"/>
              </w:rPr>
            </w:pPr>
            <w:r>
              <w:rPr>
                <w:rFonts w:ascii="Arial" w:cs="Arial" w:eastAsia="Arial" w:hAnsi="Arial"/>
                <w:sz w:val="14"/>
                <w:szCs w:val="14"/>
                <w:color w:val="auto"/>
              </w:rPr>
              <w:t>24%</w:t>
            </w:r>
          </w:p>
        </w:tc>
        <w:tc>
          <w:tcPr>
            <w:tcW w:w="90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53%</w:t>
            </w:r>
          </w:p>
        </w:tc>
        <w:tc>
          <w:tcPr>
            <w:tcW w:w="3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71"/>
              <w:spacing w:after="0" w:line="157" w:lineRule="exact"/>
              <w:rPr>
                <w:sz w:val="20"/>
                <w:szCs w:val="20"/>
                <w:color w:val="auto"/>
              </w:rPr>
            </w:pPr>
            <w:r>
              <w:rPr>
                <w:rFonts w:ascii="Arial" w:cs="Arial" w:eastAsia="Arial" w:hAnsi="Arial"/>
                <w:sz w:val="14"/>
                <w:szCs w:val="14"/>
                <w:color w:val="auto"/>
              </w:rPr>
              <w:t>51%</w:t>
            </w:r>
          </w:p>
        </w:tc>
        <w:tc>
          <w:tcPr>
            <w:tcW w:w="54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65%</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880" w:type="dxa"/>
            <w:vAlign w:val="bottom"/>
            <w:gridSpan w:val="2"/>
            <w:shd w:val="clear" w:color="auto" w:fill="E5E5E5"/>
          </w:tcPr>
          <w:p>
            <w:pPr>
              <w:ind w:left="280"/>
              <w:spacing w:after="0" w:line="157" w:lineRule="exact"/>
              <w:rPr>
                <w:sz w:val="20"/>
                <w:szCs w:val="20"/>
                <w:color w:val="auto"/>
              </w:rPr>
            </w:pPr>
            <w:r>
              <w:rPr>
                <w:rFonts w:ascii="Arial" w:cs="Arial" w:eastAsia="Arial" w:hAnsi="Arial"/>
                <w:sz w:val="14"/>
                <w:szCs w:val="14"/>
                <w:color w:val="auto"/>
              </w:rPr>
              <w:t>Research and development</w:t>
            </w:r>
          </w:p>
        </w:tc>
        <w:tc>
          <w:tcPr>
            <w:tcW w:w="780" w:type="dxa"/>
            <w:vAlign w:val="bottom"/>
            <w:gridSpan w:val="2"/>
            <w:shd w:val="clear" w:color="auto" w:fill="E5E5E5"/>
          </w:tcPr>
          <w:p>
            <w:pPr>
              <w:jc w:val="right"/>
              <w:ind w:right="81"/>
              <w:spacing w:after="0" w:line="157" w:lineRule="exact"/>
              <w:rPr>
                <w:sz w:val="20"/>
                <w:szCs w:val="20"/>
                <w:color w:val="auto"/>
              </w:rPr>
            </w:pPr>
            <w:r>
              <w:rPr>
                <w:rFonts w:ascii="Arial" w:cs="Arial" w:eastAsia="Arial" w:hAnsi="Arial"/>
                <w:sz w:val="14"/>
                <w:szCs w:val="14"/>
                <w:color w:val="auto"/>
              </w:rPr>
              <w:t>31%</w:t>
            </w:r>
          </w:p>
        </w:tc>
        <w:tc>
          <w:tcPr>
            <w:tcW w:w="90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24%</w:t>
            </w:r>
          </w:p>
        </w:tc>
        <w:tc>
          <w:tcPr>
            <w:tcW w:w="3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71"/>
              <w:spacing w:after="0" w:line="157" w:lineRule="exact"/>
              <w:rPr>
                <w:sz w:val="20"/>
                <w:szCs w:val="20"/>
                <w:color w:val="auto"/>
              </w:rPr>
            </w:pPr>
            <w:r>
              <w:rPr>
                <w:rFonts w:ascii="Arial" w:cs="Arial" w:eastAsia="Arial" w:hAnsi="Arial"/>
                <w:sz w:val="14"/>
                <w:szCs w:val="14"/>
                <w:color w:val="auto"/>
              </w:rPr>
              <w:t>23%</w:t>
            </w:r>
          </w:p>
        </w:tc>
        <w:tc>
          <w:tcPr>
            <w:tcW w:w="54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18%</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tcPr>
          <w:p>
            <w:pPr>
              <w:ind w:left="280"/>
              <w:spacing w:after="0" w:line="157"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3"/>
                <w:szCs w:val="13"/>
                <w:color w:val="auto"/>
              </w:rPr>
            </w:pPr>
          </w:p>
        </w:tc>
        <w:tc>
          <w:tcPr>
            <w:tcW w:w="780" w:type="dxa"/>
            <w:vAlign w:val="bottom"/>
            <w:gridSpan w:val="2"/>
          </w:tcPr>
          <w:p>
            <w:pPr>
              <w:jc w:val="right"/>
              <w:ind w:right="81"/>
              <w:spacing w:after="0" w:line="157" w:lineRule="exact"/>
              <w:rPr>
                <w:sz w:val="20"/>
                <w:szCs w:val="20"/>
                <w:color w:val="auto"/>
              </w:rPr>
            </w:pPr>
            <w:r>
              <w:rPr>
                <w:rFonts w:ascii="Arial" w:cs="Arial" w:eastAsia="Arial" w:hAnsi="Arial"/>
                <w:sz w:val="14"/>
                <w:szCs w:val="14"/>
                <w:color w:val="auto"/>
              </w:rPr>
              <w:t>90%</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60%</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7" w:lineRule="exact"/>
              <w:rPr>
                <w:sz w:val="20"/>
                <w:szCs w:val="20"/>
                <w:color w:val="auto"/>
              </w:rPr>
            </w:pPr>
            <w:r>
              <w:rPr>
                <w:rFonts w:ascii="Arial" w:cs="Arial" w:eastAsia="Arial" w:hAnsi="Arial"/>
                <w:sz w:val="14"/>
                <w:szCs w:val="14"/>
                <w:color w:val="auto"/>
              </w:rPr>
              <w:t>60%</w:t>
            </w:r>
          </w:p>
        </w:tc>
        <w:tc>
          <w:tcPr>
            <w:tcW w:w="54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81"/>
              <w:spacing w:after="0" w:line="157" w:lineRule="exact"/>
              <w:rPr>
                <w:sz w:val="20"/>
                <w:szCs w:val="20"/>
                <w:color w:val="auto"/>
              </w:rPr>
            </w:pPr>
            <w:r>
              <w:rPr>
                <w:rFonts w:ascii="Arial" w:cs="Arial" w:eastAsia="Arial" w:hAnsi="Arial"/>
                <w:sz w:val="14"/>
                <w:szCs w:val="14"/>
                <w:color w:val="auto"/>
              </w:rPr>
              <w:t>121%</w:t>
            </w:r>
          </w:p>
        </w:tc>
        <w:tc>
          <w:tcPr>
            <w:tcW w:w="90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84%</w:t>
            </w:r>
          </w:p>
        </w:tc>
        <w:tc>
          <w:tcPr>
            <w:tcW w:w="3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71"/>
              <w:spacing w:after="0" w:line="157" w:lineRule="exact"/>
              <w:rPr>
                <w:sz w:val="20"/>
                <w:szCs w:val="20"/>
                <w:color w:val="auto"/>
              </w:rPr>
            </w:pPr>
            <w:r>
              <w:rPr>
                <w:rFonts w:ascii="Arial" w:cs="Arial" w:eastAsia="Arial" w:hAnsi="Arial"/>
                <w:sz w:val="14"/>
                <w:szCs w:val="14"/>
                <w:color w:val="auto"/>
              </w:rPr>
              <w:t>84%</w:t>
            </w:r>
          </w:p>
        </w:tc>
        <w:tc>
          <w:tcPr>
            <w:tcW w:w="540" w:type="dxa"/>
            <w:vAlign w:val="bottom"/>
            <w:shd w:val="clear" w:color="auto" w:fill="E5E5E5"/>
          </w:tcPr>
          <w:p>
            <w:pPr>
              <w:spacing w:after="0"/>
              <w:rPr>
                <w:sz w:val="13"/>
                <w:szCs w:val="13"/>
                <w:color w:val="auto"/>
              </w:rPr>
            </w:pPr>
          </w:p>
        </w:tc>
        <w:tc>
          <w:tcPr>
            <w:tcW w:w="54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68%</w:t>
            </w: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4"/>
                <w:szCs w:val="14"/>
                <w:color w:val="auto"/>
              </w:rPr>
              <w:t>(97)%</w:t>
            </w:r>
          </w:p>
        </w:tc>
        <w:tc>
          <w:tcPr>
            <w:tcW w:w="900" w:type="dxa"/>
            <w:vAlign w:val="bottom"/>
          </w:tcPr>
          <w:p>
            <w:pPr>
              <w:spacing w:after="0"/>
              <w:rPr>
                <w:sz w:val="15"/>
                <w:szCs w:val="15"/>
                <w:color w:val="auto"/>
              </w:rPr>
            </w:pPr>
          </w:p>
        </w:tc>
        <w:tc>
          <w:tcPr>
            <w:tcW w:w="900" w:type="dxa"/>
            <w:vAlign w:val="bottom"/>
            <w:gridSpan w:val="3"/>
          </w:tcPr>
          <w:p>
            <w:pPr>
              <w:jc w:val="right"/>
              <w:ind w:right="271"/>
              <w:spacing w:after="0"/>
              <w:rPr>
                <w:sz w:val="20"/>
                <w:szCs w:val="20"/>
                <w:color w:val="auto"/>
              </w:rPr>
            </w:pPr>
            <w:r>
              <w:rPr>
                <w:rFonts w:ascii="Arial" w:cs="Arial" w:eastAsia="Arial" w:hAnsi="Arial"/>
                <w:sz w:val="14"/>
                <w:szCs w:val="14"/>
                <w:color w:val="auto"/>
              </w:rPr>
              <w:t>(31)%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31"/>
              <w:spacing w:after="0"/>
              <w:rPr>
                <w:sz w:val="20"/>
                <w:szCs w:val="20"/>
                <w:color w:val="auto"/>
              </w:rPr>
            </w:pPr>
            <w:r>
              <w:rPr>
                <w:rFonts w:ascii="Arial" w:cs="Arial" w:eastAsia="Arial" w:hAnsi="Arial"/>
                <w:sz w:val="14"/>
                <w:szCs w:val="14"/>
                <w:color w:val="auto"/>
                <w:w w:val="96"/>
              </w:rPr>
              <w:t>(33)%</w:t>
            </w:r>
          </w:p>
        </w:tc>
        <w:tc>
          <w:tcPr>
            <w:tcW w:w="54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6"/>
        </w:trPr>
        <w:tc>
          <w:tcPr>
            <w:tcW w:w="5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58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w:t>
            </w: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Interest income</w:t>
            </w:r>
          </w:p>
        </w:tc>
        <w:tc>
          <w:tcPr>
            <w:tcW w:w="780" w:type="dxa"/>
            <w:vAlign w:val="bottom"/>
            <w:gridSpan w:val="2"/>
          </w:tcPr>
          <w:p>
            <w:pPr>
              <w:jc w:val="right"/>
              <w:ind w:right="81"/>
              <w:spacing w:after="0" w:line="157" w:lineRule="exact"/>
              <w:rPr>
                <w:sz w:val="20"/>
                <w:szCs w:val="20"/>
                <w:color w:val="auto"/>
              </w:rPr>
            </w:pPr>
            <w:r>
              <w:rPr>
                <w:rFonts w:ascii="Arial" w:cs="Arial" w:eastAsia="Arial" w:hAnsi="Arial"/>
                <w:sz w:val="14"/>
                <w:szCs w:val="14"/>
                <w:color w:val="auto"/>
              </w:rPr>
              <w:t>5%</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7" w:lineRule="exact"/>
              <w:rPr>
                <w:sz w:val="20"/>
                <w:szCs w:val="20"/>
                <w:color w:val="auto"/>
              </w:rPr>
            </w:pPr>
            <w:r>
              <w:rPr>
                <w:rFonts w:ascii="Arial" w:cs="Arial" w:eastAsia="Arial" w:hAnsi="Arial"/>
                <w:sz w:val="14"/>
                <w:szCs w:val="14"/>
                <w:color w:val="auto"/>
              </w:rPr>
              <w:t>3%</w:t>
            </w:r>
          </w:p>
        </w:tc>
        <w:tc>
          <w:tcPr>
            <w:tcW w:w="54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Interest expense</w:t>
            </w:r>
          </w:p>
        </w:tc>
        <w:tc>
          <w:tcPr>
            <w:tcW w:w="780" w:type="dxa"/>
            <w:vAlign w:val="bottom"/>
            <w:gridSpan w:val="2"/>
            <w:shd w:val="clear" w:color="auto" w:fill="E5E5E5"/>
          </w:tcPr>
          <w:p>
            <w:pPr>
              <w:jc w:val="right"/>
              <w:ind w:right="41"/>
              <w:spacing w:after="0" w:line="157" w:lineRule="exact"/>
              <w:rPr>
                <w:sz w:val="20"/>
                <w:szCs w:val="20"/>
                <w:color w:val="auto"/>
              </w:rPr>
            </w:pPr>
            <w:r>
              <w:rPr>
                <w:rFonts w:ascii="Arial" w:cs="Arial" w:eastAsia="Arial" w:hAnsi="Arial"/>
                <w:sz w:val="14"/>
                <w:szCs w:val="14"/>
                <w:color w:val="auto"/>
              </w:rPr>
              <w:t>(5)%</w:t>
            </w:r>
          </w:p>
        </w:tc>
        <w:tc>
          <w:tcPr>
            <w:tcW w:w="900" w:type="dxa"/>
            <w:vAlign w:val="bottom"/>
            <w:shd w:val="clear" w:color="auto" w:fill="E5E5E5"/>
          </w:tcPr>
          <w:p>
            <w:pPr>
              <w:spacing w:after="0"/>
              <w:rPr>
                <w:sz w:val="13"/>
                <w:szCs w:val="13"/>
                <w:color w:val="auto"/>
              </w:rPr>
            </w:pPr>
          </w:p>
        </w:tc>
        <w:tc>
          <w:tcPr>
            <w:tcW w:w="900" w:type="dxa"/>
            <w:vAlign w:val="bottom"/>
            <w:gridSpan w:val="3"/>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(2)%</w:t>
            </w: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31"/>
              <w:spacing w:after="0" w:line="157" w:lineRule="exact"/>
              <w:rPr>
                <w:sz w:val="20"/>
                <w:szCs w:val="20"/>
                <w:color w:val="auto"/>
              </w:rPr>
            </w:pPr>
            <w:r>
              <w:rPr>
                <w:rFonts w:ascii="Arial" w:cs="Arial" w:eastAsia="Arial" w:hAnsi="Arial"/>
                <w:sz w:val="14"/>
                <w:szCs w:val="14"/>
                <w:color w:val="auto"/>
              </w:rPr>
              <w:t>(3)%</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780" w:type="dxa"/>
            <w:vAlign w:val="bottom"/>
            <w:gridSpan w:val="2"/>
          </w:tcPr>
          <w:p>
            <w:pPr>
              <w:jc w:val="right"/>
              <w:ind w:right="81"/>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7" w:lineRule="exact"/>
              <w:rPr>
                <w:sz w:val="20"/>
                <w:szCs w:val="20"/>
                <w:color w:val="auto"/>
              </w:rPr>
            </w:pPr>
            <w:r>
              <w:rPr>
                <w:rFonts w:ascii="Arial" w:cs="Arial" w:eastAsia="Arial" w:hAnsi="Arial"/>
                <w:sz w:val="14"/>
                <w:szCs w:val="14"/>
                <w:color w:val="auto"/>
              </w:rPr>
              <w:t>12%</w:t>
            </w:r>
          </w:p>
        </w:tc>
        <w:tc>
          <w:tcPr>
            <w:tcW w:w="540" w:type="dxa"/>
            <w:vAlign w:val="bottom"/>
          </w:tcPr>
          <w:p>
            <w:pPr>
              <w:spacing w:after="0"/>
              <w:rPr>
                <w:sz w:val="13"/>
                <w:szCs w:val="13"/>
                <w:color w:val="auto"/>
              </w:rPr>
            </w:pPr>
          </w:p>
        </w:tc>
        <w:tc>
          <w:tcPr>
            <w:tcW w:w="58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8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term loan</w:t>
            </w:r>
          </w:p>
        </w:tc>
        <w:tc>
          <w:tcPr>
            <w:tcW w:w="780" w:type="dxa"/>
            <w:vAlign w:val="bottom"/>
            <w:gridSpan w:val="2"/>
            <w:shd w:val="clear" w:color="auto" w:fill="E5E5E5"/>
          </w:tcPr>
          <w:p>
            <w:pPr>
              <w:jc w:val="right"/>
              <w:ind w:right="81"/>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3"/>
                <w:szCs w:val="13"/>
                <w:color w:val="auto"/>
              </w:rPr>
            </w:pPr>
          </w:p>
        </w:tc>
        <w:tc>
          <w:tcPr>
            <w:tcW w:w="900" w:type="dxa"/>
            <w:vAlign w:val="bottom"/>
            <w:gridSpan w:val="3"/>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(2)%</w:t>
            </w: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71"/>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780" w:type="dxa"/>
            <w:vAlign w:val="bottom"/>
            <w:gridSpan w:val="2"/>
          </w:tcPr>
          <w:p>
            <w:pPr>
              <w:jc w:val="right"/>
              <w:ind w:right="41"/>
              <w:spacing w:after="0" w:line="157" w:lineRule="exact"/>
              <w:rPr>
                <w:sz w:val="20"/>
                <w:szCs w:val="20"/>
                <w:color w:val="auto"/>
              </w:rPr>
            </w:pPr>
            <w:r>
              <w:rPr>
                <w:rFonts w:ascii="Arial" w:cs="Arial" w:eastAsia="Arial" w:hAnsi="Arial"/>
                <w:sz w:val="14"/>
                <w:szCs w:val="14"/>
                <w:color w:val="auto"/>
              </w:rPr>
              <w:t>(18)%</w:t>
            </w:r>
          </w:p>
        </w:tc>
        <w:tc>
          <w:tcPr>
            <w:tcW w:w="900" w:type="dxa"/>
            <w:vAlign w:val="bottom"/>
          </w:tcPr>
          <w:p>
            <w:pPr>
              <w:spacing w:after="0"/>
              <w:rPr>
                <w:sz w:val="13"/>
                <w:szCs w:val="13"/>
                <w:color w:val="auto"/>
              </w:rPr>
            </w:pPr>
          </w:p>
        </w:tc>
        <w:tc>
          <w:tcPr>
            <w:tcW w:w="900" w:type="dxa"/>
            <w:vAlign w:val="bottom"/>
            <w:gridSpan w:val="3"/>
          </w:tcPr>
          <w:p>
            <w:pPr>
              <w:jc w:val="right"/>
              <w:ind w:right="271"/>
              <w:spacing w:after="0" w:line="157"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31"/>
              <w:spacing w:after="0" w:line="157"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3"/>
                <w:szCs w:val="13"/>
                <w:color w:val="auto"/>
              </w:rPr>
            </w:pPr>
          </w:p>
        </w:tc>
        <w:tc>
          <w:tcPr>
            <w:tcW w:w="58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Other expense, net</w:t>
            </w:r>
          </w:p>
        </w:tc>
        <w:tc>
          <w:tcPr>
            <w:tcW w:w="14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41"/>
              <w:spacing w:after="0" w:line="157" w:lineRule="exact"/>
              <w:rPr>
                <w:sz w:val="20"/>
                <w:szCs w:val="20"/>
                <w:color w:val="auto"/>
              </w:rPr>
            </w:pPr>
            <w:r>
              <w:rPr>
                <w:rFonts w:ascii="Arial" w:cs="Arial" w:eastAsia="Arial" w:hAnsi="Arial"/>
                <w:sz w:val="14"/>
                <w:szCs w:val="14"/>
                <w:color w:val="auto"/>
              </w:rPr>
              <w:t>(1)%</w:t>
            </w:r>
          </w:p>
        </w:tc>
        <w:tc>
          <w:tcPr>
            <w:tcW w:w="900" w:type="dxa"/>
            <w:vAlign w:val="bottom"/>
            <w:shd w:val="clear" w:color="auto" w:fill="E5E5E5"/>
          </w:tcPr>
          <w:p>
            <w:pPr>
              <w:spacing w:after="0"/>
              <w:rPr>
                <w:sz w:val="13"/>
                <w:szCs w:val="13"/>
                <w:color w:val="auto"/>
              </w:rPr>
            </w:pPr>
          </w:p>
        </w:tc>
        <w:tc>
          <w:tcPr>
            <w:tcW w:w="900" w:type="dxa"/>
            <w:vAlign w:val="bottom"/>
            <w:gridSpan w:val="3"/>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(1)%</w:t>
            </w: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31"/>
              <w:spacing w:after="0" w:line="157" w:lineRule="exact"/>
              <w:rPr>
                <w:sz w:val="20"/>
                <w:szCs w:val="20"/>
                <w:color w:val="auto"/>
              </w:rPr>
            </w:pPr>
            <w:r>
              <w:rPr>
                <w:rFonts w:ascii="Arial" w:cs="Arial" w:eastAsia="Arial" w:hAnsi="Arial"/>
                <w:sz w:val="14"/>
                <w:szCs w:val="14"/>
                <w:color w:val="auto"/>
              </w:rPr>
              <w:t>(1)%</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Total other (expense) income</w:t>
            </w: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41"/>
              <w:spacing w:after="0" w:line="159" w:lineRule="exact"/>
              <w:rPr>
                <w:sz w:val="20"/>
                <w:szCs w:val="20"/>
                <w:color w:val="auto"/>
              </w:rPr>
            </w:pPr>
            <w:r>
              <w:rPr>
                <w:rFonts w:ascii="Arial" w:cs="Arial" w:eastAsia="Arial" w:hAnsi="Arial"/>
                <w:sz w:val="14"/>
                <w:szCs w:val="14"/>
                <w:color w:val="auto"/>
              </w:rPr>
              <w:t>(18)%</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9" w:lineRule="exact"/>
              <w:rPr>
                <w:sz w:val="20"/>
                <w:szCs w:val="20"/>
                <w:color w:val="auto"/>
              </w:rPr>
            </w:pPr>
            <w:r>
              <w:rPr>
                <w:rFonts w:ascii="Arial" w:cs="Arial" w:eastAsia="Arial" w:hAnsi="Arial"/>
                <w:sz w:val="14"/>
                <w:szCs w:val="14"/>
                <w:color w:val="auto"/>
              </w:rPr>
              <w:t>11%</w:t>
            </w:r>
          </w:p>
        </w:tc>
        <w:tc>
          <w:tcPr>
            <w:tcW w:w="540" w:type="dxa"/>
            <w:vAlign w:val="bottom"/>
          </w:tcPr>
          <w:p>
            <w:pPr>
              <w:spacing w:after="0"/>
              <w:rPr>
                <w:sz w:val="13"/>
                <w:szCs w:val="13"/>
                <w:color w:val="auto"/>
              </w:rPr>
            </w:pP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Loss before provision for income taxes</w:t>
            </w:r>
          </w:p>
        </w:tc>
        <w:tc>
          <w:tcPr>
            <w:tcW w:w="14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41"/>
              <w:spacing w:after="0" w:line="157" w:lineRule="exact"/>
              <w:rPr>
                <w:sz w:val="20"/>
                <w:szCs w:val="20"/>
                <w:color w:val="auto"/>
              </w:rPr>
            </w:pPr>
            <w:r>
              <w:rPr>
                <w:rFonts w:ascii="Arial" w:cs="Arial" w:eastAsia="Arial" w:hAnsi="Arial"/>
                <w:sz w:val="14"/>
                <w:szCs w:val="14"/>
                <w:color w:val="auto"/>
              </w:rPr>
              <w:t>(115)%</w:t>
            </w:r>
          </w:p>
        </w:tc>
        <w:tc>
          <w:tcPr>
            <w:tcW w:w="900" w:type="dxa"/>
            <w:vAlign w:val="bottom"/>
            <w:shd w:val="clear" w:color="auto" w:fill="E5E5E5"/>
          </w:tcPr>
          <w:p>
            <w:pPr>
              <w:spacing w:after="0"/>
              <w:rPr>
                <w:sz w:val="13"/>
                <w:szCs w:val="13"/>
                <w:color w:val="auto"/>
              </w:rPr>
            </w:pPr>
          </w:p>
        </w:tc>
        <w:tc>
          <w:tcPr>
            <w:tcW w:w="900" w:type="dxa"/>
            <w:vAlign w:val="bottom"/>
            <w:gridSpan w:val="3"/>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(27)%</w:t>
            </w: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31"/>
              <w:spacing w:after="0" w:line="157" w:lineRule="exact"/>
              <w:rPr>
                <w:sz w:val="20"/>
                <w:szCs w:val="20"/>
                <w:color w:val="auto"/>
              </w:rPr>
            </w:pPr>
            <w:r>
              <w:rPr>
                <w:rFonts w:ascii="Arial" w:cs="Arial" w:eastAsia="Arial" w:hAnsi="Arial"/>
                <w:sz w:val="14"/>
                <w:szCs w:val="14"/>
                <w:color w:val="auto"/>
                <w:w w:val="96"/>
              </w:rPr>
              <w:t>(22)%</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5740" w:type="dxa"/>
            <w:vAlign w:val="bottom"/>
          </w:tcPr>
          <w:p>
            <w:pPr>
              <w:spacing w:after="0" w:line="157" w:lineRule="exact"/>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3"/>
                <w:szCs w:val="13"/>
                <w:color w:val="auto"/>
              </w:rPr>
            </w:pPr>
          </w:p>
        </w:tc>
        <w:tc>
          <w:tcPr>
            <w:tcW w:w="780" w:type="dxa"/>
            <w:vAlign w:val="bottom"/>
            <w:gridSpan w:val="2"/>
          </w:tcPr>
          <w:p>
            <w:pPr>
              <w:jc w:val="right"/>
              <w:ind w:right="81"/>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5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71"/>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58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41"/>
              <w:spacing w:after="0" w:line="157" w:lineRule="exact"/>
              <w:rPr>
                <w:sz w:val="20"/>
                <w:szCs w:val="20"/>
                <w:color w:val="auto"/>
              </w:rPr>
            </w:pPr>
            <w:r>
              <w:rPr>
                <w:rFonts w:ascii="Arial" w:cs="Arial" w:eastAsia="Arial" w:hAnsi="Arial"/>
                <w:sz w:val="14"/>
                <w:szCs w:val="14"/>
                <w:color w:val="auto"/>
              </w:rPr>
              <w:t>(115)%</w:t>
            </w:r>
          </w:p>
        </w:tc>
        <w:tc>
          <w:tcPr>
            <w:tcW w:w="900" w:type="dxa"/>
            <w:vAlign w:val="bottom"/>
            <w:shd w:val="clear" w:color="auto" w:fill="E5E5E5"/>
          </w:tcPr>
          <w:p>
            <w:pPr>
              <w:spacing w:after="0"/>
              <w:rPr>
                <w:sz w:val="13"/>
                <w:szCs w:val="13"/>
                <w:color w:val="auto"/>
              </w:rPr>
            </w:pPr>
          </w:p>
        </w:tc>
        <w:tc>
          <w:tcPr>
            <w:tcW w:w="900" w:type="dxa"/>
            <w:vAlign w:val="bottom"/>
            <w:gridSpan w:val="3"/>
            <w:shd w:val="clear" w:color="auto" w:fill="E5E5E5"/>
          </w:tcPr>
          <w:p>
            <w:pPr>
              <w:jc w:val="right"/>
              <w:ind w:right="271"/>
              <w:spacing w:after="0" w:line="157" w:lineRule="exact"/>
              <w:rPr>
                <w:sz w:val="20"/>
                <w:szCs w:val="20"/>
                <w:color w:val="auto"/>
              </w:rPr>
            </w:pPr>
            <w:r>
              <w:rPr>
                <w:rFonts w:ascii="Arial" w:cs="Arial" w:eastAsia="Arial" w:hAnsi="Arial"/>
                <w:sz w:val="14"/>
                <w:szCs w:val="14"/>
                <w:color w:val="auto"/>
              </w:rPr>
              <w:t>(27)%</w:t>
            </w:r>
          </w:p>
        </w:tc>
        <w:tc>
          <w:tcPr>
            <w:tcW w:w="3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431"/>
              <w:spacing w:after="0" w:line="157" w:lineRule="exact"/>
              <w:rPr>
                <w:sz w:val="20"/>
                <w:szCs w:val="20"/>
                <w:color w:val="auto"/>
              </w:rPr>
            </w:pPr>
            <w:r>
              <w:rPr>
                <w:rFonts w:ascii="Arial" w:cs="Arial" w:eastAsia="Arial" w:hAnsi="Arial"/>
                <w:sz w:val="14"/>
                <w:szCs w:val="14"/>
                <w:color w:val="auto"/>
                <w:w w:val="96"/>
              </w:rPr>
              <w:t>(22)%</w:t>
            </w:r>
          </w:p>
        </w:tc>
        <w:tc>
          <w:tcPr>
            <w:tcW w:w="540" w:type="dxa"/>
            <w:vAlign w:val="bottom"/>
            <w:shd w:val="clear" w:color="auto" w:fill="E5E5E5"/>
          </w:tcPr>
          <w:p>
            <w:pPr>
              <w:spacing w:after="0"/>
              <w:rPr>
                <w:sz w:val="13"/>
                <w:szCs w:val="13"/>
                <w:color w:val="auto"/>
              </w:rPr>
            </w:pPr>
          </w:p>
        </w:tc>
        <w:tc>
          <w:tcPr>
            <w:tcW w:w="580" w:type="dxa"/>
            <w:vAlign w:val="bottom"/>
            <w:gridSpan w:val="3"/>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5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six months ended June 30, 2024 and 2025</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2"/>
                <w:szCs w:val="12"/>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Six months ended</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June 30,</w:t>
            </w:r>
          </w:p>
        </w:tc>
        <w:tc>
          <w:tcPr>
            <w:tcW w:w="104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 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56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2024</w:t>
            </w: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gridSpan w:val="3"/>
          </w:tcPr>
          <w:p>
            <w:pPr>
              <w:jc w:val="right"/>
              <w:ind w:right="3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5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Revenue</w:t>
            </w:r>
          </w:p>
        </w:tc>
        <w:tc>
          <w:tcPr>
            <w:tcW w:w="740" w:type="dxa"/>
            <w:vAlign w:val="bottom"/>
            <w:shd w:val="clear" w:color="auto" w:fill="E5E5E5"/>
          </w:tcPr>
          <w:p>
            <w:pPr>
              <w:jc w:val="right"/>
              <w:ind w:right="115"/>
              <w:spacing w:after="0" w:line="157" w:lineRule="exact"/>
              <w:rPr>
                <w:sz w:val="20"/>
                <w:szCs w:val="20"/>
                <w:color w:val="auto"/>
              </w:rPr>
            </w:pPr>
            <w:r>
              <w:rPr>
                <w:rFonts w:ascii="Arial" w:cs="Arial" w:eastAsia="Arial" w:hAnsi="Arial"/>
                <w:sz w:val="14"/>
                <w:szCs w:val="14"/>
                <w:color w:val="auto"/>
                <w:w w:val="99"/>
              </w:rPr>
              <w:t>$ 69,086</w:t>
            </w:r>
          </w:p>
        </w:tc>
        <w:tc>
          <w:tcPr>
            <w:tcW w:w="104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$ 125,536</w:t>
            </w:r>
          </w:p>
        </w:tc>
        <w:tc>
          <w:tcPr>
            <w:tcW w:w="1040" w:type="dxa"/>
            <w:vAlign w:val="bottom"/>
            <w:shd w:val="clear" w:color="auto" w:fill="E5E5E5"/>
          </w:tcPr>
          <w:p>
            <w:pPr>
              <w:jc w:val="right"/>
              <w:ind w:right="154"/>
              <w:spacing w:after="0" w:line="157" w:lineRule="exact"/>
              <w:rPr>
                <w:sz w:val="20"/>
                <w:szCs w:val="20"/>
                <w:color w:val="auto"/>
              </w:rPr>
            </w:pPr>
            <w:r>
              <w:rPr>
                <w:rFonts w:ascii="Arial" w:cs="Arial" w:eastAsia="Arial" w:hAnsi="Arial"/>
                <w:sz w:val="14"/>
                <w:szCs w:val="14"/>
                <w:color w:val="auto"/>
              </w:rPr>
              <w:t>$  56,450</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Revenue increased $56.5 million, or 82%, for the six months ended June 30, 2025 compared to the six months ended June 30, 2024, primarily as a result of a 52% increase in the number of tests processed and a 22% increase in our Overall ASP.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38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 primarily from the number of tests processed and results delivered to the ordering physician. All tests processed are accessioned in our laboratories.</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The increase in test volume was driven by higher volumes of our prenatal tests primarily as a result of expansion of our sales force for our prenatal products. In addition, volumes for both our Northstar Select and Northstar Response oncology tests increased as a result of expansion of our oncology sales force. The increase in our ASP per test was driven by several factors. Over the last 12 months we increased the number of contracts we have with payors for our prenatal tests which drove increases in ASP in the first half of 2025 compared to the same period in the prior year. In addition, during the second half of 2024 we began to benefit from a new proprietary PLA code for our prenatal tests, as when utilized the new PLA code is typically reimbursed at a higher rate than the codes for which we previously billed, which contributed to an increase in ASPs during the first half of 2025. We also benefited from an increased attachment and ordering rate of 22q11.2 micro deletion testing (our 22q test) along with our aneuploidy test and the resulting incremental reimbursement, and coverage of our RhD test from more payors. Furthermore, our ASPs for our Northstar Select oncology test increased as Medicare began to reimburse for this test during the first quarter of 2025, and we began to bill for our Northstar Response oncology test for the first time at the beginning of 2025.</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June 30,</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444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2024</w:t>
            </w:r>
          </w:p>
        </w:tc>
        <w:tc>
          <w:tcPr>
            <w:tcW w:w="7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gridSpan w:val="4"/>
          </w:tcPr>
          <w:p>
            <w:pPr>
              <w:jc w:val="right"/>
              <w:ind w:right="2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Cost of revenue</w:t>
            </w:r>
          </w:p>
        </w:tc>
        <w:tc>
          <w:tcPr>
            <w:tcW w:w="4140" w:type="dxa"/>
            <w:vAlign w:val="bottom"/>
            <w:gridSpan w:val="2"/>
            <w:shd w:val="clear" w:color="auto" w:fill="E5E5E5"/>
          </w:tcPr>
          <w:p>
            <w:pPr>
              <w:jc w:val="right"/>
              <w:ind w:right="117"/>
              <w:spacing w:after="0" w:line="157" w:lineRule="exact"/>
              <w:rPr>
                <w:sz w:val="20"/>
                <w:szCs w:val="20"/>
                <w:color w:val="auto"/>
              </w:rPr>
            </w:pPr>
            <w:r>
              <w:rPr>
                <w:rFonts w:ascii="Arial" w:cs="Arial" w:eastAsia="Arial" w:hAnsi="Arial"/>
                <w:sz w:val="14"/>
                <w:szCs w:val="14"/>
                <w:color w:val="auto"/>
              </w:rPr>
              <w:t>$34,105</w:t>
            </w:r>
          </w:p>
        </w:tc>
        <w:tc>
          <w:tcPr>
            <w:tcW w:w="9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$44,098</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9,993</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38"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Cost of revenue increased $10.0 million, or 29%, for the six months ended June 30, 2025 compared to the six months ended June 30, 2024. The increase was primarily due to an increase of $5.4 million in expenses associated with testing samples and supplies used in processing tests, phlebotomy, and related shipping costs, driven by a higher volume of tests processed; and an increase of $4.6 million in labor and consulting related expenses, including stock-based compensation. Increase in costs during the six months ended June 30, 2025 compared to the six months ended June 30, 2024 are related to higher test volumes and an increase in product support.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June 30,</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5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2024</w:t>
            </w:r>
          </w:p>
        </w:tc>
        <w:tc>
          <w:tcPr>
            <w:tcW w:w="7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60" w:type="dxa"/>
            <w:vAlign w:val="bottom"/>
            <w:gridSpan w:val="3"/>
          </w:tcPr>
          <w:p>
            <w:pPr>
              <w:jc w:val="right"/>
              <w:ind w:right="3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5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Gross profit</w:t>
            </w:r>
          </w:p>
        </w:tc>
        <w:tc>
          <w:tcPr>
            <w:tcW w:w="760" w:type="dxa"/>
            <w:vAlign w:val="bottom"/>
            <w:shd w:val="clear" w:color="auto" w:fill="E5E5E5"/>
          </w:tcPr>
          <w:p>
            <w:pPr>
              <w:jc w:val="right"/>
              <w:ind w:right="114"/>
              <w:spacing w:after="0" w:line="157" w:lineRule="exact"/>
              <w:rPr>
                <w:sz w:val="20"/>
                <w:szCs w:val="20"/>
                <w:color w:val="auto"/>
              </w:rPr>
            </w:pPr>
            <w:r>
              <w:rPr>
                <w:rFonts w:ascii="Arial" w:cs="Arial" w:eastAsia="Arial" w:hAnsi="Arial"/>
                <w:sz w:val="14"/>
                <w:szCs w:val="14"/>
                <w:color w:val="auto"/>
              </w:rPr>
              <w:t>$ 34,981</w:t>
            </w:r>
          </w:p>
        </w:tc>
        <w:tc>
          <w:tcPr>
            <w:tcW w:w="9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$ 81,438</w:t>
            </w:r>
          </w:p>
        </w:tc>
        <w:tc>
          <w:tcPr>
            <w:tcW w:w="110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  46,457</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20"/>
                <w:szCs w:val="20"/>
                <w:color w:val="auto"/>
              </w:rPr>
            </w:pPr>
            <w:r>
              <w:rPr>
                <w:rFonts w:ascii="Arial" w:cs="Arial" w:eastAsia="Arial" w:hAnsi="Arial"/>
                <w:sz w:val="14"/>
                <w:szCs w:val="14"/>
                <w:color w:val="auto"/>
              </w:rPr>
              <w:t>Gross margin</w:t>
            </w:r>
          </w:p>
        </w:tc>
        <w:tc>
          <w:tcPr>
            <w:tcW w:w="760" w:type="dxa"/>
            <w:vAlign w:val="bottom"/>
          </w:tcPr>
          <w:p>
            <w:pPr>
              <w:jc w:val="right"/>
              <w:ind w:right="114"/>
              <w:spacing w:after="0"/>
              <w:rPr>
                <w:sz w:val="20"/>
                <w:szCs w:val="20"/>
                <w:color w:val="auto"/>
              </w:rPr>
            </w:pPr>
            <w:r>
              <w:rPr>
                <w:rFonts w:ascii="Arial" w:cs="Arial" w:eastAsia="Arial" w:hAnsi="Arial"/>
                <w:sz w:val="14"/>
                <w:szCs w:val="14"/>
                <w:color w:val="auto"/>
              </w:rPr>
              <w:t>51%</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2978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color w:val="auto"/>
        </w:rPr>
        <w:t>Gross profit increased $46.5 million, or 133%, for the six months ended June 30, 2025 compared to the six months ended June 30, 2024. The increase was primarily due to an increase in tests processed and a higher ASP in conjunction with a lower cost per test as we continued to actively reduce variable expenses and increase efficiency from our fixed costs.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Gross margin increased from 51% for the six months ended June 30, 2024 to 65% for the six months ended June 30, 2025 for the reasons described above.</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38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40"/>
        <w:spacing w:after="0" w:line="269" w:lineRule="auto"/>
        <w:rPr>
          <w:sz w:val="20"/>
          <w:szCs w:val="20"/>
          <w:color w:val="auto"/>
        </w:rPr>
      </w:pPr>
      <w:r>
        <w:rPr>
          <w:rFonts w:ascii="Arial" w:cs="Arial" w:eastAsia="Arial" w:hAnsi="Arial"/>
          <w:sz w:val="14"/>
          <w:szCs w:val="14"/>
          <w:color w:val="auto"/>
        </w:rPr>
        <w:t>The increase in our Overall ASP contributed to approximately 72% of the improvement of our gross margin for the six months ended June 30, 2025 as compared to the six months ended June 30, 2024. Decreases in Overall Cost Per Test contributed to approximately 28% of the improvement in gross margin for the six months ended June 30, 2025.</w:t>
      </w:r>
    </w:p>
    <w:p>
      <w:pPr>
        <w:spacing w:after="0" w:line="59" w:lineRule="exact"/>
        <w:rPr>
          <w:sz w:val="20"/>
          <w:szCs w:val="20"/>
          <w:color w:val="auto"/>
        </w:rPr>
      </w:pPr>
    </w:p>
    <w:p>
      <w:pPr>
        <w:jc w:val="both"/>
        <w:ind w:right="220"/>
        <w:spacing w:after="0" w:line="252" w:lineRule="auto"/>
        <w:rPr>
          <w:sz w:val="20"/>
          <w:szCs w:val="20"/>
          <w:color w:val="auto"/>
        </w:rPr>
      </w:pPr>
      <w:r>
        <w:rPr>
          <w:rFonts w:ascii="Arial" w:cs="Arial" w:eastAsia="Arial" w:hAnsi="Arial"/>
          <w:sz w:val="14"/>
          <w:szCs w:val="14"/>
          <w:color w:val="auto"/>
        </w:rPr>
        <w:t>For the six months ended June 30, 2025, approximately 54% of our cost of goods sold consisted of variable costs and the remainder was fixed costs; during the six months ended June 30, 2025 approximately 56% of the improvement in our Overall Cost Per Test as compared to the six months ended June 30, 2024 was the result of improvements in variable costs.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June 30,</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48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2024</w:t>
            </w:r>
          </w:p>
        </w:tc>
        <w:tc>
          <w:tcPr>
            <w:tcW w:w="7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gridSpan w:val="4"/>
          </w:tcPr>
          <w:p>
            <w:pPr>
              <w:jc w:val="right"/>
              <w:ind w:right="2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Research and development</w:t>
            </w:r>
          </w:p>
        </w:tc>
        <w:tc>
          <w:tcPr>
            <w:tcW w:w="3780" w:type="dxa"/>
            <w:vAlign w:val="bottom"/>
            <w:gridSpan w:val="2"/>
            <w:shd w:val="clear" w:color="auto" w:fill="E5E5E5"/>
          </w:tcPr>
          <w:p>
            <w:pPr>
              <w:jc w:val="right"/>
              <w:ind w:right="117"/>
              <w:spacing w:after="0" w:line="157" w:lineRule="exact"/>
              <w:rPr>
                <w:sz w:val="20"/>
                <w:szCs w:val="20"/>
                <w:color w:val="auto"/>
              </w:rPr>
            </w:pPr>
            <w:r>
              <w:rPr>
                <w:rFonts w:ascii="Arial" w:cs="Arial" w:eastAsia="Arial" w:hAnsi="Arial"/>
                <w:sz w:val="14"/>
                <w:szCs w:val="14"/>
                <w:color w:val="auto"/>
              </w:rPr>
              <w:t>$16,050</w:t>
            </w:r>
          </w:p>
        </w:tc>
        <w:tc>
          <w:tcPr>
            <w:tcW w:w="9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$22,181</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6,131</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Research and development expenses increased $6.1 million, or 38%, for the six months ended June 30, 2025 compared to the six months ended June 30, 2024. The increase was primarily due to a $4.6 million increase in personnel costs, a $1.9 million increase in materials, equipment expenses and overhead allocations, and a $0.4 million increase in stock-based compensation expense, partially offset by a decrease of $0.7 million in expenses related to clinical studies. The net increase in research and development expenses was primarily driven by a net increase in R&amp;D headcount of 35 employees during the periods presented to support our product development and innovation efforts.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Six months ended</w:t>
            </w: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w:t>
            </w:r>
          </w:p>
        </w:tc>
        <w:tc>
          <w:tcPr>
            <w:tcW w:w="11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 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2024</w:t>
            </w:r>
          </w:p>
        </w:tc>
        <w:tc>
          <w:tcPr>
            <w:tcW w:w="7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11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00" w:type="dxa"/>
            <w:vAlign w:val="bottom"/>
            <w:gridSpan w:val="2"/>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Selling, general and administrative</w:t>
            </w:r>
          </w:p>
        </w:tc>
        <w:tc>
          <w:tcPr>
            <w:tcW w:w="720" w:type="dxa"/>
            <w:vAlign w:val="bottom"/>
            <w:shd w:val="clear" w:color="auto" w:fill="E5E5E5"/>
          </w:tcPr>
          <w:p>
            <w:pPr>
              <w:jc w:val="right"/>
              <w:ind w:right="135"/>
              <w:spacing w:after="0" w:line="157" w:lineRule="exact"/>
              <w:rPr>
                <w:sz w:val="20"/>
                <w:szCs w:val="20"/>
                <w:color w:val="auto"/>
              </w:rPr>
            </w:pPr>
            <w:r>
              <w:rPr>
                <w:rFonts w:ascii="Arial" w:cs="Arial" w:eastAsia="Arial" w:hAnsi="Arial"/>
                <w:sz w:val="14"/>
                <w:szCs w:val="14"/>
                <w:color w:val="auto"/>
                <w:w w:val="91"/>
              </w:rPr>
              <w:t>$ 41,751</w:t>
            </w:r>
          </w:p>
        </w:tc>
        <w:tc>
          <w:tcPr>
            <w:tcW w:w="7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$ 63,199</w:t>
            </w:r>
          </w:p>
        </w:tc>
        <w:tc>
          <w:tcPr>
            <w:tcW w:w="11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$ 21,448</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Selling, general and administrative expenses increased $21.4 million, or 51%, for the six months ended June 30, 2025 compared to the six months ended June 30, 2024. The increase was primarily due to a $ 15.9 million increase in salaries, commissions and related expenditures, a $2.7 million increase in facilities and other costs, a $2.2 million increase in professional and consulting fees, and a $0.6 million increase in stock-based compensation expense. These increases were driven by a net increase of 112 employees during the periods presented to support our sales and marketing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Six months ended</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6"/>
              </w:rPr>
              <w:t>Change</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324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2024</w:t>
            </w:r>
          </w:p>
        </w:tc>
        <w:tc>
          <w:tcPr>
            <w:tcW w:w="7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20" w:type="dxa"/>
            <w:vAlign w:val="bottom"/>
            <w:gridSpan w:val="3"/>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5120" w:type="dxa"/>
            <w:vAlign w:val="bottom"/>
            <w:gridSpan w:val="2"/>
            <w:shd w:val="clear" w:color="auto" w:fill="E5E5E5"/>
          </w:tcPr>
          <w:p>
            <w:pPr>
              <w:jc w:val="right"/>
              <w:ind w:right="137"/>
              <w:spacing w:after="0" w:line="157" w:lineRule="exact"/>
              <w:rPr>
                <w:sz w:val="20"/>
                <w:szCs w:val="20"/>
                <w:color w:val="auto"/>
              </w:rPr>
            </w:pPr>
            <w:r>
              <w:rPr>
                <w:rFonts w:ascii="Arial" w:cs="Arial" w:eastAsia="Arial" w:hAnsi="Arial"/>
                <w:sz w:val="14"/>
                <w:szCs w:val="14"/>
                <w:color w:val="auto"/>
              </w:rPr>
              <w:t>$2,196</w:t>
            </w:r>
          </w:p>
        </w:tc>
        <w:tc>
          <w:tcPr>
            <w:tcW w:w="7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$2,957</w:t>
            </w: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761</w:t>
            </w:r>
          </w:p>
        </w:tc>
        <w:tc>
          <w:tcPr>
            <w:tcW w:w="90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7"/>
        </w:trPr>
        <w:tc>
          <w:tcPr>
            <w:tcW w:w="32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240" w:type="dxa"/>
            <w:vAlign w:val="bottom"/>
          </w:tcPr>
          <w:p>
            <w:pPr>
              <w:spacing w:after="0"/>
              <w:rPr>
                <w:sz w:val="23"/>
                <w:szCs w:val="23"/>
                <w:color w:val="auto"/>
              </w:rPr>
            </w:pPr>
          </w:p>
        </w:tc>
        <w:tc>
          <w:tcPr>
            <w:tcW w:w="4480" w:type="dxa"/>
            <w:vAlign w:val="bottom"/>
          </w:tcPr>
          <w:p>
            <w:pPr>
              <w:jc w:val="right"/>
              <w:ind w:right="1890"/>
              <w:spacing w:after="0"/>
              <w:rPr>
                <w:sz w:val="20"/>
                <w:szCs w:val="20"/>
                <w:color w:val="auto"/>
              </w:rPr>
            </w:pPr>
            <w:r>
              <w:rPr>
                <w:rFonts w:ascii="Arial" w:cs="Arial" w:eastAsia="Arial" w:hAnsi="Arial"/>
                <w:sz w:val="14"/>
                <w:szCs w:val="14"/>
                <w:color w:val="auto"/>
              </w:rPr>
              <w:t>107</w:t>
            </w: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8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color w:val="auto"/>
        </w:rPr>
        <w:t>Interest income increased by $ 0.8 million, or 35%, for the six months ended June 30, 2025 compared to the six months ended June 30, 2024. The increase was primarily due to higher average cash and cash equivalents balances.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Six months ended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444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w w:val="97"/>
              </w:rPr>
              <w:t>   2024</w:t>
            </w:r>
          </w:p>
        </w:tc>
        <w:tc>
          <w:tcPr>
            <w:tcW w:w="3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3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gridSpan w:val="4"/>
          </w:tcPr>
          <w:p>
            <w:pPr>
              <w:jc w:val="right"/>
              <w:ind w:right="2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expense</w:t>
            </w:r>
          </w:p>
        </w:tc>
        <w:tc>
          <w:tcPr>
            <w:tcW w:w="4120" w:type="dxa"/>
            <w:vAlign w:val="bottom"/>
            <w:gridSpan w:val="2"/>
            <w:shd w:val="clear" w:color="auto" w:fill="E5E5E5"/>
          </w:tcPr>
          <w:p>
            <w:pPr>
              <w:jc w:val="right"/>
              <w:ind w:right="97"/>
              <w:spacing w:after="0" w:line="157" w:lineRule="exact"/>
              <w:rPr>
                <w:sz w:val="20"/>
                <w:szCs w:val="20"/>
                <w:color w:val="auto"/>
              </w:rPr>
            </w:pPr>
            <w:r>
              <w:rPr>
                <w:rFonts w:ascii="Arial" w:cs="Arial" w:eastAsia="Arial" w:hAnsi="Arial"/>
                <w:sz w:val="14"/>
                <w:szCs w:val="14"/>
                <w:color w:val="auto"/>
              </w:rPr>
              <w:t>$ (1,917)</w:t>
            </w:r>
          </w:p>
        </w:tc>
        <w:tc>
          <w:tcPr>
            <w:tcW w:w="3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(72)</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1,845</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Interest expense decreased $1.8 million, or 96%, for the six months ended June 30, 2025 compared to the six months ended June 30, 2024. The decrease was attributable to the payoff of the Western Alliance Bank debt in August 2024; the principal on this debt was no longer outstanding during 2025. The only interest expense recorded during the six months ended June 30, 2025 related to interest charges on finance leases as we elected the fair value option to account for the Oberland debt which results in the financing costs of the loan to be included as part of the change in fair value of term loan.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30,</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w w:val="93"/>
              </w:rPr>
              <w:t>   2024</w:t>
            </w:r>
          </w:p>
        </w:tc>
        <w:tc>
          <w:tcPr>
            <w:tcW w:w="3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4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0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gridSpan w:val="3"/>
          </w:tcPr>
          <w:p>
            <w:pPr>
              <w:jc w:val="right"/>
              <w:ind w:right="21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3520" w:type="dxa"/>
            <w:vAlign w:val="bottom"/>
            <w:gridSpan w:val="2"/>
            <w:shd w:val="clear" w:color="auto" w:fill="E5E5E5"/>
          </w:tcPr>
          <w:p>
            <w:pPr>
              <w:jc w:val="right"/>
              <w:ind w:right="117"/>
              <w:spacing w:after="0" w:line="157" w:lineRule="exact"/>
              <w:rPr>
                <w:sz w:val="20"/>
                <w:szCs w:val="20"/>
                <w:color w:val="auto"/>
              </w:rPr>
            </w:pPr>
            <w:r>
              <w:rPr>
                <w:rFonts w:ascii="Arial" w:cs="Arial" w:eastAsia="Arial" w:hAnsi="Arial"/>
                <w:sz w:val="14"/>
                <w:szCs w:val="14"/>
                <w:color w:val="auto"/>
              </w:rPr>
              <w:t>$ 8,635</w:t>
            </w:r>
          </w:p>
        </w:tc>
        <w:tc>
          <w:tcPr>
            <w:tcW w:w="360" w:type="dxa"/>
            <w:vAlign w:val="bottom"/>
            <w:shd w:val="clear" w:color="auto" w:fill="E5E5E5"/>
          </w:tcPr>
          <w:p>
            <w:pPr>
              <w:jc w:val="right"/>
              <w:ind w:right="15"/>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(8,635)</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jc w:val="both"/>
        <w:ind w:right="220"/>
        <w:spacing w:after="0" w:line="252" w:lineRule="auto"/>
        <w:rPr>
          <w:sz w:val="20"/>
          <w:szCs w:val="20"/>
          <w:color w:val="auto"/>
        </w:rPr>
      </w:pPr>
      <w:r>
        <w:rPr>
          <w:rFonts w:ascii="Arial" w:cs="Arial" w:eastAsia="Arial" w:hAnsi="Arial"/>
          <w:sz w:val="14"/>
          <w:szCs w:val="14"/>
          <w:color w:val="auto"/>
        </w:rPr>
        <w:t>Net gain on extinguishment of debt was $8.6 million for the six months ended June 30, 2024. This was due to an $8.6 million gain on extinguishment of the 2022 Convertible Notes due to a modification of the class of preferred stock into which the 2022 Convertible Notes ultimately converted. We did not record an extinguishment of debt during the six months ended June 30, 2025.</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Six months ended</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June 30,</w:t>
            </w: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w w:val="96"/>
              </w:rPr>
              <w:t>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5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5"/>
                <w:szCs w:val="5"/>
                <w:b w:val="1"/>
                <w:bCs w:val="1"/>
                <w:color w:val="auto"/>
                <w:w w:val="79"/>
              </w:rPr>
              <w:t> </w:t>
            </w:r>
          </w:p>
        </w:tc>
        <w:tc>
          <w:tcPr>
            <w:tcW w:w="54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w w:val="96"/>
              </w:rPr>
              <w:t>2024</w:t>
            </w:r>
          </w:p>
        </w:tc>
        <w:tc>
          <w:tcPr>
            <w:tcW w:w="7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2025</w:t>
            </w: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60" w:type="dxa"/>
            <w:vAlign w:val="bottom"/>
            <w:gridSpan w:val="4"/>
          </w:tcPr>
          <w:p>
            <w:pPr>
              <w:jc w:val="right"/>
              <w:ind w:right="3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5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term loan</w:t>
            </w:r>
          </w:p>
        </w:tc>
        <w:tc>
          <w:tcPr>
            <w:tcW w:w="1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175"/>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 (3,102)</w:t>
            </w:r>
          </w:p>
        </w:tc>
        <w:tc>
          <w:tcPr>
            <w:tcW w:w="3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(3,102)</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Change in fair value of term loan decreased $3.1 million for the six months ended June 30, 2025 compared to the six months ended June 30, 2024. The decrease was due to interest expense of $2.0 million and a change in fair value of the Oberland debt of $1.1 million, of which $0.6 million is related to changes in the fair value of the debt and $0.5 million is associated with the revenue participation payment.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Six months ended</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June 30,</w:t>
            </w: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w w:val="96"/>
              </w:rPr>
              <w:t>Change</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40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74"/>
              </w:rPr>
              <w:t> </w:t>
            </w:r>
          </w:p>
        </w:tc>
        <w:tc>
          <w:tcPr>
            <w:tcW w:w="640" w:type="dxa"/>
            <w:vAlign w:val="bottom"/>
            <w:tcBorders>
              <w:top w:val="single" w:sz="8" w:color="auto"/>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2024</w:t>
            </w: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0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40" w:type="dxa"/>
            <w:vAlign w:val="bottom"/>
            <w:gridSpan w:val="4"/>
          </w:tcPr>
          <w:p>
            <w:pPr>
              <w:jc w:val="right"/>
              <w:ind w:right="37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3520" w:type="dxa"/>
            <w:vAlign w:val="bottom"/>
            <w:gridSpan w:val="2"/>
            <w:shd w:val="clear" w:color="auto" w:fill="E5E5E5"/>
          </w:tcPr>
          <w:p>
            <w:pPr>
              <w:jc w:val="right"/>
              <w:ind w:right="1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ind w:left="60"/>
              <w:spacing w:after="0" w:line="157" w:lineRule="exact"/>
              <w:rPr>
                <w:sz w:val="20"/>
                <w:szCs w:val="20"/>
                <w:color w:val="auto"/>
              </w:rPr>
            </w:pPr>
            <w:r>
              <w:rPr>
                <w:rFonts w:ascii="Arial" w:cs="Arial" w:eastAsia="Arial" w:hAnsi="Arial"/>
                <w:sz w:val="14"/>
                <w:szCs w:val="14"/>
                <w:color w:val="auto"/>
              </w:rPr>
              <w:t>(835)</w:t>
            </w:r>
          </w:p>
        </w:tc>
        <w:tc>
          <w:tcPr>
            <w:tcW w:w="440" w:type="dxa"/>
            <w:vAlign w:val="bottom"/>
            <w:shd w:val="clear" w:color="auto" w:fill="E5E5E5"/>
          </w:tcPr>
          <w:p>
            <w:pPr>
              <w:jc w:val="right"/>
              <w:ind w:right="15"/>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214"/>
              <w:spacing w:after="0" w:line="157" w:lineRule="exact"/>
              <w:rPr>
                <w:sz w:val="20"/>
                <w:szCs w:val="20"/>
                <w:color w:val="auto"/>
              </w:rPr>
            </w:pPr>
            <w:r>
              <w:rPr>
                <w:rFonts w:ascii="Arial" w:cs="Arial" w:eastAsia="Arial" w:hAnsi="Arial"/>
                <w:sz w:val="14"/>
                <w:szCs w:val="14"/>
                <w:color w:val="auto"/>
              </w:rPr>
              <w:t>835</w:t>
            </w:r>
          </w:p>
        </w:tc>
        <w:tc>
          <w:tcPr>
            <w:tcW w:w="92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020" w:type="dxa"/>
            <w:vAlign w:val="bottom"/>
          </w:tcPr>
          <w:p>
            <w:pPr>
              <w:spacing w:after="0"/>
              <w:rPr>
                <w:sz w:val="23"/>
                <w:szCs w:val="23"/>
                <w:color w:val="auto"/>
              </w:rPr>
            </w:pPr>
          </w:p>
        </w:tc>
        <w:tc>
          <w:tcPr>
            <w:tcW w:w="3400" w:type="dxa"/>
            <w:vAlign w:val="bottom"/>
          </w:tcPr>
          <w:p>
            <w:pPr>
              <w:jc w:val="right"/>
              <w:ind w:right="159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8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Change in fair value of convertible notes decreased $0.8 million for the six months ended June 30, 2025 compared to the six months ended June 30, 2024. The decrease was due to a change in fair value of the 2022 Convertible Notes that were extinguished in 2024.</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Six months ended</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6"/>
              </w:rPr>
              <w:t>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6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9"/>
              </w:rPr>
              <w:t> </w:t>
            </w:r>
          </w:p>
        </w:tc>
        <w:tc>
          <w:tcPr>
            <w:tcW w:w="60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2024</w:t>
            </w: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3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2025</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gridSpan w:val="4"/>
          </w:tcPr>
          <w:p>
            <w:pPr>
              <w:jc w:val="right"/>
              <w:ind w:right="31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 net</w:t>
            </w:r>
          </w:p>
        </w:tc>
        <w:tc>
          <w:tcPr>
            <w:tcW w:w="1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(443)</w:t>
            </w:r>
          </w:p>
        </w:tc>
        <w:tc>
          <w:tcPr>
            <w:tcW w:w="420" w:type="dxa"/>
            <w:vAlign w:val="bottom"/>
            <w:shd w:val="clear" w:color="auto" w:fill="E5E5E5"/>
          </w:tcPr>
          <w:p>
            <w:pPr>
              <w:jc w:val="right"/>
              <w:ind w:right="15"/>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39</w:t>
            </w:r>
          </w:p>
        </w:tc>
        <w:tc>
          <w:tcPr>
            <w:tcW w:w="3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482</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Other income (expense), net increased $0.5 million, or 109%, for the six months ended June 30, 2025 compared to the six months ended June 30, 2024, which was primarily driven by an increase in the fair value of our common stock warrant liability of $0.4 million for the six months ended June 30, 2024 as compared to a decrease in fair value of our common stock warrants of $0.1 million for the six months ended June 30, 2025 and a loss on disposal of subsidiary of $0.1 million that occurred in the first half of 2024 and did not repeat in the first half of 2025.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years ended December 31, 2023 and 2024</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11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 Change</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32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rPr>
              <w:t>2023</w:t>
            </w:r>
          </w:p>
        </w:tc>
        <w:tc>
          <w:tcPr>
            <w:tcW w:w="9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00" w:type="dxa"/>
            <w:vAlign w:val="bottom"/>
            <w:gridSpan w:val="3"/>
          </w:tcPr>
          <w:p>
            <w:pPr>
              <w:jc w:val="right"/>
              <w:ind w:right="4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Revenue</w:t>
            </w:r>
          </w:p>
        </w:tc>
        <w:tc>
          <w:tcPr>
            <w:tcW w:w="740" w:type="dxa"/>
            <w:vAlign w:val="bottom"/>
            <w:shd w:val="clear" w:color="auto" w:fill="E5E5E5"/>
          </w:tcPr>
          <w:p>
            <w:pPr>
              <w:jc w:val="right"/>
              <w:ind w:right="74"/>
              <w:spacing w:after="0" w:line="157" w:lineRule="exact"/>
              <w:rPr>
                <w:sz w:val="20"/>
                <w:szCs w:val="20"/>
                <w:color w:val="auto"/>
              </w:rPr>
            </w:pPr>
            <w:r>
              <w:rPr>
                <w:rFonts w:ascii="Arial" w:cs="Arial" w:eastAsia="Arial" w:hAnsi="Arial"/>
                <w:sz w:val="14"/>
                <w:szCs w:val="14"/>
                <w:color w:val="auto"/>
              </w:rPr>
              <w:t>$ 71,729</w:t>
            </w:r>
          </w:p>
        </w:tc>
        <w:tc>
          <w:tcPr>
            <w:tcW w:w="114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152,582</w:t>
            </w:r>
          </w:p>
        </w:tc>
        <w:tc>
          <w:tcPr>
            <w:tcW w:w="1160" w:type="dxa"/>
            <w:vAlign w:val="bottom"/>
            <w:shd w:val="clear" w:color="auto" w:fill="E5E5E5"/>
          </w:tcPr>
          <w:p>
            <w:pPr>
              <w:jc w:val="right"/>
              <w:ind w:right="214"/>
              <w:spacing w:after="0" w:line="157" w:lineRule="exact"/>
              <w:rPr>
                <w:sz w:val="20"/>
                <w:szCs w:val="20"/>
                <w:color w:val="auto"/>
              </w:rPr>
            </w:pPr>
            <w:r>
              <w:rPr>
                <w:rFonts w:ascii="Arial" w:cs="Arial" w:eastAsia="Arial" w:hAnsi="Arial"/>
                <w:sz w:val="14"/>
                <w:szCs w:val="14"/>
                <w:color w:val="auto"/>
              </w:rPr>
              <w:t>$   80,853</w:t>
            </w:r>
          </w:p>
        </w:tc>
        <w:tc>
          <w:tcPr>
            <w:tcW w:w="9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38"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Revenue is comprised of revenue from our sales of our prenatal and oncology tests and our strategic partnership with Johnson &amp; Johnson. Revenue increased $80.9 million, or 113%, for the year ended December 31, 2024 compared to the year ended December 31, 2023, primarily as a result of a 52% increase in the number of tests processed and a 41% increase in our Overall ASP.</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 primarily from the number of tests processed and results delivered to the ordering physician. All tests processed are accessioned in our laboratories.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increase in the number of tests processed in 2024 was driven by an increase in the number of field sales representatives for our prenatal products, the introduction of our oncology products and growth in the number of our oncology field sales representatives, and increased productivity per field sales representative. The differentiation of our products in the marketplace, as well as strong execution by our sales, sales operations, marketing, and laboratory operations teams also contributed to the increase.</w:t>
      </w:r>
    </w:p>
    <w:p>
      <w:pPr>
        <w:spacing w:after="0" w:line="80"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The increase in our ASP per test was driven by several factors. We increased the number of contracts we have with payors for our prenatal tests which drove increases in ASP in 2024. In addition, during the second half of 2024 we began to benefit from a new PLA code for our prenatal tests, as when utilized the new PLA code is typically reimbursed at a higher rate than the codes for which we previously billed. We also benefited from increased utilization of our 22q test and the resulting incremental reimbursement, and coverage of our RhD test from more payors. Furthermore, we began billing for our Northstar Select oncology test at the beginning of 2024, which benefited our revenue and Overall ASP.</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38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We believe our plans to continue to expand our field sales force for our prenatal products and oncology products will benefit our test volumes. In addition, we believe our Overall ASP will benefit from the opportunity to enter into contracts with additional payors for our prenatal tests, as well as the recent coverage decision by MolDx for Northstar Select, which should result in lower denial rates by Medicare Advantage payors. We plan to submit additional dossiers to MolDX for further coverage evaluations for Northstar Response, which, if successful, would significantly increase our ASPs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December 31,</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 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gridSpan w:val="3"/>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Cost of revenue</w:t>
            </w: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91"/>
              </w:rPr>
              <w:t>$ 54,421</w:t>
            </w:r>
          </w:p>
        </w:tc>
        <w:tc>
          <w:tcPr>
            <w:tcW w:w="104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$ 71,667</w:t>
            </w:r>
          </w:p>
        </w:tc>
        <w:tc>
          <w:tcPr>
            <w:tcW w:w="100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$ 17,246</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Cost of revenue increased $17.2 million, or 32%, for the year ended December 31, 2024 compared to the year ended December 31, 2023. The increase was primarily due to an increase of $9.2 million in expenses associated with testing samples and supplies used in processing tests, phlebotomy, and related shipping costs, driven by a higher volume of tests processed; an increase of $8.0 million in labor, overhead, equipment depreciation and other related costs driven by headcount growth for the year ended December 31, 2023 to the year ended December 31, 2024 to support the higher test volumes; and an increase in product support. While our cost of revenue increased year-over-year as a result of higher test volumes, as part of our long-term strategy we are focused on reducing costs per test in order to improve efficiency.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56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9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180" w:type="dxa"/>
            <w:vAlign w:val="bottom"/>
            <w:gridSpan w:val="3"/>
          </w:tcPr>
          <w:p>
            <w:pPr>
              <w:jc w:val="right"/>
              <w:ind w:right="3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5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Gross profit</w:t>
            </w:r>
          </w:p>
        </w:tc>
        <w:tc>
          <w:tcPr>
            <w:tcW w:w="6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$ 17,308</w:t>
            </w:r>
          </w:p>
        </w:tc>
        <w:tc>
          <w:tcPr>
            <w:tcW w:w="10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$ 80,915</w:t>
            </w:r>
          </w:p>
        </w:tc>
        <w:tc>
          <w:tcPr>
            <w:tcW w:w="110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  63,607</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20"/>
                <w:szCs w:val="20"/>
                <w:color w:val="auto"/>
              </w:rPr>
            </w:pPr>
            <w:r>
              <w:rPr>
                <w:rFonts w:ascii="Arial" w:cs="Arial" w:eastAsia="Arial" w:hAnsi="Arial"/>
                <w:sz w:val="14"/>
                <w:szCs w:val="14"/>
                <w:color w:val="auto"/>
              </w:rPr>
              <w:t>Gross margin</w:t>
            </w: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53%</w:t>
            </w: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2978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21" w:lineRule="exact"/>
        <w:rPr>
          <w:sz w:val="20"/>
          <w:szCs w:val="20"/>
          <w:color w:val="auto"/>
        </w:rPr>
      </w:pPr>
    </w:p>
    <w:p>
      <w:pPr>
        <w:jc w:val="both"/>
        <w:ind w:right="20"/>
        <w:spacing w:after="0" w:line="269" w:lineRule="auto"/>
        <w:rPr>
          <w:sz w:val="20"/>
          <w:szCs w:val="20"/>
          <w:color w:val="auto"/>
        </w:rPr>
      </w:pPr>
      <w:r>
        <w:rPr>
          <w:rFonts w:ascii="Arial" w:cs="Arial" w:eastAsia="Arial" w:hAnsi="Arial"/>
          <w:sz w:val="14"/>
          <w:szCs w:val="14"/>
          <w:color w:val="auto"/>
        </w:rPr>
        <w:t>Gross profit increased $63.6 million, or 368%, for the year ended December 31, 2024 compared to the year ended December 31, 2023. The increase was primarily due to an increase in tests processed a higher ASP and lower costs per test.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Gross margin increased from 24% for the year ended December 31, 2023 to 53% for the year ended December 31, 2024 for the reasons described above.</w:t>
      </w:r>
    </w:p>
    <w:p>
      <w:pPr>
        <w:spacing w:after="0" w:line="11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The increase in our Overall ASP contributed to approximately 80% of the improvement in our gross profit margin in 2024. In addition, as part of our long term strategy we are focused on reducing costs per test for each of our offerings, which if successful will result in a reduction in our Overall Cost Per Test. A decrease in our Overall Cost Per Test contributed to approximately 20% of the improvement in our gross profit margin in 2024. In 2024, approximately 54% of our cost of goods sold consisted of variable costs and the remainder was fixed costs; during the year, approximately 57% of the improvement in our Overall Cost Per Test was the result of improvements in variable costs.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cost initiatives and leveraging fixed costs should continue to reduce our Overall Cost Per Test.</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38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December 31,</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 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gridSpan w:val="3"/>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Research and development</w:t>
            </w: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91"/>
              </w:rPr>
              <w:t>$ 22,414</w:t>
            </w:r>
          </w:p>
        </w:tc>
        <w:tc>
          <w:tcPr>
            <w:tcW w:w="104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$ 36,596</w:t>
            </w:r>
          </w:p>
        </w:tc>
        <w:tc>
          <w:tcPr>
            <w:tcW w:w="100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$ 14,182</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jc w:val="both"/>
        <w:ind w:right="180"/>
        <w:spacing w:after="0" w:line="241" w:lineRule="auto"/>
        <w:rPr>
          <w:sz w:val="20"/>
          <w:szCs w:val="20"/>
          <w:color w:val="auto"/>
        </w:rPr>
      </w:pPr>
      <w:r>
        <w:rPr>
          <w:rFonts w:ascii="Arial" w:cs="Arial" w:eastAsia="Arial" w:hAnsi="Arial"/>
          <w:sz w:val="14"/>
          <w:szCs w:val="14"/>
          <w:color w:val="auto"/>
        </w:rPr>
        <w:t>Research and development expenses increased $14.2 million, or 63%, for the year ended December 31, 2024 compared to the year ended December 31, 2023. The increase was primarily due to a $6.4 million increase in salaries and related expenditures, which included a $0.9 million increase in stock-based compensation expense, a $5.1 million increase in overhead allocation, facilities and equipment depreciation, a $2.0 million increase in expense related to clinical studies, and a $0.7 million increase in consulting and other costs.</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These increases were primarily driven by a net increase in R&amp;D headcount of 24 employees from December 31, 2023 to December 31, 2024 to support our product development and innovation efforts.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December 31,</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 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gridSpan w:val="3"/>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Selling, general and administrative</w:t>
            </w: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91"/>
              </w:rPr>
              <w:t>$ 64,389</w:t>
            </w:r>
          </w:p>
        </w:tc>
        <w:tc>
          <w:tcPr>
            <w:tcW w:w="104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$ 91,465</w:t>
            </w:r>
          </w:p>
        </w:tc>
        <w:tc>
          <w:tcPr>
            <w:tcW w:w="100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$ 27,076</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Selling, general and administrative expenses increased $27.1 million, or 42%, for the year ended December 31, 2024 compared to the year ended December 31, 2023. The increase was primarily due to a $22.2 million increase in salaries, commissions and related expenditures, which included a $2.1 million increase in stock- based compensation expense, a $2.4 million increase in professional fees, a $0.8 million increase in marketing costs and a $1.7 million increase in facilities and other costs. These increases were driven by a net increase of 74 employees from the year ended December 31, 2023 to the year ended December 31, 2024 to support our sales and marketing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December 31,</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804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8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60" w:type="dxa"/>
            <w:vAlign w:val="bottom"/>
            <w:gridSpan w:val="4"/>
          </w:tcPr>
          <w:p>
            <w:pPr>
              <w:jc w:val="right"/>
              <w:ind w:right="1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0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4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97"/>
              </w:rPr>
              <w:t>$3,456</w:t>
            </w:r>
          </w:p>
        </w:tc>
        <w:tc>
          <w:tcPr>
            <w:tcW w:w="10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$5,819</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2,363</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Interest income increased $2.4 million, or 68%, for the year ended December 31, 2024 compared to the year ended December 31, 2023. The increase was primarily due to higher average cash and cash equivalents balances.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3280" w:type="dxa"/>
            <w:vAlign w:val="bottom"/>
            <w:tcBorders>
              <w:bottom w:val="single" w:sz="8" w:color="auto"/>
            </w:tcBorders>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2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40" w:type="dxa"/>
            <w:vAlign w:val="bottom"/>
            <w:gridSpan w:val="4"/>
          </w:tcPr>
          <w:p>
            <w:pPr>
              <w:jc w:val="right"/>
              <w:ind w:right="25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expense</w:t>
            </w:r>
          </w:p>
        </w:tc>
        <w:tc>
          <w:tcPr>
            <w:tcW w:w="5120" w:type="dxa"/>
            <w:vAlign w:val="bottom"/>
            <w:gridSpan w:val="2"/>
            <w:shd w:val="clear" w:color="auto" w:fill="E5E5E5"/>
          </w:tcPr>
          <w:p>
            <w:pPr>
              <w:jc w:val="right"/>
              <w:spacing w:after="0" w:line="157" w:lineRule="exact"/>
              <w:rPr>
                <w:sz w:val="20"/>
                <w:szCs w:val="20"/>
                <w:color w:val="auto"/>
              </w:rPr>
            </w:pPr>
            <w:r>
              <w:rPr>
                <w:rFonts w:ascii="Arial" w:cs="Arial" w:eastAsia="Arial" w:hAnsi="Arial"/>
                <w:sz w:val="14"/>
                <w:szCs w:val="14"/>
                <w:color w:val="auto"/>
              </w:rPr>
              <w:t>$(3,272)</w:t>
            </w:r>
          </w:p>
        </w:tc>
        <w:tc>
          <w:tcPr>
            <w:tcW w:w="10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$(2,386)</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886</w:t>
            </w:r>
          </w:p>
        </w:tc>
        <w:tc>
          <w:tcPr>
            <w:tcW w:w="84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328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3"/>
                <w:szCs w:val="23"/>
                <w:color w:val="auto"/>
              </w:rPr>
            </w:pPr>
          </w:p>
        </w:tc>
        <w:tc>
          <w:tcPr>
            <w:tcW w:w="4560" w:type="dxa"/>
            <w:vAlign w:val="bottom"/>
          </w:tcPr>
          <w:p>
            <w:pPr>
              <w:jc w:val="right"/>
              <w:ind w:right="2010"/>
              <w:spacing w:after="0"/>
              <w:rPr>
                <w:sz w:val="20"/>
                <w:szCs w:val="20"/>
                <w:color w:val="auto"/>
              </w:rPr>
            </w:pPr>
            <w:r>
              <w:rPr>
                <w:rFonts w:ascii="Arial" w:cs="Arial" w:eastAsia="Arial" w:hAnsi="Arial"/>
                <w:sz w:val="14"/>
                <w:szCs w:val="14"/>
                <w:color w:val="auto"/>
              </w:rPr>
              <w:t>111</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8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40"/>
        <w:spacing w:after="0" w:line="246" w:lineRule="auto"/>
        <w:rPr>
          <w:sz w:val="20"/>
          <w:szCs w:val="20"/>
          <w:color w:val="auto"/>
        </w:rPr>
      </w:pPr>
      <w:r>
        <w:rPr>
          <w:rFonts w:ascii="Arial" w:cs="Arial" w:eastAsia="Arial" w:hAnsi="Arial"/>
          <w:sz w:val="14"/>
          <w:szCs w:val="14"/>
          <w:color w:val="auto"/>
        </w:rPr>
        <w:t>Interest expense decreased $0.9 million, or 27%, for the year ended December 31, 2024 compared to the year ended December 31, 2023. The decrease was attributed to incurring a full year’s worth of interest in 2023 on the Western Alliance Bank debt compared to only a partial year of interest that was incurred in 2024, as the Western Alliance debt was replaced by the Oberland Capital debt in August 2024. The Oberland Capital debt was accounted for using the fair value method and interest expense related to the Oberland Capital debt was recorded in the change in fair value of term loan.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December 31,</w:t>
            </w: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6"/>
              </w:rPr>
              <w:t>Change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0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gridSpan w:val="4"/>
          </w:tcPr>
          <w:p>
            <w:pPr>
              <w:jc w:val="right"/>
              <w:ind w:right="17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3200" w:type="dxa"/>
            <w:vAlign w:val="bottom"/>
            <w:gridSpan w:val="2"/>
            <w:shd w:val="clear" w:color="auto" w:fill="E5E5E5"/>
          </w:tcPr>
          <w:p>
            <w:pPr>
              <w:ind w:left="2860"/>
              <w:spacing w:after="0" w:line="157" w:lineRule="exact"/>
              <w:rPr>
                <w:sz w:val="20"/>
                <w:szCs w:val="20"/>
                <w:color w:val="auto"/>
              </w:rPr>
            </w:pPr>
            <w:r>
              <w:rPr>
                <w:rFonts w:ascii="Arial" w:cs="Arial" w:eastAsia="Arial" w:hAnsi="Arial"/>
                <w:sz w:val="14"/>
                <w:szCs w:val="14"/>
                <w:color w:val="auto"/>
              </w:rPr>
              <w:t>$ —</w:t>
            </w:r>
          </w:p>
        </w:tc>
        <w:tc>
          <w:tcPr>
            <w:tcW w:w="110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$7,289</w:t>
            </w:r>
          </w:p>
        </w:tc>
        <w:tc>
          <w:tcPr>
            <w:tcW w:w="3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7,289</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jc w:val="both"/>
        <w:ind w:right="40"/>
        <w:spacing w:after="0" w:line="252" w:lineRule="auto"/>
        <w:rPr>
          <w:sz w:val="20"/>
          <w:szCs w:val="20"/>
          <w:color w:val="auto"/>
        </w:rPr>
      </w:pPr>
      <w:r>
        <w:rPr>
          <w:rFonts w:ascii="Arial" w:cs="Arial" w:eastAsia="Arial" w:hAnsi="Arial"/>
          <w:sz w:val="14"/>
          <w:szCs w:val="14"/>
          <w:color w:val="auto"/>
        </w:rPr>
        <w:t>Net gain on extinguishment of debt was $7.3 million for the year ended December 31, 2024. We did not record an extinguishment of debt for the year ended December 31, 2023. This was due to an $ 8.6 million gain on extinguishment of the 2022 Convertible Notes due to a modification of the class of preferred stock into which the 2022 Convertible Notes ultimately converted. This gain was partially offset by a $1.3 million loss on extinguishment of the Western Alliance Bank debt.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w w:val="96"/>
              </w:rPr>
              <w:t>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740" w:type="dxa"/>
            <w:vAlign w:val="bottom"/>
            <w:tcBorders>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2023</w:t>
            </w:r>
          </w:p>
        </w:tc>
        <w:tc>
          <w:tcPr>
            <w:tcW w:w="8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4"/>
          </w:tcPr>
          <w:p>
            <w:pPr>
              <w:jc w:val="right"/>
              <w:ind w:right="23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term loan</w:t>
            </w:r>
          </w:p>
        </w:tc>
        <w:tc>
          <w:tcPr>
            <w:tcW w:w="360" w:type="dxa"/>
            <w:vAlign w:val="bottom"/>
            <w:shd w:val="clear" w:color="auto" w:fill="E5E5E5"/>
          </w:tcPr>
          <w:p>
            <w:pPr>
              <w:jc w:val="right"/>
              <w:ind w:right="14"/>
              <w:spacing w:after="0" w:line="157" w:lineRule="exact"/>
              <w:rPr>
                <w:sz w:val="20"/>
                <w:szCs w:val="20"/>
                <w:color w:val="auto"/>
              </w:rPr>
            </w:pPr>
            <w:r>
              <w:rPr>
                <w:rFonts w:ascii="Arial" w:cs="Arial" w:eastAsia="Arial" w:hAnsi="Arial"/>
                <w:sz w:val="14"/>
                <w:szCs w:val="14"/>
                <w:color w:val="auto"/>
              </w:rPr>
              <w:t>$ —</w:t>
            </w:r>
          </w:p>
        </w:tc>
        <w:tc>
          <w:tcPr>
            <w:tcW w:w="118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$(3,137)</w:t>
            </w:r>
          </w:p>
        </w:tc>
        <w:tc>
          <w:tcPr>
            <w:tcW w:w="3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74"/>
              <w:spacing w:after="0" w:line="157" w:lineRule="exact"/>
              <w:rPr>
                <w:sz w:val="20"/>
                <w:szCs w:val="20"/>
                <w:color w:val="auto"/>
              </w:rPr>
            </w:pPr>
            <w:r>
              <w:rPr>
                <w:rFonts w:ascii="Arial" w:cs="Arial" w:eastAsia="Arial" w:hAnsi="Arial"/>
                <w:sz w:val="14"/>
                <w:szCs w:val="14"/>
                <w:color w:val="auto"/>
              </w:rPr>
              <w:t>(3,137)</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4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Change in fair value of term loan decreased $3.1 million, for the year ended December 31, 2024 compared to the year ended December 31, 2023. The decrease was due to a change in fair value of the Oberland debt of $1.5 million in addition to the interest expenses associated with the Oberland debt of $1.6 million, which we elected to record with the change in the fair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Year ended</w:t>
            </w: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60" w:type="dxa"/>
            <w:vAlign w:val="bottom"/>
          </w:tcPr>
          <w:p>
            <w:pPr>
              <w:spacing w:after="0"/>
              <w:rPr>
                <w:sz w:val="13"/>
                <w:szCs w:val="13"/>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 Change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76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5"/>
              <w:spacing w:after="0" w:line="138" w:lineRule="exact"/>
              <w:rPr>
                <w:sz w:val="20"/>
                <w:szCs w:val="20"/>
                <w:color w:val="auto"/>
              </w:rPr>
            </w:pPr>
            <w:r>
              <w:rPr>
                <w:rFonts w:ascii="Arial" w:cs="Arial" w:eastAsia="Arial" w:hAnsi="Arial"/>
                <w:sz w:val="13"/>
                <w:szCs w:val="13"/>
                <w:b w:val="1"/>
                <w:bCs w:val="1"/>
                <w:color w:val="auto"/>
              </w:rPr>
              <w:t>2023</w:t>
            </w: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20" w:type="dxa"/>
            <w:vAlign w:val="bottom"/>
            <w:gridSpan w:val="3"/>
          </w:tcPr>
          <w:p>
            <w:pPr>
              <w:jc w:val="right"/>
              <w:ind w:right="274"/>
              <w:spacing w:after="0" w:line="116" w:lineRule="exact"/>
              <w:rPr>
                <w:sz w:val="20"/>
                <w:szCs w:val="20"/>
                <w:color w:val="auto"/>
              </w:rPr>
            </w:pPr>
            <w:r>
              <w:rPr>
                <w:rFonts w:ascii="Arial" w:cs="Arial" w:eastAsia="Arial" w:hAnsi="Arial"/>
                <w:sz w:val="11"/>
                <w:szCs w:val="11"/>
                <w:b w:val="1"/>
                <w:bCs w:val="1"/>
                <w:color w:val="auto"/>
              </w:rPr>
              <w:t>(dollars in thousands)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7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 (12,921)</w:t>
            </w:r>
          </w:p>
        </w:tc>
        <w:tc>
          <w:tcPr>
            <w:tcW w:w="9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 (835)</w:t>
            </w:r>
          </w:p>
        </w:tc>
        <w:tc>
          <w:tcPr>
            <w:tcW w:w="1060" w:type="dxa"/>
            <w:vAlign w:val="bottom"/>
            <w:shd w:val="clear" w:color="auto" w:fill="E5E5E5"/>
          </w:tcPr>
          <w:p>
            <w:pPr>
              <w:jc w:val="right"/>
              <w:ind w:right="154"/>
              <w:spacing w:after="0" w:line="157" w:lineRule="exact"/>
              <w:rPr>
                <w:sz w:val="20"/>
                <w:szCs w:val="20"/>
                <w:color w:val="auto"/>
              </w:rPr>
            </w:pPr>
            <w:r>
              <w:rPr>
                <w:rFonts w:ascii="Arial" w:cs="Arial" w:eastAsia="Arial" w:hAnsi="Arial"/>
                <w:sz w:val="14"/>
                <w:szCs w:val="14"/>
                <w:color w:val="auto"/>
              </w:rPr>
              <w:t>$  12,086</w:t>
            </w:r>
          </w:p>
        </w:tc>
        <w:tc>
          <w:tcPr>
            <w:tcW w:w="9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38" w:lineRule="exact"/>
        <w:rPr>
          <w:sz w:val="20"/>
          <w:szCs w:val="20"/>
          <w:color w:val="auto"/>
        </w:rPr>
      </w:pPr>
    </w:p>
    <w:p>
      <w:pPr>
        <w:jc w:val="both"/>
        <w:ind w:right="220"/>
        <w:spacing w:after="0" w:line="252" w:lineRule="auto"/>
        <w:rPr>
          <w:sz w:val="20"/>
          <w:szCs w:val="20"/>
          <w:color w:val="auto"/>
        </w:rPr>
      </w:pPr>
      <w:r>
        <w:rPr>
          <w:rFonts w:ascii="Arial" w:cs="Arial" w:eastAsia="Arial" w:hAnsi="Arial"/>
          <w:sz w:val="14"/>
          <w:szCs w:val="14"/>
          <w:color w:val="auto"/>
        </w:rPr>
        <w:t>Change in fair value of convertible notes decreased $12.1 million, or 94%, for the year ended December 31, 2024 compared to the year ended December 31, 2023. The decrease was due to a change in fair value of the 2022 Convertible Notes that were extinguished in 2024; we elected to include interest expense in the change in fair value of the convertible notes.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38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6280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Year ended</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6"/>
              </w:rPr>
              <w:t>Change</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7"/>
        </w:trPr>
        <w:tc>
          <w:tcPr>
            <w:tcW w:w="4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00" w:type="dxa"/>
            <w:vAlign w:val="bottom"/>
            <w:gridSpan w:val="4"/>
          </w:tcPr>
          <w:p>
            <w:pPr>
              <w:jc w:val="right"/>
              <w:ind w:right="214"/>
              <w:spacing w:after="0" w:line="116" w:lineRule="exact"/>
              <w:rPr>
                <w:sz w:val="20"/>
                <w:szCs w:val="20"/>
                <w:color w:val="auto"/>
              </w:rPr>
            </w:pPr>
            <w:r>
              <w:rPr>
                <w:rFonts w:ascii="Arial" w:cs="Arial" w:eastAsia="Arial" w:hAnsi="Arial"/>
                <w:sz w:val="11"/>
                <w:szCs w:val="11"/>
                <w:b w:val="1"/>
                <w:bCs w:val="1"/>
                <w:color w:val="auto"/>
              </w:rPr>
              <w:t>(dollars in thousands)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Other expense, net</w:t>
            </w:r>
          </w:p>
        </w:tc>
        <w:tc>
          <w:tcPr>
            <w:tcW w:w="3800" w:type="dxa"/>
            <w:vAlign w:val="bottom"/>
            <w:gridSpan w:val="2"/>
            <w:shd w:val="clear" w:color="auto" w:fill="E5E5E5"/>
          </w:tcPr>
          <w:p>
            <w:pPr>
              <w:jc w:val="right"/>
              <w:spacing w:after="0" w:line="157" w:lineRule="exact"/>
              <w:rPr>
                <w:sz w:val="20"/>
                <w:szCs w:val="20"/>
                <w:color w:val="auto"/>
              </w:rPr>
            </w:pPr>
            <w:r>
              <w:rPr>
                <w:rFonts w:ascii="Arial" w:cs="Arial" w:eastAsia="Arial" w:hAnsi="Arial"/>
                <w:sz w:val="14"/>
                <w:szCs w:val="14"/>
                <w:color w:val="auto"/>
              </w:rPr>
              <w:t>$(442)</w:t>
            </w:r>
          </w:p>
        </w:tc>
        <w:tc>
          <w:tcPr>
            <w:tcW w:w="10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$(1,145)</w:t>
            </w:r>
          </w:p>
        </w:tc>
        <w:tc>
          <w:tcPr>
            <w:tcW w:w="3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34"/>
              <w:spacing w:after="0" w:line="157" w:lineRule="exact"/>
              <w:rPr>
                <w:sz w:val="20"/>
                <w:szCs w:val="20"/>
                <w:color w:val="auto"/>
              </w:rPr>
            </w:pPr>
            <w:r>
              <w:rPr>
                <w:rFonts w:ascii="Arial" w:cs="Arial" w:eastAsia="Arial" w:hAnsi="Arial"/>
                <w:sz w:val="14"/>
                <w:szCs w:val="14"/>
                <w:color w:val="auto"/>
              </w:rPr>
              <w:t>(703)</w:t>
            </w: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3613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238"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Other expense, net increased $ 0.7 million, or 159%, for the year ended December 31, 2024 compared to the year ended December 31, 2023, which was primarily driven by increases in the fair value of our common stock warrant liability of $0.5 million, loss from divestiture of subsidiary of $0.1 million and a loss on disposal of fixed assets of $0.1 million for the year ended December 31, 2024.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We use certain non-GAAP financial measures to supplement our financial statements, which are presented in accordance with GAAP. These non-GAAP financial measures include EBITDA, Adjusted EBITDA, non-GAAP operating loss, and non-GAAP net loss. We use these non-GAAP financial measures for financial and operational decision-making and as a means to assist us in evaluating period-to-period comparisons. By excluding the impact of certain items that we believe do not directly reflect our underlying operations, we are of the opinion that EBITDA, Adjusted EBITDA, non-GAAP operating loss and non-GAAP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w:t>
      </w:r>
    </w:p>
    <w:p>
      <w:pPr>
        <w:spacing w:after="0" w:line="8"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We define EBITDA as net loss adjusted for income taxes, interest income, interest expense, and depreciation and amortization expense. A reconciliation of net loss, the most directly comparable GAAP financial measure, to EBITDA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62800"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Years ended 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66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20" w:type="dxa"/>
            <w:vAlign w:val="bottom"/>
            <w:tcBorders>
              <w:top w:val="single" w:sz="8" w:color="auto"/>
              <w:bottom w:val="single" w:sz="8" w:color="auto"/>
            </w:tcBorders>
          </w:tcPr>
          <w:p>
            <w:pPr>
              <w:jc w:val="right"/>
              <w:ind w:right="232"/>
              <w:spacing w:after="0" w:line="138" w:lineRule="exact"/>
              <w:rPr>
                <w:sz w:val="20"/>
                <w:szCs w:val="20"/>
                <w:color w:val="auto"/>
              </w:rPr>
            </w:pPr>
            <w:r>
              <w:rPr>
                <w:rFonts w:ascii="Arial" w:cs="Arial" w:eastAsia="Arial" w:hAnsi="Arial"/>
                <w:sz w:val="13"/>
                <w:szCs w:val="13"/>
                <w:b w:val="1"/>
                <w:bCs w:val="1"/>
                <w:color w:val="auto"/>
                <w:w w:val="88"/>
              </w:rPr>
              <w:t>     2023</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2024</w:t>
            </w: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00" w:type="dxa"/>
            <w:vAlign w:val="bottom"/>
            <w:tcBorders>
              <w:top w:val="single" w:sz="8" w:color="auto"/>
              <w:bottom w:val="single" w:sz="8" w:color="auto"/>
            </w:tcBorders>
          </w:tcPr>
          <w:p>
            <w:pPr>
              <w:jc w:val="right"/>
              <w:ind w:right="232"/>
              <w:spacing w:after="0" w:line="138" w:lineRule="exact"/>
              <w:rPr>
                <w:sz w:val="20"/>
                <w:szCs w:val="20"/>
                <w:color w:val="auto"/>
              </w:rPr>
            </w:pPr>
            <w:r>
              <w:rPr>
                <w:rFonts w:ascii="Arial" w:cs="Arial" w:eastAsia="Arial" w:hAnsi="Arial"/>
                <w:sz w:val="13"/>
                <w:szCs w:val="13"/>
                <w:b w:val="1"/>
                <w:bCs w:val="1"/>
                <w:color w:val="auto"/>
                <w:w w:val="96"/>
              </w:rPr>
              <w:t>     2024</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2025</w:t>
            </w:r>
          </w:p>
        </w:tc>
        <w:tc>
          <w:tcPr>
            <w:tcW w:w="100" w:type="dxa"/>
            <w:vAlign w:val="bottom"/>
            <w:tcBorders>
              <w:bottom w:val="single" w:sz="8" w:color="auto"/>
            </w:tcBorders>
          </w:tcPr>
          <w:p>
            <w:pPr>
              <w:spacing w:after="0"/>
              <w:rPr>
                <w:sz w:val="11"/>
                <w:szCs w:val="11"/>
                <w:color w:val="auto"/>
              </w:rPr>
            </w:pPr>
          </w:p>
        </w:tc>
      </w:tr>
      <w:tr>
        <w:trPr>
          <w:trHeight w:val="148"/>
        </w:trPr>
        <w:tc>
          <w:tcPr>
            <w:tcW w:w="662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5E5E5"/>
          </w:tcPr>
          <w:p>
            <w:pPr>
              <w:jc w:val="right"/>
              <w:ind w:right="192"/>
              <w:spacing w:after="0" w:line="148" w:lineRule="exact"/>
              <w:rPr>
                <w:sz w:val="20"/>
                <w:szCs w:val="20"/>
                <w:color w:val="auto"/>
              </w:rPr>
            </w:pPr>
            <w:r>
              <w:rPr>
                <w:rFonts w:ascii="Arial" w:cs="Arial" w:eastAsia="Arial" w:hAnsi="Arial"/>
                <w:sz w:val="14"/>
                <w:szCs w:val="14"/>
                <w:color w:val="auto"/>
              </w:rPr>
              <w:t>(82,683)</w:t>
            </w:r>
          </w:p>
        </w:tc>
        <w:tc>
          <w:tcPr>
            <w:tcW w:w="48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jc w:val="right"/>
              <w:ind w:right="240"/>
              <w:spacing w:after="0" w:line="148" w:lineRule="exact"/>
              <w:rPr>
                <w:sz w:val="20"/>
                <w:szCs w:val="20"/>
                <w:color w:val="auto"/>
              </w:rPr>
            </w:pPr>
            <w:r>
              <w:rPr>
                <w:rFonts w:ascii="Arial" w:cs="Arial" w:eastAsia="Arial" w:hAnsi="Arial"/>
                <w:sz w:val="14"/>
                <w:szCs w:val="14"/>
                <w:color w:val="auto"/>
              </w:rPr>
              <w:t>(41,570)</w:t>
            </w:r>
          </w:p>
        </w:tc>
        <w:tc>
          <w:tcPr>
            <w:tcW w:w="460" w:type="dxa"/>
            <w:vAlign w:val="bottom"/>
            <w:gridSpan w:val="2"/>
            <w:shd w:val="clear" w:color="auto" w:fill="E5E5E5"/>
          </w:tcPr>
          <w:p>
            <w:pPr>
              <w:jc w:val="right"/>
              <w:ind w:right="77"/>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72"/>
              <w:spacing w:after="0" w:line="148" w:lineRule="exact"/>
              <w:rPr>
                <w:sz w:val="20"/>
                <w:szCs w:val="20"/>
                <w:color w:val="auto"/>
              </w:rPr>
            </w:pPr>
            <w:r>
              <w:rPr>
                <w:rFonts w:ascii="Arial" w:cs="Arial" w:eastAsia="Arial" w:hAnsi="Arial"/>
                <w:sz w:val="14"/>
                <w:szCs w:val="14"/>
                <w:color w:val="auto"/>
              </w:rPr>
              <w:t>(15,189)</w:t>
            </w:r>
          </w:p>
        </w:tc>
        <w:tc>
          <w:tcPr>
            <w:tcW w:w="50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(4,234)</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3"/>
                <w:szCs w:val="13"/>
                <w:color w:val="auto"/>
              </w:rPr>
            </w:pPr>
          </w:p>
        </w:tc>
        <w:tc>
          <w:tcPr>
            <w:tcW w:w="82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9</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114</w:t>
            </w: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192"/>
              <w:spacing w:after="0" w:line="157" w:lineRule="exact"/>
              <w:rPr>
                <w:sz w:val="20"/>
                <w:szCs w:val="20"/>
                <w:color w:val="auto"/>
              </w:rPr>
            </w:pPr>
            <w:r>
              <w:rPr>
                <w:rFonts w:ascii="Arial" w:cs="Arial" w:eastAsia="Arial" w:hAnsi="Arial"/>
                <w:sz w:val="14"/>
                <w:szCs w:val="14"/>
                <w:color w:val="auto"/>
              </w:rPr>
              <w:t>(3,456)</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(5,819)</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172"/>
              <w:spacing w:after="0" w:line="157" w:lineRule="exact"/>
              <w:rPr>
                <w:sz w:val="20"/>
                <w:szCs w:val="20"/>
                <w:color w:val="auto"/>
              </w:rPr>
            </w:pPr>
            <w:r>
              <w:rPr>
                <w:rFonts w:ascii="Arial" w:cs="Arial" w:eastAsia="Arial" w:hAnsi="Arial"/>
                <w:sz w:val="14"/>
                <w:szCs w:val="14"/>
                <w:color w:val="auto"/>
              </w:rPr>
              <w:t>(2,196)</w:t>
            </w:r>
          </w:p>
        </w:tc>
        <w:tc>
          <w:tcPr>
            <w:tcW w:w="50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(2,957)</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3"/>
                <w:szCs w:val="13"/>
                <w:color w:val="auto"/>
              </w:rPr>
            </w:pPr>
          </w:p>
        </w:tc>
        <w:tc>
          <w:tcPr>
            <w:tcW w:w="82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3,272</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2,386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1,917</w:t>
            </w:r>
          </w:p>
        </w:tc>
        <w:tc>
          <w:tcPr>
            <w:tcW w:w="5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72</w:t>
            </w: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2"/>
              <w:spacing w:after="0" w:line="157" w:lineRule="exact"/>
              <w:rPr>
                <w:sz w:val="20"/>
                <w:szCs w:val="20"/>
                <w:color w:val="auto"/>
              </w:rPr>
            </w:pPr>
            <w:r>
              <w:rPr>
                <w:rFonts w:ascii="Arial" w:cs="Arial" w:eastAsia="Arial" w:hAnsi="Arial"/>
                <w:sz w:val="14"/>
                <w:szCs w:val="14"/>
                <w:color w:val="auto"/>
              </w:rPr>
              <w:t>5,874</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300"/>
              <w:spacing w:after="0" w:line="157" w:lineRule="exact"/>
              <w:rPr>
                <w:sz w:val="20"/>
                <w:szCs w:val="20"/>
                <w:color w:val="auto"/>
              </w:rPr>
            </w:pPr>
            <w:r>
              <w:rPr>
                <w:rFonts w:ascii="Arial" w:cs="Arial" w:eastAsia="Arial" w:hAnsi="Arial"/>
                <w:sz w:val="14"/>
                <w:szCs w:val="14"/>
                <w:color w:val="auto"/>
              </w:rPr>
              <w:t>7,040</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232"/>
              <w:spacing w:after="0" w:line="157" w:lineRule="exact"/>
              <w:rPr>
                <w:sz w:val="20"/>
                <w:szCs w:val="20"/>
                <w:color w:val="auto"/>
              </w:rPr>
            </w:pPr>
            <w:r>
              <w:rPr>
                <w:rFonts w:ascii="Arial" w:cs="Arial" w:eastAsia="Arial" w:hAnsi="Arial"/>
                <w:sz w:val="14"/>
                <w:szCs w:val="14"/>
                <w:color w:val="auto"/>
              </w:rPr>
              <w:t>3,432</w:t>
            </w:r>
          </w:p>
        </w:tc>
        <w:tc>
          <w:tcPr>
            <w:tcW w:w="50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3,540</w:t>
            </w:r>
          </w:p>
        </w:tc>
      </w:tr>
      <w:tr>
        <w:trPr>
          <w:trHeight w:val="175"/>
        </w:trPr>
        <w:tc>
          <w:tcPr>
            <w:tcW w:w="6620" w:type="dxa"/>
            <w:vAlign w:val="bottom"/>
          </w:tcPr>
          <w:p>
            <w:pPr>
              <w:spacing w:after="0"/>
              <w:rPr>
                <w:sz w:val="20"/>
                <w:szCs w:val="20"/>
                <w:color w:val="auto"/>
              </w:rPr>
            </w:pPr>
            <w:r>
              <w:rPr>
                <w:rFonts w:ascii="Arial" w:cs="Arial" w:eastAsia="Arial" w:hAnsi="Arial"/>
                <w:sz w:val="14"/>
                <w:szCs w:val="14"/>
                <w:color w:val="auto"/>
              </w:rPr>
              <w:t>EBITDA</w:t>
            </w: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rPr>
              <w:t>(76,984)</w:t>
            </w: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(37,934)</w:t>
            </w:r>
          </w:p>
        </w:tc>
        <w:tc>
          <w:tcPr>
            <w:tcW w:w="46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rPr>
              <w:t>(12,031)</w:t>
            </w: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10311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03110" cy="63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w:t>
      </w:r>
    </w:p>
    <w:p>
      <w:pPr>
        <w:spacing w:after="0" w:line="8" w:lineRule="exact"/>
        <w:rPr>
          <w:sz w:val="20"/>
          <w:szCs w:val="20"/>
          <w:color w:val="auto"/>
        </w:rPr>
      </w:pPr>
    </w:p>
    <w:p>
      <w:pPr>
        <w:ind w:right="200"/>
        <w:spacing w:after="0" w:line="248" w:lineRule="auto"/>
        <w:rPr>
          <w:sz w:val="20"/>
          <w:szCs w:val="20"/>
          <w:color w:val="auto"/>
        </w:rPr>
      </w:pPr>
      <w:r>
        <w:rPr>
          <w:rFonts w:ascii="Arial" w:cs="Arial" w:eastAsia="Arial" w:hAnsi="Arial"/>
          <w:sz w:val="14"/>
          <w:szCs w:val="14"/>
          <w:color w:val="auto"/>
        </w:rPr>
        <w:t>We define Adjusted EBITDA as net loss adjusted for income taxes, interest income, interest expense, depreciation and amortization expense, and certain other items which include significant non-cash items events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38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120"/>
        <w:spacing w:after="0" w:line="252" w:lineRule="auto"/>
        <w:rPr>
          <w:sz w:val="20"/>
          <w:szCs w:val="20"/>
          <w:color w:val="auto"/>
        </w:rPr>
      </w:pPr>
      <w:r>
        <w:rPr>
          <w:rFonts w:ascii="Arial" w:cs="Arial" w:eastAsia="Arial" w:hAnsi="Arial"/>
          <w:sz w:val="14"/>
          <w:szCs w:val="14"/>
          <w:color w:val="auto"/>
        </w:rPr>
        <w:t>that are highly variable, significant in size, and that we do not believe are indicative of ongoing or future business operations, which include: stock-based compensation expense; net gain on extinguishment of debt; change in fair value of term loan; and change in value of convertible notes. A reconciliation of net loss, the most directly comparable GAAP financial measure, to Adjusted EBITDA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62800"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Years ended 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66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20" w:type="dxa"/>
            <w:vAlign w:val="bottom"/>
            <w:tcBorders>
              <w:top w:val="single" w:sz="8" w:color="auto"/>
              <w:bottom w:val="single" w:sz="8" w:color="auto"/>
            </w:tcBorders>
          </w:tcPr>
          <w:p>
            <w:pPr>
              <w:jc w:val="right"/>
              <w:ind w:right="231"/>
              <w:spacing w:after="0" w:line="138" w:lineRule="exact"/>
              <w:rPr>
                <w:sz w:val="20"/>
                <w:szCs w:val="20"/>
                <w:color w:val="auto"/>
              </w:rPr>
            </w:pPr>
            <w:r>
              <w:rPr>
                <w:rFonts w:ascii="Arial" w:cs="Arial" w:eastAsia="Arial" w:hAnsi="Arial"/>
                <w:sz w:val="13"/>
                <w:szCs w:val="13"/>
                <w:b w:val="1"/>
                <w:bCs w:val="1"/>
                <w:color w:val="auto"/>
                <w:w w:val="88"/>
              </w:rPr>
              <w:t>     2023</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2024</w:t>
            </w: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00" w:type="dxa"/>
            <w:vAlign w:val="bottom"/>
            <w:tcBorders>
              <w:top w:val="single" w:sz="8" w:color="auto"/>
              <w:bottom w:val="single" w:sz="8" w:color="auto"/>
            </w:tcBorders>
          </w:tcPr>
          <w:p>
            <w:pPr>
              <w:jc w:val="right"/>
              <w:ind w:right="231"/>
              <w:spacing w:after="0" w:line="138" w:lineRule="exact"/>
              <w:rPr>
                <w:sz w:val="20"/>
                <w:szCs w:val="20"/>
                <w:color w:val="auto"/>
              </w:rPr>
            </w:pPr>
            <w:r>
              <w:rPr>
                <w:rFonts w:ascii="Arial" w:cs="Arial" w:eastAsia="Arial" w:hAnsi="Arial"/>
                <w:sz w:val="13"/>
                <w:szCs w:val="13"/>
                <w:b w:val="1"/>
                <w:bCs w:val="1"/>
                <w:color w:val="auto"/>
                <w:w w:val="85"/>
              </w:rPr>
              <w:t>     2024</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2025</w:t>
            </w:r>
          </w:p>
        </w:tc>
        <w:tc>
          <w:tcPr>
            <w:tcW w:w="100" w:type="dxa"/>
            <w:vAlign w:val="bottom"/>
            <w:tcBorders>
              <w:bottom w:val="single" w:sz="8" w:color="auto"/>
            </w:tcBorders>
            <w:gridSpan w:val="2"/>
          </w:tcPr>
          <w:p>
            <w:pPr>
              <w:spacing w:after="0"/>
              <w:rPr>
                <w:sz w:val="11"/>
                <w:szCs w:val="11"/>
                <w:color w:val="auto"/>
              </w:rPr>
            </w:pPr>
          </w:p>
        </w:tc>
      </w:tr>
      <w:tr>
        <w:trPr>
          <w:trHeight w:val="148"/>
        </w:trPr>
        <w:tc>
          <w:tcPr>
            <w:tcW w:w="662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5E5E5"/>
          </w:tcPr>
          <w:p>
            <w:pPr>
              <w:jc w:val="right"/>
              <w:ind w:right="191"/>
              <w:spacing w:after="0" w:line="148" w:lineRule="exact"/>
              <w:rPr>
                <w:sz w:val="20"/>
                <w:szCs w:val="20"/>
                <w:color w:val="auto"/>
              </w:rPr>
            </w:pPr>
            <w:r>
              <w:rPr>
                <w:rFonts w:ascii="Arial" w:cs="Arial" w:eastAsia="Arial" w:hAnsi="Arial"/>
                <w:sz w:val="14"/>
                <w:szCs w:val="14"/>
                <w:color w:val="auto"/>
              </w:rPr>
              <w:t>(82,683)</w:t>
            </w:r>
          </w:p>
        </w:tc>
        <w:tc>
          <w:tcPr>
            <w:tcW w:w="48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jc w:val="right"/>
              <w:ind w:right="240"/>
              <w:spacing w:after="0" w:line="148" w:lineRule="exact"/>
              <w:rPr>
                <w:sz w:val="20"/>
                <w:szCs w:val="20"/>
                <w:color w:val="auto"/>
              </w:rPr>
            </w:pPr>
            <w:r>
              <w:rPr>
                <w:rFonts w:ascii="Arial" w:cs="Arial" w:eastAsia="Arial" w:hAnsi="Arial"/>
                <w:sz w:val="14"/>
                <w:szCs w:val="14"/>
                <w:color w:val="auto"/>
              </w:rPr>
              <w:t>(41,570)</w:t>
            </w:r>
          </w:p>
        </w:tc>
        <w:tc>
          <w:tcPr>
            <w:tcW w:w="460" w:type="dxa"/>
            <w:vAlign w:val="bottom"/>
            <w:gridSpan w:val="2"/>
            <w:shd w:val="clear" w:color="auto" w:fill="E5E5E5"/>
          </w:tcPr>
          <w:p>
            <w:pPr>
              <w:jc w:val="right"/>
              <w:ind w:right="77"/>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71"/>
              <w:spacing w:after="0" w:line="148" w:lineRule="exact"/>
              <w:rPr>
                <w:sz w:val="20"/>
                <w:szCs w:val="20"/>
                <w:color w:val="auto"/>
              </w:rPr>
            </w:pPr>
            <w:r>
              <w:rPr>
                <w:rFonts w:ascii="Arial" w:cs="Arial" w:eastAsia="Arial" w:hAnsi="Arial"/>
                <w:sz w:val="14"/>
                <w:szCs w:val="14"/>
                <w:color w:val="auto"/>
              </w:rPr>
              <w:t>(15,189)</w:t>
            </w:r>
          </w:p>
        </w:tc>
        <w:tc>
          <w:tcPr>
            <w:tcW w:w="50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(4,234)</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3"/>
                <w:szCs w:val="13"/>
                <w:color w:val="auto"/>
              </w:rPr>
            </w:pPr>
          </w:p>
        </w:tc>
        <w:tc>
          <w:tcPr>
            <w:tcW w:w="82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9</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191"/>
              <w:spacing w:after="0" w:line="157" w:lineRule="exact"/>
              <w:rPr>
                <w:sz w:val="20"/>
                <w:szCs w:val="20"/>
                <w:color w:val="auto"/>
              </w:rPr>
            </w:pPr>
            <w:r>
              <w:rPr>
                <w:rFonts w:ascii="Arial" w:cs="Arial" w:eastAsia="Arial" w:hAnsi="Arial"/>
                <w:sz w:val="14"/>
                <w:szCs w:val="14"/>
                <w:color w:val="auto"/>
              </w:rPr>
              <w:t>(3,456)</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(5,819)</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(2,196)</w:t>
            </w:r>
          </w:p>
        </w:tc>
        <w:tc>
          <w:tcPr>
            <w:tcW w:w="500" w:type="dxa"/>
            <w:vAlign w:val="bottom"/>
            <w:shd w:val="clear" w:color="auto" w:fill="E5E5E5"/>
          </w:tcPr>
          <w:p>
            <w:pPr>
              <w:spacing w:after="0"/>
              <w:rPr>
                <w:sz w:val="13"/>
                <w:szCs w:val="13"/>
                <w:color w:val="auto"/>
              </w:rPr>
            </w:pPr>
          </w:p>
        </w:tc>
        <w:tc>
          <w:tcPr>
            <w:tcW w:w="600" w:type="dxa"/>
            <w:vAlign w:val="bottom"/>
            <w:gridSpan w:val="3"/>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(2,957)</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3"/>
                <w:szCs w:val="13"/>
                <w:color w:val="auto"/>
              </w:rPr>
            </w:pPr>
          </w:p>
        </w:tc>
        <w:tc>
          <w:tcPr>
            <w:tcW w:w="82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3,272</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2,386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1,917</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Depreciation &amp; amortization</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5,874</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300"/>
              <w:spacing w:after="0" w:line="157" w:lineRule="exact"/>
              <w:rPr>
                <w:sz w:val="20"/>
                <w:szCs w:val="20"/>
                <w:color w:val="auto"/>
              </w:rPr>
            </w:pPr>
            <w:r>
              <w:rPr>
                <w:rFonts w:ascii="Arial" w:cs="Arial" w:eastAsia="Arial" w:hAnsi="Arial"/>
                <w:sz w:val="14"/>
                <w:szCs w:val="14"/>
                <w:color w:val="auto"/>
              </w:rPr>
              <w:t>7,040</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3,432</w:t>
            </w:r>
          </w:p>
        </w:tc>
        <w:tc>
          <w:tcPr>
            <w:tcW w:w="500" w:type="dxa"/>
            <w:vAlign w:val="bottom"/>
            <w:shd w:val="clear" w:color="auto" w:fill="E5E5E5"/>
          </w:tcPr>
          <w:p>
            <w:pPr>
              <w:spacing w:after="0"/>
              <w:rPr>
                <w:sz w:val="13"/>
                <w:szCs w:val="13"/>
                <w:color w:val="auto"/>
              </w:rPr>
            </w:pPr>
          </w:p>
        </w:tc>
        <w:tc>
          <w:tcPr>
            <w:tcW w:w="52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3,540</w:t>
            </w:r>
          </w:p>
        </w:tc>
        <w:tc>
          <w:tcPr>
            <w:tcW w:w="80" w:type="dxa"/>
            <w:vAlign w:val="bottom"/>
            <w:shd w:val="clear" w:color="auto" w:fill="E5E5E5"/>
          </w:tcPr>
          <w:p>
            <w:pPr>
              <w:spacing w:after="0"/>
              <w:rPr>
                <w:sz w:val="13"/>
                <w:szCs w:val="13"/>
                <w:color w:val="auto"/>
              </w:rPr>
            </w:pP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Stock compensation expense</w:t>
            </w:r>
          </w:p>
        </w:tc>
        <w:tc>
          <w:tcPr>
            <w:tcW w:w="200" w:type="dxa"/>
            <w:vAlign w:val="bottom"/>
          </w:tcPr>
          <w:p>
            <w:pPr>
              <w:spacing w:after="0"/>
              <w:rPr>
                <w:sz w:val="13"/>
                <w:szCs w:val="13"/>
                <w:color w:val="auto"/>
              </w:rPr>
            </w:pPr>
          </w:p>
        </w:tc>
        <w:tc>
          <w:tcPr>
            <w:tcW w:w="82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4,854</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8,362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3,905</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5,106</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(7,289)</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171"/>
              <w:spacing w:after="0" w:line="157" w:lineRule="exact"/>
              <w:rPr>
                <w:sz w:val="20"/>
                <w:szCs w:val="20"/>
                <w:color w:val="auto"/>
              </w:rPr>
            </w:pPr>
            <w:r>
              <w:rPr>
                <w:rFonts w:ascii="Arial" w:cs="Arial" w:eastAsia="Arial" w:hAnsi="Arial"/>
                <w:sz w:val="14"/>
                <w:szCs w:val="14"/>
                <w:color w:val="auto"/>
              </w:rPr>
              <w:t>(8,635)</w:t>
            </w:r>
          </w:p>
        </w:tc>
        <w:tc>
          <w:tcPr>
            <w:tcW w:w="500" w:type="dxa"/>
            <w:vAlign w:val="bottom"/>
            <w:shd w:val="clear" w:color="auto" w:fill="E5E5E5"/>
          </w:tcPr>
          <w:p>
            <w:pPr>
              <w:spacing w:after="0"/>
              <w:rPr>
                <w:sz w:val="13"/>
                <w:szCs w:val="13"/>
                <w:color w:val="auto"/>
              </w:rPr>
            </w:pPr>
          </w:p>
        </w:tc>
        <w:tc>
          <w:tcPr>
            <w:tcW w:w="60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(Increase)/decrease in fair value of term loan</w:t>
            </w:r>
          </w:p>
        </w:tc>
        <w:tc>
          <w:tcPr>
            <w:tcW w:w="200" w:type="dxa"/>
            <w:vAlign w:val="bottom"/>
          </w:tcPr>
          <w:p>
            <w:pPr>
              <w:spacing w:after="0"/>
              <w:rPr>
                <w:sz w:val="13"/>
                <w:szCs w:val="13"/>
                <w:color w:val="auto"/>
              </w:rPr>
            </w:pPr>
          </w:p>
        </w:tc>
        <w:tc>
          <w:tcPr>
            <w:tcW w:w="82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3,137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3,102</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(Increase)/decrease in fair value of convertible notes</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12,921</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300"/>
              <w:spacing w:after="0" w:line="157" w:lineRule="exact"/>
              <w:rPr>
                <w:sz w:val="20"/>
                <w:szCs w:val="20"/>
                <w:color w:val="auto"/>
              </w:rPr>
            </w:pPr>
            <w:r>
              <w:rPr>
                <w:rFonts w:ascii="Arial" w:cs="Arial" w:eastAsia="Arial" w:hAnsi="Arial"/>
                <w:sz w:val="14"/>
                <w:szCs w:val="14"/>
                <w:color w:val="auto"/>
              </w:rPr>
              <w:t>835</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231"/>
              <w:spacing w:after="0" w:line="157" w:lineRule="exact"/>
              <w:rPr>
                <w:sz w:val="20"/>
                <w:szCs w:val="20"/>
                <w:color w:val="auto"/>
              </w:rPr>
            </w:pPr>
            <w:r>
              <w:rPr>
                <w:rFonts w:ascii="Arial" w:cs="Arial" w:eastAsia="Arial" w:hAnsi="Arial"/>
                <w:sz w:val="14"/>
                <w:szCs w:val="14"/>
                <w:color w:val="auto"/>
              </w:rPr>
              <w:t>835</w:t>
            </w:r>
          </w:p>
        </w:tc>
        <w:tc>
          <w:tcPr>
            <w:tcW w:w="500" w:type="dxa"/>
            <w:vAlign w:val="bottom"/>
            <w:shd w:val="clear" w:color="auto" w:fill="E5E5E5"/>
          </w:tcPr>
          <w:p>
            <w:pPr>
              <w:spacing w:after="0"/>
              <w:rPr>
                <w:sz w:val="13"/>
                <w:szCs w:val="13"/>
                <w:color w:val="auto"/>
              </w:rPr>
            </w:pPr>
          </w:p>
        </w:tc>
        <w:tc>
          <w:tcPr>
            <w:tcW w:w="60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(59,209)</w:t>
            </w: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(32,889)</w:t>
            </w:r>
          </w:p>
        </w:tc>
        <w:tc>
          <w:tcPr>
            <w:tcW w:w="46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(15,926)</w:t>
            </w: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6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loss from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define non-GAAP operating loss as operating loss presented in accordance with GAAP, adjusted to exclude stock-based compensation expenses.</w:t>
      </w:r>
    </w:p>
    <w:p>
      <w:pPr>
        <w:spacing w:after="0" w:line="101" w:lineRule="exact"/>
        <w:rPr>
          <w:sz w:val="20"/>
          <w:szCs w:val="20"/>
          <w:color w:val="auto"/>
        </w:rPr>
      </w:pPr>
    </w:p>
    <w:p>
      <w:pPr>
        <w:ind w:right="4540"/>
        <w:spacing w:after="0" w:line="269" w:lineRule="auto"/>
        <w:rPr>
          <w:sz w:val="20"/>
          <w:szCs w:val="20"/>
          <w:color w:val="auto"/>
        </w:rPr>
      </w:pPr>
      <w:r>
        <w:rPr>
          <w:rFonts w:ascii="Arial" w:cs="Arial" w:eastAsia="Arial" w:hAnsi="Arial"/>
          <w:sz w:val="14"/>
          <w:szCs w:val="14"/>
          <w:color w:val="auto"/>
        </w:rPr>
        <w:t>A reconciliation of loss from operations, the most directly comparable GAAP financial measure, to non-GAAP loss from operations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Years ended 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66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20" w:type="dxa"/>
            <w:vAlign w:val="bottom"/>
            <w:tcBorders>
              <w:top w:val="single" w:sz="8" w:color="auto"/>
              <w:bottom w:val="single" w:sz="8" w:color="auto"/>
            </w:tcBorders>
          </w:tcPr>
          <w:p>
            <w:pPr>
              <w:jc w:val="right"/>
              <w:ind w:right="233"/>
              <w:spacing w:after="0" w:line="138" w:lineRule="exact"/>
              <w:rPr>
                <w:sz w:val="20"/>
                <w:szCs w:val="20"/>
                <w:color w:val="auto"/>
              </w:rPr>
            </w:pPr>
            <w:r>
              <w:rPr>
                <w:rFonts w:ascii="Arial" w:cs="Arial" w:eastAsia="Arial" w:hAnsi="Arial"/>
                <w:sz w:val="13"/>
                <w:szCs w:val="13"/>
                <w:b w:val="1"/>
                <w:bCs w:val="1"/>
                <w:color w:val="auto"/>
                <w:w w:val="88"/>
              </w:rPr>
              <w:t>     2023</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w w:val="77"/>
              </w:rPr>
              <w:t>     2024</w:t>
            </w: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00" w:type="dxa"/>
            <w:vAlign w:val="bottom"/>
            <w:tcBorders>
              <w:top w:val="single" w:sz="8" w:color="auto"/>
              <w:bottom w:val="single" w:sz="8" w:color="auto"/>
            </w:tcBorders>
          </w:tcPr>
          <w:p>
            <w:pPr>
              <w:jc w:val="right"/>
              <w:ind w:right="233"/>
              <w:spacing w:after="0" w:line="138" w:lineRule="exact"/>
              <w:rPr>
                <w:sz w:val="20"/>
                <w:szCs w:val="20"/>
                <w:color w:val="auto"/>
              </w:rPr>
            </w:pPr>
            <w:r>
              <w:rPr>
                <w:rFonts w:ascii="Arial" w:cs="Arial" w:eastAsia="Arial" w:hAnsi="Arial"/>
                <w:sz w:val="13"/>
                <w:szCs w:val="13"/>
                <w:b w:val="1"/>
                <w:bCs w:val="1"/>
                <w:color w:val="auto"/>
                <w:w w:val="85"/>
              </w:rPr>
              <w:t>     2024</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2025</w:t>
            </w:r>
          </w:p>
        </w:tc>
        <w:tc>
          <w:tcPr>
            <w:tcW w:w="100" w:type="dxa"/>
            <w:vAlign w:val="bottom"/>
            <w:tcBorders>
              <w:bottom w:val="single" w:sz="8" w:color="auto"/>
            </w:tcBorders>
          </w:tcPr>
          <w:p>
            <w:pPr>
              <w:spacing w:after="0"/>
              <w:rPr>
                <w:sz w:val="11"/>
                <w:szCs w:val="11"/>
                <w:color w:val="auto"/>
              </w:rPr>
            </w:pPr>
          </w:p>
        </w:tc>
      </w:tr>
      <w:tr>
        <w:trPr>
          <w:trHeight w:val="148"/>
        </w:trPr>
        <w:tc>
          <w:tcPr>
            <w:tcW w:w="662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Loss from operations</w:t>
            </w:r>
          </w:p>
        </w:tc>
        <w:tc>
          <w:tcPr>
            <w:tcW w:w="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5E5E5"/>
          </w:tcPr>
          <w:p>
            <w:pPr>
              <w:jc w:val="right"/>
              <w:ind w:right="193"/>
              <w:spacing w:after="0" w:line="148" w:lineRule="exact"/>
              <w:rPr>
                <w:sz w:val="20"/>
                <w:szCs w:val="20"/>
                <w:color w:val="auto"/>
              </w:rPr>
            </w:pPr>
            <w:r>
              <w:rPr>
                <w:rFonts w:ascii="Arial" w:cs="Arial" w:eastAsia="Arial" w:hAnsi="Arial"/>
                <w:sz w:val="14"/>
                <w:szCs w:val="14"/>
                <w:color w:val="auto"/>
              </w:rPr>
              <w:t>(69,495)</w:t>
            </w:r>
          </w:p>
        </w:tc>
        <w:tc>
          <w:tcPr>
            <w:tcW w:w="48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
              <w:spacing w:after="0" w:line="148" w:lineRule="exact"/>
              <w:rPr>
                <w:sz w:val="20"/>
                <w:szCs w:val="20"/>
                <w:color w:val="auto"/>
              </w:rPr>
            </w:pPr>
            <w:r>
              <w:rPr>
                <w:rFonts w:ascii="Arial" w:cs="Arial" w:eastAsia="Arial" w:hAnsi="Arial"/>
                <w:sz w:val="14"/>
                <w:szCs w:val="14"/>
                <w:color w:val="auto"/>
              </w:rPr>
              <w:t>(47,146)</w:t>
            </w:r>
          </w:p>
        </w:tc>
        <w:tc>
          <w:tcPr>
            <w:tcW w:w="460" w:type="dxa"/>
            <w:vAlign w:val="bottom"/>
            <w:gridSpan w:val="2"/>
            <w:shd w:val="clear" w:color="auto" w:fill="E5E5E5"/>
          </w:tcPr>
          <w:p>
            <w:pPr>
              <w:jc w:val="right"/>
              <w:ind w:right="77"/>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73"/>
              <w:spacing w:after="0" w:line="148" w:lineRule="exact"/>
              <w:rPr>
                <w:sz w:val="20"/>
                <w:szCs w:val="20"/>
                <w:color w:val="auto"/>
              </w:rPr>
            </w:pPr>
            <w:r>
              <w:rPr>
                <w:rFonts w:ascii="Arial" w:cs="Arial" w:eastAsia="Arial" w:hAnsi="Arial"/>
                <w:sz w:val="14"/>
                <w:szCs w:val="14"/>
                <w:color w:val="auto"/>
              </w:rPr>
              <w:t>(22,820)</w:t>
            </w:r>
          </w:p>
        </w:tc>
        <w:tc>
          <w:tcPr>
            <w:tcW w:w="50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(3,942)</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3"/>
                <w:szCs w:val="13"/>
                <w:color w:val="auto"/>
              </w:rPr>
            </w:pPr>
          </w:p>
        </w:tc>
        <w:tc>
          <w:tcPr>
            <w:tcW w:w="820" w:type="dxa"/>
            <w:vAlign w:val="bottom"/>
          </w:tcPr>
          <w:p>
            <w:pPr>
              <w:jc w:val="right"/>
              <w:ind w:right="233"/>
              <w:spacing w:after="0" w:line="157" w:lineRule="exact"/>
              <w:rPr>
                <w:sz w:val="20"/>
                <w:szCs w:val="20"/>
                <w:color w:val="auto"/>
              </w:rPr>
            </w:pPr>
            <w:r>
              <w:rPr>
                <w:rFonts w:ascii="Arial" w:cs="Arial" w:eastAsia="Arial" w:hAnsi="Arial"/>
                <w:sz w:val="14"/>
                <w:szCs w:val="14"/>
                <w:color w:val="auto"/>
              </w:rPr>
              <w:t>4,854</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8,362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3"/>
              <w:spacing w:after="0" w:line="157" w:lineRule="exact"/>
              <w:rPr>
                <w:sz w:val="20"/>
                <w:szCs w:val="20"/>
                <w:color w:val="auto"/>
              </w:rPr>
            </w:pPr>
            <w:r>
              <w:rPr>
                <w:rFonts w:ascii="Arial" w:cs="Arial" w:eastAsia="Arial" w:hAnsi="Arial"/>
                <w:sz w:val="14"/>
                <w:szCs w:val="14"/>
                <w:color w:val="auto"/>
              </w:rPr>
              <w:t>3,905</w:t>
            </w:r>
          </w:p>
        </w:tc>
        <w:tc>
          <w:tcPr>
            <w:tcW w:w="5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5,106</w:t>
            </w:r>
          </w:p>
        </w:tc>
      </w:tr>
      <w:tr>
        <w:trPr>
          <w:trHeight w:val="21"/>
        </w:trPr>
        <w:tc>
          <w:tcPr>
            <w:tcW w:w="6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Non-GAAP income (loss) from operations</w:t>
            </w:r>
          </w:p>
        </w:tc>
        <w:tc>
          <w:tcPr>
            <w:tcW w:w="200" w:type="dxa"/>
            <w:vAlign w:val="bottom"/>
            <w:shd w:val="clear" w:color="auto" w:fill="E5E5E5"/>
          </w:tcPr>
          <w:p>
            <w:pPr>
              <w:jc w:val="right"/>
              <w:ind w:right="52"/>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5E5E5"/>
          </w:tcPr>
          <w:p>
            <w:pPr>
              <w:jc w:val="right"/>
              <w:ind w:right="193"/>
              <w:spacing w:after="0" w:line="157" w:lineRule="exact"/>
              <w:rPr>
                <w:sz w:val="20"/>
                <w:szCs w:val="20"/>
                <w:color w:val="auto"/>
              </w:rPr>
            </w:pPr>
            <w:r>
              <w:rPr>
                <w:rFonts w:ascii="Arial" w:cs="Arial" w:eastAsia="Arial" w:hAnsi="Arial"/>
                <w:sz w:val="14"/>
                <w:szCs w:val="14"/>
                <w:color w:val="auto"/>
              </w:rPr>
              <w:t>(64,641)</w:t>
            </w:r>
          </w:p>
        </w:tc>
        <w:tc>
          <w:tcPr>
            <w:tcW w:w="480" w:type="dxa"/>
            <w:vAlign w:val="bottom"/>
            <w:shd w:val="clear" w:color="auto" w:fill="E5E5E5"/>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
              <w:spacing w:after="0" w:line="157" w:lineRule="exact"/>
              <w:rPr>
                <w:sz w:val="20"/>
                <w:szCs w:val="20"/>
                <w:color w:val="auto"/>
              </w:rPr>
            </w:pPr>
            <w:r>
              <w:rPr>
                <w:rFonts w:ascii="Arial" w:cs="Arial" w:eastAsia="Arial" w:hAnsi="Arial"/>
                <w:sz w:val="14"/>
                <w:szCs w:val="14"/>
                <w:color w:val="auto"/>
              </w:rPr>
              <w:t>(38,784)</w:t>
            </w:r>
          </w:p>
        </w:tc>
        <w:tc>
          <w:tcPr>
            <w:tcW w:w="460" w:type="dxa"/>
            <w:vAlign w:val="bottom"/>
            <w:gridSpan w:val="2"/>
            <w:shd w:val="clear" w:color="auto" w:fill="E5E5E5"/>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73"/>
              <w:spacing w:after="0" w:line="157" w:lineRule="exact"/>
              <w:rPr>
                <w:sz w:val="20"/>
                <w:szCs w:val="20"/>
                <w:color w:val="auto"/>
              </w:rPr>
            </w:pPr>
            <w:r>
              <w:rPr>
                <w:rFonts w:ascii="Arial" w:cs="Arial" w:eastAsia="Arial" w:hAnsi="Arial"/>
                <w:sz w:val="14"/>
                <w:szCs w:val="14"/>
                <w:color w:val="auto"/>
              </w:rPr>
              <w:t>(18,915)</w:t>
            </w:r>
          </w:p>
        </w:tc>
        <w:tc>
          <w:tcPr>
            <w:tcW w:w="500" w:type="dxa"/>
            <w:vAlign w:val="bottom"/>
            <w:shd w:val="clear" w:color="auto" w:fill="E5E5E5"/>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1,164</w:t>
            </w:r>
          </w:p>
        </w:tc>
      </w:tr>
      <w:tr>
        <w:trPr>
          <w:trHeight w:val="157"/>
        </w:trPr>
        <w:tc>
          <w:tcPr>
            <w:tcW w:w="6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net loss</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monitor non-GAAP net loss income for planning and performance measurement purposes. We define non-GAAP net loss as net loss reported on our statements of operations, excluding the impact of stock-based compensation expenses, net gain on extinguishment of debt, change in fair value of the term loan, and change in fair value of convertible notes. We exclude fair value adjustments related to debt, which can fluctuate significantly and do not directly reflect our underlying operations. Our calculation of non-GAAP net loss does not currently include the tax effects of the stock-based compensation expense adjustment because such tax effects have not been material to date.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38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net loss, the most directly comparable GAAP financial measure, to non-GAAP net loss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Years ended 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66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20" w:type="dxa"/>
            <w:vAlign w:val="bottom"/>
            <w:tcBorders>
              <w:top w:val="single" w:sz="8" w:color="auto"/>
              <w:bottom w:val="single" w:sz="8" w:color="auto"/>
            </w:tcBorders>
          </w:tcPr>
          <w:p>
            <w:pPr>
              <w:jc w:val="right"/>
              <w:ind w:right="232"/>
              <w:spacing w:after="0" w:line="138" w:lineRule="exact"/>
              <w:rPr>
                <w:sz w:val="20"/>
                <w:szCs w:val="20"/>
                <w:color w:val="auto"/>
              </w:rPr>
            </w:pPr>
            <w:r>
              <w:rPr>
                <w:rFonts w:ascii="Arial" w:cs="Arial" w:eastAsia="Arial" w:hAnsi="Arial"/>
                <w:sz w:val="13"/>
                <w:szCs w:val="13"/>
                <w:b w:val="1"/>
                <w:bCs w:val="1"/>
                <w:color w:val="auto"/>
                <w:w w:val="88"/>
              </w:rPr>
              <w:t>     2023</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2024</w:t>
            </w: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00" w:type="dxa"/>
            <w:vAlign w:val="bottom"/>
            <w:tcBorders>
              <w:top w:val="single" w:sz="8" w:color="auto"/>
              <w:bottom w:val="single" w:sz="8" w:color="auto"/>
            </w:tcBorders>
          </w:tcPr>
          <w:p>
            <w:pPr>
              <w:jc w:val="right"/>
              <w:ind w:right="232"/>
              <w:spacing w:after="0" w:line="138" w:lineRule="exact"/>
              <w:rPr>
                <w:sz w:val="20"/>
                <w:szCs w:val="20"/>
                <w:color w:val="auto"/>
              </w:rPr>
            </w:pPr>
            <w:r>
              <w:rPr>
                <w:rFonts w:ascii="Arial" w:cs="Arial" w:eastAsia="Arial" w:hAnsi="Arial"/>
                <w:sz w:val="13"/>
                <w:szCs w:val="13"/>
                <w:b w:val="1"/>
                <w:bCs w:val="1"/>
                <w:color w:val="auto"/>
                <w:w w:val="85"/>
              </w:rPr>
              <w:t>     2024</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2025</w:t>
            </w:r>
          </w:p>
        </w:tc>
        <w:tc>
          <w:tcPr>
            <w:tcW w:w="100" w:type="dxa"/>
            <w:vAlign w:val="bottom"/>
            <w:tcBorders>
              <w:bottom w:val="single" w:sz="8" w:color="auto"/>
            </w:tcBorders>
            <w:gridSpan w:val="2"/>
          </w:tcPr>
          <w:p>
            <w:pPr>
              <w:spacing w:after="0"/>
              <w:rPr>
                <w:sz w:val="11"/>
                <w:szCs w:val="11"/>
                <w:color w:val="auto"/>
              </w:rPr>
            </w:pPr>
          </w:p>
        </w:tc>
      </w:tr>
      <w:tr>
        <w:trPr>
          <w:trHeight w:val="148"/>
        </w:trPr>
        <w:tc>
          <w:tcPr>
            <w:tcW w:w="662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5E5E5"/>
          </w:tcPr>
          <w:p>
            <w:pPr>
              <w:jc w:val="right"/>
              <w:ind w:right="192"/>
              <w:spacing w:after="0" w:line="148" w:lineRule="exact"/>
              <w:rPr>
                <w:sz w:val="20"/>
                <w:szCs w:val="20"/>
                <w:color w:val="auto"/>
              </w:rPr>
            </w:pPr>
            <w:r>
              <w:rPr>
                <w:rFonts w:ascii="Arial" w:cs="Arial" w:eastAsia="Arial" w:hAnsi="Arial"/>
                <w:sz w:val="14"/>
                <w:szCs w:val="14"/>
                <w:color w:val="auto"/>
              </w:rPr>
              <w:t>(82,683)</w:t>
            </w:r>
          </w:p>
        </w:tc>
        <w:tc>
          <w:tcPr>
            <w:tcW w:w="48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jc w:val="right"/>
              <w:ind w:right="240"/>
              <w:spacing w:after="0" w:line="148" w:lineRule="exact"/>
              <w:rPr>
                <w:sz w:val="20"/>
                <w:szCs w:val="20"/>
                <w:color w:val="auto"/>
              </w:rPr>
            </w:pPr>
            <w:r>
              <w:rPr>
                <w:rFonts w:ascii="Arial" w:cs="Arial" w:eastAsia="Arial" w:hAnsi="Arial"/>
                <w:sz w:val="14"/>
                <w:szCs w:val="14"/>
                <w:color w:val="auto"/>
              </w:rPr>
              <w:t>(41,570)</w:t>
            </w:r>
          </w:p>
        </w:tc>
        <w:tc>
          <w:tcPr>
            <w:tcW w:w="460" w:type="dxa"/>
            <w:vAlign w:val="bottom"/>
            <w:gridSpan w:val="2"/>
            <w:shd w:val="clear" w:color="auto" w:fill="E5E5E5"/>
          </w:tcPr>
          <w:p>
            <w:pPr>
              <w:jc w:val="right"/>
              <w:ind w:right="77"/>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72"/>
              <w:spacing w:after="0" w:line="148" w:lineRule="exact"/>
              <w:rPr>
                <w:sz w:val="20"/>
                <w:szCs w:val="20"/>
                <w:color w:val="auto"/>
              </w:rPr>
            </w:pPr>
            <w:r>
              <w:rPr>
                <w:rFonts w:ascii="Arial" w:cs="Arial" w:eastAsia="Arial" w:hAnsi="Arial"/>
                <w:sz w:val="14"/>
                <w:szCs w:val="14"/>
                <w:color w:val="auto"/>
              </w:rPr>
              <w:t>(15,189)</w:t>
            </w:r>
          </w:p>
        </w:tc>
        <w:tc>
          <w:tcPr>
            <w:tcW w:w="500" w:type="dxa"/>
            <w:vAlign w:val="bottom"/>
            <w:shd w:val="clear" w:color="auto" w:fill="E5E5E5"/>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(4,234)</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3"/>
                <w:szCs w:val="13"/>
                <w:color w:val="auto"/>
              </w:rPr>
            </w:pPr>
          </w:p>
        </w:tc>
        <w:tc>
          <w:tcPr>
            <w:tcW w:w="82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4,854</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8,362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3,905</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5,106</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gain on extinguishment of debt</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2"/>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(7,289)</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172"/>
              <w:spacing w:after="0" w:line="157" w:lineRule="exact"/>
              <w:rPr>
                <w:sz w:val="20"/>
                <w:szCs w:val="20"/>
                <w:color w:val="auto"/>
              </w:rPr>
            </w:pPr>
            <w:r>
              <w:rPr>
                <w:rFonts w:ascii="Arial" w:cs="Arial" w:eastAsia="Arial" w:hAnsi="Arial"/>
                <w:sz w:val="14"/>
                <w:szCs w:val="14"/>
                <w:color w:val="auto"/>
              </w:rPr>
              <w:t>(8,635)</w:t>
            </w:r>
          </w:p>
        </w:tc>
        <w:tc>
          <w:tcPr>
            <w:tcW w:w="500" w:type="dxa"/>
            <w:vAlign w:val="bottom"/>
            <w:shd w:val="clear" w:color="auto" w:fill="E5E5E5"/>
          </w:tcPr>
          <w:p>
            <w:pPr>
              <w:spacing w:after="0"/>
              <w:rPr>
                <w:sz w:val="13"/>
                <w:szCs w:val="13"/>
                <w:color w:val="auto"/>
              </w:rPr>
            </w:pPr>
          </w:p>
        </w:tc>
        <w:tc>
          <w:tcPr>
            <w:tcW w:w="60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57"/>
        </w:trPr>
        <w:tc>
          <w:tcPr>
            <w:tcW w:w="6620" w:type="dxa"/>
            <w:vAlign w:val="bottom"/>
          </w:tcPr>
          <w:p>
            <w:pPr>
              <w:spacing w:after="0" w:line="157" w:lineRule="exact"/>
              <w:rPr>
                <w:sz w:val="20"/>
                <w:szCs w:val="20"/>
                <w:color w:val="auto"/>
              </w:rPr>
            </w:pPr>
            <w:r>
              <w:rPr>
                <w:rFonts w:ascii="Arial" w:cs="Arial" w:eastAsia="Arial" w:hAnsi="Arial"/>
                <w:sz w:val="14"/>
                <w:szCs w:val="14"/>
                <w:color w:val="auto"/>
              </w:rPr>
              <w:t>Change in fair value of term loan</w:t>
            </w:r>
          </w:p>
        </w:tc>
        <w:tc>
          <w:tcPr>
            <w:tcW w:w="200" w:type="dxa"/>
            <w:vAlign w:val="bottom"/>
          </w:tcPr>
          <w:p>
            <w:pPr>
              <w:spacing w:after="0"/>
              <w:rPr>
                <w:sz w:val="13"/>
                <w:szCs w:val="13"/>
                <w:color w:val="auto"/>
              </w:rPr>
            </w:pPr>
          </w:p>
        </w:tc>
        <w:tc>
          <w:tcPr>
            <w:tcW w:w="82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3,137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3,102</w:t>
            </w:r>
          </w:p>
        </w:tc>
        <w:tc>
          <w:tcPr>
            <w:tcW w:w="80" w:type="dxa"/>
            <w:vAlign w:val="bottom"/>
          </w:tcPr>
          <w:p>
            <w:pPr>
              <w:spacing w:after="0"/>
              <w:rPr>
                <w:sz w:val="13"/>
                <w:szCs w:val="13"/>
                <w:color w:val="auto"/>
              </w:rPr>
            </w:pPr>
          </w:p>
        </w:tc>
      </w:tr>
      <w:tr>
        <w:trPr>
          <w:trHeight w:val="157"/>
        </w:trPr>
        <w:tc>
          <w:tcPr>
            <w:tcW w:w="6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20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232"/>
              <w:spacing w:after="0" w:line="157" w:lineRule="exact"/>
              <w:rPr>
                <w:sz w:val="20"/>
                <w:szCs w:val="20"/>
                <w:color w:val="auto"/>
              </w:rPr>
            </w:pPr>
            <w:r>
              <w:rPr>
                <w:rFonts w:ascii="Arial" w:cs="Arial" w:eastAsia="Arial" w:hAnsi="Arial"/>
                <w:sz w:val="14"/>
                <w:szCs w:val="14"/>
                <w:color w:val="auto"/>
              </w:rPr>
              <w:t>12,921</w:t>
            </w:r>
          </w:p>
        </w:tc>
        <w:tc>
          <w:tcPr>
            <w:tcW w:w="480" w:type="dxa"/>
            <w:vAlign w:val="bottom"/>
            <w:shd w:val="clear" w:color="auto" w:fill="E5E5E5"/>
          </w:tcPr>
          <w:p>
            <w:pPr>
              <w:spacing w:after="0"/>
              <w:rPr>
                <w:sz w:val="13"/>
                <w:szCs w:val="13"/>
                <w:color w:val="auto"/>
              </w:rPr>
            </w:pPr>
          </w:p>
        </w:tc>
        <w:tc>
          <w:tcPr>
            <w:tcW w:w="800" w:type="dxa"/>
            <w:vAlign w:val="bottom"/>
            <w:gridSpan w:val="2"/>
            <w:shd w:val="clear" w:color="auto" w:fill="E5E5E5"/>
          </w:tcPr>
          <w:p>
            <w:pPr>
              <w:jc w:val="right"/>
              <w:ind w:right="300"/>
              <w:spacing w:after="0" w:line="157" w:lineRule="exact"/>
              <w:rPr>
                <w:sz w:val="20"/>
                <w:szCs w:val="20"/>
                <w:color w:val="auto"/>
              </w:rPr>
            </w:pPr>
            <w:r>
              <w:rPr>
                <w:rFonts w:ascii="Arial" w:cs="Arial" w:eastAsia="Arial" w:hAnsi="Arial"/>
                <w:sz w:val="14"/>
                <w:szCs w:val="14"/>
                <w:color w:val="auto"/>
              </w:rPr>
              <w:t>835</w:t>
            </w:r>
          </w:p>
        </w:tc>
        <w:tc>
          <w:tcPr>
            <w:tcW w:w="2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232"/>
              <w:spacing w:after="0" w:line="157" w:lineRule="exact"/>
              <w:rPr>
                <w:sz w:val="20"/>
                <w:szCs w:val="20"/>
                <w:color w:val="auto"/>
              </w:rPr>
            </w:pPr>
            <w:r>
              <w:rPr>
                <w:rFonts w:ascii="Arial" w:cs="Arial" w:eastAsia="Arial" w:hAnsi="Arial"/>
                <w:sz w:val="14"/>
                <w:szCs w:val="14"/>
                <w:color w:val="auto"/>
              </w:rPr>
              <w:t>835</w:t>
            </w:r>
          </w:p>
        </w:tc>
        <w:tc>
          <w:tcPr>
            <w:tcW w:w="500" w:type="dxa"/>
            <w:vAlign w:val="bottom"/>
            <w:shd w:val="clear" w:color="auto" w:fill="E5E5E5"/>
          </w:tcPr>
          <w:p>
            <w:pPr>
              <w:spacing w:after="0"/>
              <w:rPr>
                <w:sz w:val="13"/>
                <w:szCs w:val="13"/>
                <w:color w:val="auto"/>
              </w:rPr>
            </w:pPr>
          </w:p>
        </w:tc>
        <w:tc>
          <w:tcPr>
            <w:tcW w:w="600" w:type="dxa"/>
            <w:vAlign w:val="bottom"/>
            <w:gridSpan w:val="3"/>
            <w:shd w:val="clear" w:color="auto" w:fill="E5E5E5"/>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spacing w:after="0"/>
              <w:rPr>
                <w:sz w:val="20"/>
                <w:szCs w:val="20"/>
                <w:color w:val="auto"/>
              </w:rPr>
            </w:pPr>
            <w:r>
              <w:rPr>
                <w:rFonts w:ascii="Arial" w:cs="Arial" w:eastAsia="Arial" w:hAnsi="Arial"/>
                <w:sz w:val="14"/>
                <w:szCs w:val="14"/>
                <w:color w:val="auto"/>
              </w:rPr>
              <w:t>Non-GAAP net income (loss)</w:t>
            </w: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rPr>
              <w:t>(64,908)</w:t>
            </w: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(36,525)</w:t>
            </w:r>
          </w:p>
        </w:tc>
        <w:tc>
          <w:tcPr>
            <w:tcW w:w="46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rPr>
              <w:t>(19,084)</w:t>
            </w: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6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115"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color w:val="auto"/>
        </w:rPr>
        <w:t>The following tables summarize our selected unaudited statements of operations and comprehensive loss data for each of the six periods indicated, with the final period ended June 30, 2025. The information for each of these quarters is prepared on the same basis as our audited annual financial statements and reflects, in the opinion of management, all adjustments of a recurring nature that are necessary for the fair statement of each period. The following data should be read in conjunction with our audited annual financial statements included elsewhere in this prospectus. Historical results are not necessarily indicative of the results that may be expected for the full fiscal year or any other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162800" cy="13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r>
      <w:tr>
        <w:trPr>
          <w:trHeight w:val="127"/>
        </w:trPr>
        <w:tc>
          <w:tcPr>
            <w:tcW w:w="47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80"/>
              <w:spacing w:after="0" w:line="127" w:lineRule="exact"/>
              <w:rPr>
                <w:sz w:val="20"/>
                <w:szCs w:val="20"/>
                <w:color w:val="auto"/>
              </w:rPr>
            </w:pPr>
            <w:r>
              <w:rPr>
                <w:rFonts w:ascii="Arial" w:cs="Arial" w:eastAsia="Arial" w:hAnsi="Arial"/>
                <w:sz w:val="13"/>
                <w:szCs w:val="13"/>
                <w:b w:val="1"/>
                <w:bCs w:val="1"/>
                <w:color w:val="auto"/>
              </w:rPr>
              <w:t>March 31,</w:t>
            </w: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27" w:lineRule="exact"/>
              <w:rPr>
                <w:sz w:val="20"/>
                <w:szCs w:val="20"/>
                <w:color w:val="auto"/>
              </w:rPr>
            </w:pPr>
            <w:r>
              <w:rPr>
                <w:rFonts w:ascii="Arial" w:cs="Arial" w:eastAsia="Arial" w:hAnsi="Arial"/>
                <w:sz w:val="13"/>
                <w:szCs w:val="13"/>
                <w:b w:val="1"/>
                <w:bCs w:val="1"/>
                <w:color w:val="auto"/>
              </w:rPr>
              <w:t>June 30,</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320"/>
              <w:spacing w:after="0" w:line="127" w:lineRule="exact"/>
              <w:rPr>
                <w:sz w:val="20"/>
                <w:szCs w:val="20"/>
                <w:color w:val="auto"/>
              </w:rPr>
            </w:pPr>
            <w:r>
              <w:rPr>
                <w:rFonts w:ascii="Arial" w:cs="Arial" w:eastAsia="Arial" w:hAnsi="Arial"/>
                <w:sz w:val="13"/>
                <w:szCs w:val="13"/>
                <w:b w:val="1"/>
                <w:bCs w:val="1"/>
                <w:color w:val="auto"/>
                <w:w w:val="99"/>
              </w:rPr>
              <w:t>December 31,</w:t>
            </w:r>
          </w:p>
        </w:tc>
        <w:tc>
          <w:tcPr>
            <w:tcW w:w="920" w:type="dxa"/>
            <w:vAlign w:val="bottom"/>
            <w:tcBorders>
              <w:top w:val="single" w:sz="8" w:color="auto"/>
            </w:tcBorders>
            <w:gridSpan w:val="2"/>
          </w:tcPr>
          <w:p>
            <w:pPr>
              <w:jc w:val="right"/>
              <w:ind w:right="200"/>
              <w:spacing w:after="0" w:line="127"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20"/>
              <w:spacing w:after="0" w:line="127"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1"/>
                <w:szCs w:val="11"/>
                <w:color w:val="auto"/>
              </w:rPr>
            </w:pPr>
          </w:p>
        </w:tc>
      </w:tr>
      <w:tr>
        <w:trPr>
          <w:trHeight w:val="157"/>
        </w:trPr>
        <w:tc>
          <w:tcPr>
            <w:tcW w:w="4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2025</w:t>
            </w: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r>
      <w:tr>
        <w:trPr>
          <w:trHeight w:val="137"/>
        </w:trPr>
        <w:tc>
          <w:tcPr>
            <w:tcW w:w="4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6"/>
          </w:tcPr>
          <w:p>
            <w:pPr>
              <w:jc w:val="right"/>
              <w:ind w:right="1040"/>
              <w:spacing w:after="0" w:line="138"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Revenue</w:t>
            </w:r>
          </w:p>
        </w:tc>
        <w:tc>
          <w:tcPr>
            <w:tcW w:w="7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   32,927</w:t>
            </w:r>
          </w:p>
        </w:tc>
        <w:tc>
          <w:tcPr>
            <w:tcW w:w="1240" w:type="dxa"/>
            <w:vAlign w:val="bottom"/>
            <w:gridSpan w:val="3"/>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  36,159</w:t>
            </w:r>
          </w:p>
        </w:tc>
        <w:tc>
          <w:tcPr>
            <w:tcW w:w="1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38,419</w:t>
            </w:r>
          </w:p>
        </w:tc>
        <w:tc>
          <w:tcPr>
            <w:tcW w:w="28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45,077</w:t>
            </w:r>
          </w:p>
        </w:tc>
        <w:tc>
          <w:tcPr>
            <w:tcW w:w="92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   58,963</w:t>
            </w:r>
          </w:p>
        </w:tc>
        <w:tc>
          <w:tcPr>
            <w:tcW w:w="840" w:type="dxa"/>
            <w:vAlign w:val="bottom"/>
            <w:gridSpan w:val="3"/>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   66,573</w:t>
            </w:r>
          </w:p>
        </w:tc>
        <w:tc>
          <w:tcPr>
            <w:tcW w:w="100" w:type="dxa"/>
            <w:vAlign w:val="bottom"/>
            <w:shd w:val="clear" w:color="auto" w:fill="E5E5E5"/>
          </w:tcPr>
          <w:p>
            <w:pPr>
              <w:spacing w:after="0"/>
              <w:rPr>
                <w:sz w:val="13"/>
                <w:szCs w:val="13"/>
                <w:color w:val="auto"/>
              </w:rPr>
            </w:pPr>
          </w:p>
        </w:tc>
      </w:tr>
      <w:tr>
        <w:trPr>
          <w:trHeight w:val="158"/>
        </w:trPr>
        <w:tc>
          <w:tcPr>
            <w:tcW w:w="4740" w:type="dxa"/>
            <w:vAlign w:val="bottom"/>
          </w:tcPr>
          <w:p>
            <w:pPr>
              <w:spacing w:after="0" w:line="157" w:lineRule="exact"/>
              <w:rPr>
                <w:sz w:val="20"/>
                <w:szCs w:val="20"/>
                <w:color w:val="auto"/>
              </w:rPr>
            </w:pPr>
            <w:r>
              <w:rPr>
                <w:rFonts w:ascii="Arial" w:cs="Arial" w:eastAsia="Arial" w:hAnsi="Arial"/>
                <w:sz w:val="14"/>
                <w:szCs w:val="14"/>
                <w:color w:val="auto"/>
              </w:rPr>
              <w:t>Cost of revenue</w:t>
            </w:r>
          </w:p>
        </w:tc>
        <w:tc>
          <w:tcPr>
            <w:tcW w:w="7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16,477</w:t>
            </w:r>
          </w:p>
        </w:tc>
        <w:tc>
          <w:tcPr>
            <w:tcW w:w="1240" w:type="dxa"/>
            <w:vAlign w:val="bottom"/>
            <w:tcBorders>
              <w:bottom w:val="single" w:sz="8" w:color="auto"/>
            </w:tcBorders>
            <w:gridSpan w:val="3"/>
          </w:tcPr>
          <w:p>
            <w:pPr>
              <w:jc w:val="right"/>
              <w:ind w:right="320"/>
              <w:spacing w:after="0" w:line="157" w:lineRule="exact"/>
              <w:rPr>
                <w:sz w:val="20"/>
                <w:szCs w:val="20"/>
                <w:color w:val="auto"/>
              </w:rPr>
            </w:pPr>
            <w:r>
              <w:rPr>
                <w:rFonts w:ascii="Arial" w:cs="Arial" w:eastAsia="Arial" w:hAnsi="Arial"/>
                <w:sz w:val="14"/>
                <w:szCs w:val="14"/>
                <w:color w:val="auto"/>
              </w:rPr>
              <w:t>17,628</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18,204</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320"/>
              <w:spacing w:after="0" w:line="157" w:lineRule="exact"/>
              <w:rPr>
                <w:sz w:val="20"/>
                <w:szCs w:val="20"/>
                <w:color w:val="auto"/>
              </w:rPr>
            </w:pPr>
            <w:r>
              <w:rPr>
                <w:rFonts w:ascii="Arial" w:cs="Arial" w:eastAsia="Arial" w:hAnsi="Arial"/>
                <w:sz w:val="14"/>
                <w:szCs w:val="14"/>
                <w:color w:val="auto"/>
              </w:rPr>
              <w:t>19,358</w:t>
            </w:r>
          </w:p>
        </w:tc>
        <w:tc>
          <w:tcPr>
            <w:tcW w:w="9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20,991</w:t>
            </w:r>
          </w:p>
        </w:tc>
        <w:tc>
          <w:tcPr>
            <w:tcW w:w="8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23,107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Gross profit</w:t>
            </w:r>
          </w:p>
        </w:tc>
        <w:tc>
          <w:tcPr>
            <w:tcW w:w="7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16,450</w:t>
            </w:r>
          </w:p>
        </w:tc>
        <w:tc>
          <w:tcPr>
            <w:tcW w:w="1240" w:type="dxa"/>
            <w:vAlign w:val="bottom"/>
            <w:gridSpan w:val="3"/>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18,531</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20,215</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25,719</w:t>
            </w:r>
          </w:p>
        </w:tc>
        <w:tc>
          <w:tcPr>
            <w:tcW w:w="92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37,972</w:t>
            </w:r>
          </w:p>
        </w:tc>
        <w:tc>
          <w:tcPr>
            <w:tcW w:w="840" w:type="dxa"/>
            <w:vAlign w:val="bottom"/>
            <w:gridSpan w:val="3"/>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43,466</w:t>
            </w:r>
          </w:p>
        </w:tc>
        <w:tc>
          <w:tcPr>
            <w:tcW w:w="100" w:type="dxa"/>
            <w:vAlign w:val="bottom"/>
            <w:shd w:val="clear" w:color="auto" w:fill="E5E5E5"/>
          </w:tcPr>
          <w:p>
            <w:pPr>
              <w:spacing w:after="0"/>
              <w:rPr>
                <w:sz w:val="13"/>
                <w:szCs w:val="13"/>
                <w:color w:val="auto"/>
              </w:rPr>
            </w:pPr>
          </w:p>
        </w:tc>
      </w:tr>
      <w:tr>
        <w:trPr>
          <w:trHeight w:val="211"/>
        </w:trPr>
        <w:tc>
          <w:tcPr>
            <w:tcW w:w="4740" w:type="dxa"/>
            <w:vAlign w:val="bottom"/>
          </w:tcPr>
          <w:p>
            <w:pPr>
              <w:spacing w:after="0"/>
              <w:rPr>
                <w:sz w:val="20"/>
                <w:szCs w:val="20"/>
                <w:color w:val="auto"/>
              </w:rPr>
            </w:pPr>
            <w:r>
              <w:rPr>
                <w:rFonts w:ascii="Arial" w:cs="Arial" w:eastAsia="Arial" w:hAnsi="Arial"/>
                <w:sz w:val="14"/>
                <w:szCs w:val="14"/>
                <w:color w:val="auto"/>
              </w:rPr>
              <w:t>Operating expenses:</w:t>
            </w: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Research and development</w:t>
            </w:r>
          </w:p>
        </w:tc>
        <w:tc>
          <w:tcPr>
            <w:tcW w:w="7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7,243</w:t>
            </w:r>
          </w:p>
        </w:tc>
        <w:tc>
          <w:tcPr>
            <w:tcW w:w="1240" w:type="dxa"/>
            <w:vAlign w:val="bottom"/>
            <w:gridSpan w:val="3"/>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8,807</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9,550</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10,996</w:t>
            </w:r>
          </w:p>
        </w:tc>
        <w:tc>
          <w:tcPr>
            <w:tcW w:w="92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10,430</w:t>
            </w:r>
          </w:p>
        </w:tc>
        <w:tc>
          <w:tcPr>
            <w:tcW w:w="840" w:type="dxa"/>
            <w:vAlign w:val="bottom"/>
            <w:gridSpan w:val="3"/>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11,751</w:t>
            </w:r>
          </w:p>
        </w:tc>
        <w:tc>
          <w:tcPr>
            <w:tcW w:w="100" w:type="dxa"/>
            <w:vAlign w:val="bottom"/>
            <w:shd w:val="clear" w:color="auto" w:fill="E5E5E5"/>
          </w:tcPr>
          <w:p>
            <w:pPr>
              <w:spacing w:after="0"/>
              <w:rPr>
                <w:sz w:val="13"/>
                <w:szCs w:val="13"/>
                <w:color w:val="auto"/>
              </w:rPr>
            </w:pPr>
          </w:p>
        </w:tc>
      </w:tr>
      <w:tr>
        <w:trPr>
          <w:trHeight w:val="158"/>
        </w:trPr>
        <w:tc>
          <w:tcPr>
            <w:tcW w:w="4740" w:type="dxa"/>
            <w:vAlign w:val="bottom"/>
          </w:tcPr>
          <w:p>
            <w:pPr>
              <w:spacing w:after="0" w:line="157" w:lineRule="exact"/>
              <w:rPr>
                <w:sz w:val="20"/>
                <w:szCs w:val="20"/>
                <w:color w:val="auto"/>
              </w:rPr>
            </w:pPr>
            <w:r>
              <w:rPr>
                <w:rFonts w:ascii="Arial" w:cs="Arial" w:eastAsia="Arial" w:hAnsi="Arial"/>
                <w:sz w:val="14"/>
                <w:szCs w:val="14"/>
                <w:color w:val="auto"/>
              </w:rPr>
              <w:t>Selling, general and administrative</w:t>
            </w:r>
          </w:p>
        </w:tc>
        <w:tc>
          <w:tcPr>
            <w:tcW w:w="7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20,462</w:t>
            </w:r>
          </w:p>
        </w:tc>
        <w:tc>
          <w:tcPr>
            <w:tcW w:w="1240" w:type="dxa"/>
            <w:vAlign w:val="bottom"/>
            <w:tcBorders>
              <w:bottom w:val="single" w:sz="8" w:color="auto"/>
            </w:tcBorders>
            <w:gridSpan w:val="3"/>
          </w:tcPr>
          <w:p>
            <w:pPr>
              <w:jc w:val="right"/>
              <w:ind w:right="320"/>
              <w:spacing w:after="0" w:line="157" w:lineRule="exact"/>
              <w:rPr>
                <w:sz w:val="20"/>
                <w:szCs w:val="20"/>
                <w:color w:val="auto"/>
              </w:rPr>
            </w:pPr>
            <w:r>
              <w:rPr>
                <w:rFonts w:ascii="Arial" w:cs="Arial" w:eastAsia="Arial" w:hAnsi="Arial"/>
                <w:sz w:val="14"/>
                <w:szCs w:val="14"/>
                <w:color w:val="auto"/>
              </w:rPr>
              <w:t>21,289</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23,299</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320"/>
              <w:spacing w:after="0" w:line="157" w:lineRule="exact"/>
              <w:rPr>
                <w:sz w:val="20"/>
                <w:szCs w:val="20"/>
                <w:color w:val="auto"/>
              </w:rPr>
            </w:pPr>
            <w:r>
              <w:rPr>
                <w:rFonts w:ascii="Arial" w:cs="Arial" w:eastAsia="Arial" w:hAnsi="Arial"/>
                <w:sz w:val="14"/>
                <w:szCs w:val="14"/>
                <w:color w:val="auto"/>
              </w:rPr>
              <w:t>26,415</w:t>
            </w:r>
          </w:p>
        </w:tc>
        <w:tc>
          <w:tcPr>
            <w:tcW w:w="9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29,857</w:t>
            </w:r>
          </w:p>
        </w:tc>
        <w:tc>
          <w:tcPr>
            <w:tcW w:w="8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33,342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Total operating expenses</w:t>
            </w:r>
          </w:p>
        </w:tc>
        <w:tc>
          <w:tcPr>
            <w:tcW w:w="7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27,705</w:t>
            </w:r>
          </w:p>
        </w:tc>
        <w:tc>
          <w:tcPr>
            <w:tcW w:w="1240" w:type="dxa"/>
            <w:vAlign w:val="bottom"/>
            <w:gridSpan w:val="3"/>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30,096</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32,849</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37,411</w:t>
            </w:r>
          </w:p>
        </w:tc>
        <w:tc>
          <w:tcPr>
            <w:tcW w:w="92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40,287</w:t>
            </w:r>
          </w:p>
        </w:tc>
        <w:tc>
          <w:tcPr>
            <w:tcW w:w="840" w:type="dxa"/>
            <w:vAlign w:val="bottom"/>
            <w:gridSpan w:val="3"/>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45,093</w:t>
            </w:r>
          </w:p>
        </w:tc>
        <w:tc>
          <w:tcPr>
            <w:tcW w:w="100" w:type="dxa"/>
            <w:vAlign w:val="bottom"/>
            <w:shd w:val="clear" w:color="auto" w:fill="E5E5E5"/>
          </w:tcPr>
          <w:p>
            <w:pPr>
              <w:spacing w:after="0"/>
              <w:rPr>
                <w:sz w:val="13"/>
                <w:szCs w:val="13"/>
                <w:color w:val="auto"/>
              </w:rPr>
            </w:pPr>
          </w:p>
        </w:tc>
      </w:tr>
      <w:tr>
        <w:trPr>
          <w:trHeight w:val="175"/>
        </w:trPr>
        <w:tc>
          <w:tcPr>
            <w:tcW w:w="4740" w:type="dxa"/>
            <w:vAlign w:val="bottom"/>
          </w:tcPr>
          <w:p>
            <w:pPr>
              <w:spacing w:after="0"/>
              <w:rPr>
                <w:sz w:val="20"/>
                <w:szCs w:val="20"/>
                <w:color w:val="auto"/>
              </w:rPr>
            </w:pPr>
            <w:r>
              <w:rPr>
                <w:rFonts w:ascii="Arial" w:cs="Arial" w:eastAsia="Arial" w:hAnsi="Arial"/>
                <w:sz w:val="14"/>
                <w:szCs w:val="14"/>
                <w:color w:val="auto"/>
              </w:rPr>
              <w:t>Operating loss</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(11,255)</w:t>
            </w:r>
          </w:p>
        </w:tc>
        <w:tc>
          <w:tcPr>
            <w:tcW w:w="124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(11,565)</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(12,634)</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(11,692)</w:t>
            </w:r>
          </w:p>
        </w:tc>
        <w:tc>
          <w:tcPr>
            <w:tcW w:w="9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(2,315)</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(1,627)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
        </w:trPr>
        <w:tc>
          <w:tcPr>
            <w:tcW w:w="4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w:t>
            </w: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r>
      <w:tr>
        <w:trPr>
          <w:trHeight w:val="157"/>
        </w:trPr>
        <w:tc>
          <w:tcPr>
            <w:tcW w:w="4740" w:type="dxa"/>
            <w:vAlign w:val="bottom"/>
          </w:tcPr>
          <w:p>
            <w:pPr>
              <w:ind w:left="140"/>
              <w:spacing w:after="0" w:line="157" w:lineRule="exact"/>
              <w:rPr>
                <w:sz w:val="20"/>
                <w:szCs w:val="20"/>
                <w:color w:val="auto"/>
              </w:rPr>
            </w:pPr>
            <w:r>
              <w:rPr>
                <w:rFonts w:ascii="Arial" w:cs="Arial" w:eastAsia="Arial" w:hAnsi="Arial"/>
                <w:sz w:val="14"/>
                <w:szCs w:val="14"/>
                <w:color w:val="auto"/>
              </w:rPr>
              <w:t>Interest income</w:t>
            </w:r>
          </w:p>
        </w:tc>
        <w:tc>
          <w:tcPr>
            <w:tcW w:w="7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837</w:t>
            </w:r>
          </w:p>
        </w:tc>
        <w:tc>
          <w:tcPr>
            <w:tcW w:w="1240" w:type="dxa"/>
            <w:vAlign w:val="bottom"/>
            <w:gridSpan w:val="3"/>
          </w:tcPr>
          <w:p>
            <w:pPr>
              <w:jc w:val="right"/>
              <w:ind w:right="320"/>
              <w:spacing w:after="0" w:line="157" w:lineRule="exact"/>
              <w:rPr>
                <w:sz w:val="20"/>
                <w:szCs w:val="20"/>
                <w:color w:val="auto"/>
              </w:rPr>
            </w:pPr>
            <w:r>
              <w:rPr>
                <w:rFonts w:ascii="Arial" w:cs="Arial" w:eastAsia="Arial" w:hAnsi="Arial"/>
                <w:sz w:val="14"/>
                <w:szCs w:val="14"/>
                <w:color w:val="auto"/>
              </w:rPr>
              <w:t>1,359</w:t>
            </w:r>
          </w:p>
        </w:tc>
        <w:tc>
          <w:tcPr>
            <w:tcW w:w="12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1,952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1,671</w:t>
            </w:r>
          </w:p>
        </w:tc>
        <w:tc>
          <w:tcPr>
            <w:tcW w:w="9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1,506</w:t>
            </w:r>
          </w:p>
        </w:tc>
        <w:tc>
          <w:tcPr>
            <w:tcW w:w="8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1,451</w:t>
            </w:r>
          </w:p>
        </w:tc>
        <w:tc>
          <w:tcPr>
            <w:tcW w:w="100" w:type="dxa"/>
            <w:vAlign w:val="bottom"/>
          </w:tcPr>
          <w:p>
            <w:pPr>
              <w:spacing w:after="0"/>
              <w:rPr>
                <w:sz w:val="13"/>
                <w:szCs w:val="13"/>
                <w:color w:val="auto"/>
              </w:rPr>
            </w:pPr>
          </w:p>
        </w:tc>
      </w:tr>
      <w:tr>
        <w:trPr>
          <w:trHeight w:val="157"/>
        </w:trPr>
        <w:tc>
          <w:tcPr>
            <w:tcW w:w="474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Interest expense</w:t>
            </w:r>
          </w:p>
        </w:tc>
        <w:tc>
          <w:tcPr>
            <w:tcW w:w="7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(941)</w:t>
            </w:r>
          </w:p>
        </w:tc>
        <w:tc>
          <w:tcPr>
            <w:tcW w:w="1240" w:type="dxa"/>
            <w:vAlign w:val="bottom"/>
            <w:gridSpan w:val="3"/>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(976)</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(422)</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(47)</w:t>
            </w:r>
          </w:p>
        </w:tc>
        <w:tc>
          <w:tcPr>
            <w:tcW w:w="920" w:type="dxa"/>
            <w:vAlign w:val="bottom"/>
            <w:gridSpan w:val="2"/>
            <w:shd w:val="clear" w:color="auto" w:fill="E5E5E5"/>
          </w:tcPr>
          <w:p>
            <w:pPr>
              <w:jc w:val="right"/>
              <w:ind w:right="160"/>
              <w:spacing w:after="0" w:line="157" w:lineRule="exact"/>
              <w:rPr>
                <w:sz w:val="20"/>
                <w:szCs w:val="20"/>
                <w:color w:val="auto"/>
              </w:rPr>
            </w:pPr>
            <w:r>
              <w:rPr>
                <w:rFonts w:ascii="Arial" w:cs="Arial" w:eastAsia="Arial" w:hAnsi="Arial"/>
                <w:sz w:val="14"/>
                <w:szCs w:val="14"/>
                <w:color w:val="auto"/>
              </w:rPr>
              <w:t>(40)</w:t>
            </w:r>
          </w:p>
        </w:tc>
        <w:tc>
          <w:tcPr>
            <w:tcW w:w="940" w:type="dxa"/>
            <w:vAlign w:val="bottom"/>
            <w:gridSpan w:val="4"/>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(32)</w:t>
            </w:r>
          </w:p>
        </w:tc>
      </w:tr>
      <w:tr>
        <w:trPr>
          <w:trHeight w:val="157"/>
        </w:trPr>
        <w:tc>
          <w:tcPr>
            <w:tcW w:w="4740" w:type="dxa"/>
            <w:vAlign w:val="bottom"/>
          </w:tcPr>
          <w:p>
            <w:pPr>
              <w:ind w:left="140"/>
              <w:spacing w:after="0" w:line="157" w:lineRule="exact"/>
              <w:rPr>
                <w:sz w:val="20"/>
                <w:szCs w:val="20"/>
                <w:color w:val="auto"/>
              </w:rPr>
            </w:pPr>
            <w:r>
              <w:rPr>
                <w:rFonts w:ascii="Arial" w:cs="Arial" w:eastAsia="Arial" w:hAnsi="Arial"/>
                <w:sz w:val="14"/>
                <w:szCs w:val="14"/>
                <w:color w:val="auto"/>
              </w:rPr>
              <w:t>Net loss on extinguishment of debt</w:t>
            </w:r>
          </w:p>
        </w:tc>
        <w:tc>
          <w:tcPr>
            <w:tcW w:w="7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320"/>
              <w:spacing w:after="0" w:line="157" w:lineRule="exact"/>
              <w:rPr>
                <w:sz w:val="20"/>
                <w:szCs w:val="20"/>
                <w:color w:val="auto"/>
              </w:rPr>
            </w:pPr>
            <w:r>
              <w:rPr>
                <w:rFonts w:ascii="Arial" w:cs="Arial" w:eastAsia="Arial" w:hAnsi="Arial"/>
                <w:sz w:val="14"/>
                <w:szCs w:val="14"/>
                <w:color w:val="auto"/>
              </w:rPr>
              <w:t>8,635</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(1,346)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57"/>
        </w:trPr>
        <w:tc>
          <w:tcPr>
            <w:tcW w:w="474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Change in fair value of term loan</w:t>
            </w:r>
          </w:p>
        </w:tc>
        <w:tc>
          <w:tcPr>
            <w:tcW w:w="7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3"/>
                <w:szCs w:val="13"/>
                <w:color w:val="auto"/>
              </w:rPr>
            </w:pPr>
          </w:p>
        </w:tc>
        <w:tc>
          <w:tcPr>
            <w:tcW w:w="980" w:type="dxa"/>
            <w:vAlign w:val="bottom"/>
            <w:gridSpan w:val="2"/>
            <w:shd w:val="clear" w:color="auto" w:fill="E5E5E5"/>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(2,283)</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(854)</w:t>
            </w:r>
          </w:p>
        </w:tc>
        <w:tc>
          <w:tcPr>
            <w:tcW w:w="920" w:type="dxa"/>
            <w:vAlign w:val="bottom"/>
            <w:gridSpan w:val="2"/>
            <w:shd w:val="clear" w:color="auto" w:fill="E5E5E5"/>
          </w:tcPr>
          <w:p>
            <w:pPr>
              <w:jc w:val="right"/>
              <w:ind w:right="160"/>
              <w:spacing w:after="0" w:line="157" w:lineRule="exact"/>
              <w:rPr>
                <w:sz w:val="20"/>
                <w:szCs w:val="20"/>
                <w:color w:val="auto"/>
              </w:rPr>
            </w:pPr>
            <w:r>
              <w:rPr>
                <w:rFonts w:ascii="Arial" w:cs="Arial" w:eastAsia="Arial" w:hAnsi="Arial"/>
                <w:sz w:val="14"/>
                <w:szCs w:val="14"/>
                <w:color w:val="auto"/>
              </w:rPr>
              <w:t>(3,092)</w:t>
            </w:r>
          </w:p>
        </w:tc>
        <w:tc>
          <w:tcPr>
            <w:tcW w:w="940" w:type="dxa"/>
            <w:vAlign w:val="bottom"/>
            <w:gridSpan w:val="4"/>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(10)</w:t>
            </w:r>
          </w:p>
        </w:tc>
      </w:tr>
      <w:tr>
        <w:trPr>
          <w:trHeight w:val="157"/>
        </w:trPr>
        <w:tc>
          <w:tcPr>
            <w:tcW w:w="4740" w:type="dxa"/>
            <w:vAlign w:val="bottom"/>
          </w:tcPr>
          <w:p>
            <w:pPr>
              <w:ind w:left="140"/>
              <w:spacing w:after="0" w:line="157" w:lineRule="exact"/>
              <w:rPr>
                <w:sz w:val="20"/>
                <w:szCs w:val="20"/>
                <w:color w:val="auto"/>
              </w:rPr>
            </w:pPr>
            <w:r>
              <w:rPr>
                <w:rFonts w:ascii="Arial" w:cs="Arial" w:eastAsia="Arial" w:hAnsi="Arial"/>
                <w:sz w:val="14"/>
                <w:szCs w:val="14"/>
                <w:color w:val="auto"/>
              </w:rPr>
              <w:t>Change in fair value of convertible notes</w:t>
            </w: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(337)</w:t>
            </w:r>
          </w:p>
        </w:tc>
        <w:tc>
          <w:tcPr>
            <w:tcW w:w="1240" w:type="dxa"/>
            <w:vAlign w:val="bottom"/>
            <w:gridSpan w:val="3"/>
          </w:tcPr>
          <w:p>
            <w:pPr>
              <w:jc w:val="right"/>
              <w:ind w:right="280"/>
              <w:spacing w:after="0" w:line="157" w:lineRule="exact"/>
              <w:rPr>
                <w:sz w:val="20"/>
                <w:szCs w:val="20"/>
                <w:color w:val="auto"/>
              </w:rPr>
            </w:pPr>
            <w:r>
              <w:rPr>
                <w:rFonts w:ascii="Arial" w:cs="Arial" w:eastAsia="Arial" w:hAnsi="Arial"/>
                <w:sz w:val="14"/>
                <w:szCs w:val="14"/>
                <w:color w:val="auto"/>
              </w:rPr>
              <w:t>(498)</w:t>
            </w:r>
          </w:p>
        </w:tc>
        <w:tc>
          <w:tcPr>
            <w:tcW w:w="12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57"/>
        </w:trPr>
        <w:tc>
          <w:tcPr>
            <w:tcW w:w="4740" w:type="dxa"/>
            <w:vAlign w:val="bottom"/>
            <w:shd w:val="clear" w:color="auto" w:fill="E5E5E5"/>
          </w:tcPr>
          <w:p>
            <w:pPr>
              <w:ind w:left="140"/>
              <w:spacing w:after="0" w:line="157" w:lineRule="exact"/>
              <w:rPr>
                <w:sz w:val="20"/>
                <w:szCs w:val="20"/>
                <w:color w:val="auto"/>
              </w:rPr>
            </w:pPr>
            <w:r>
              <w:rPr>
                <w:rFonts w:ascii="Arial" w:cs="Arial" w:eastAsia="Arial" w:hAnsi="Arial"/>
                <w:sz w:val="14"/>
                <w:szCs w:val="14"/>
                <w:color w:val="auto"/>
              </w:rPr>
              <w:t>Other (expense) income, net</w:t>
            </w:r>
          </w:p>
        </w:tc>
        <w:tc>
          <w:tcPr>
            <w:tcW w:w="7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(174)</w:t>
            </w:r>
          </w:p>
        </w:tc>
        <w:tc>
          <w:tcPr>
            <w:tcW w:w="1240" w:type="dxa"/>
            <w:vAlign w:val="bottom"/>
            <w:gridSpan w:val="3"/>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(269)</w:t>
            </w:r>
          </w:p>
        </w:tc>
        <w:tc>
          <w:tcPr>
            <w:tcW w:w="120" w:type="dxa"/>
            <w:vAlign w:val="bottom"/>
            <w:shd w:val="clear" w:color="auto" w:fill="E5E5E5"/>
          </w:tcPr>
          <w:p>
            <w:pPr>
              <w:spacing w:after="0"/>
              <w:rPr>
                <w:sz w:val="13"/>
                <w:szCs w:val="13"/>
                <w:color w:val="auto"/>
              </w:rPr>
            </w:pPr>
          </w:p>
        </w:tc>
        <w:tc>
          <w:tcPr>
            <w:tcW w:w="110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(171)</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18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(531)</w:t>
            </w:r>
          </w:p>
        </w:tc>
        <w:tc>
          <w:tcPr>
            <w:tcW w:w="92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53</w:t>
            </w:r>
          </w:p>
        </w:tc>
        <w:tc>
          <w:tcPr>
            <w:tcW w:w="940" w:type="dxa"/>
            <w:vAlign w:val="bottom"/>
            <w:gridSpan w:val="4"/>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(14)</w:t>
            </w:r>
          </w:p>
        </w:tc>
      </w:tr>
      <w:tr>
        <w:trPr>
          <w:trHeight w:val="158"/>
        </w:trPr>
        <w:tc>
          <w:tcPr>
            <w:tcW w:w="4740" w:type="dxa"/>
            <w:vAlign w:val="bottom"/>
          </w:tcPr>
          <w:p>
            <w:pPr>
              <w:ind w:left="280"/>
              <w:spacing w:after="0" w:line="159" w:lineRule="exact"/>
              <w:rPr>
                <w:sz w:val="20"/>
                <w:szCs w:val="20"/>
                <w:color w:val="auto"/>
              </w:rPr>
            </w:pPr>
            <w:r>
              <w:rPr>
                <w:rFonts w:ascii="Arial" w:cs="Arial" w:eastAsia="Arial" w:hAnsi="Arial"/>
                <w:sz w:val="14"/>
                <w:szCs w:val="14"/>
                <w:color w:val="auto"/>
              </w:rPr>
              <w:t>Total other income (expense)</w:t>
            </w:r>
          </w:p>
        </w:tc>
        <w:tc>
          <w:tcPr>
            <w:tcW w:w="6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(615)</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8,251</w:t>
            </w:r>
          </w:p>
        </w:tc>
        <w:tc>
          <w:tcPr>
            <w:tcW w:w="3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(2,270)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239</w:t>
            </w:r>
          </w:p>
        </w:tc>
        <w:tc>
          <w:tcPr>
            <w:tcW w:w="32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(1,573)</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4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592"/>
              <w:spacing w:after="0"/>
              <w:rPr>
                <w:sz w:val="20"/>
                <w:szCs w:val="20"/>
                <w:color w:val="auto"/>
              </w:rPr>
            </w:pPr>
            <w:r>
              <w:rPr>
                <w:rFonts w:ascii="Arial" w:cs="Arial" w:eastAsia="Arial" w:hAnsi="Arial"/>
                <w:sz w:val="14"/>
                <w:szCs w:val="14"/>
                <w:color w:val="auto"/>
              </w:rPr>
              <w:t>115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80"/>
          </w:cols>
          <w:pgMar w:left="300" w:top="38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7162800" cy="13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r>
      <w:tr>
        <w:trPr>
          <w:trHeight w:val="127"/>
        </w:trPr>
        <w:tc>
          <w:tcPr>
            <w:tcW w:w="46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rPr>
              <w:t>March 31,</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200"/>
              <w:spacing w:after="0" w:line="127"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320"/>
              <w:spacing w:after="0" w:line="127"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200"/>
              <w:spacing w:after="0" w:line="127" w:lineRule="exact"/>
              <w:rPr>
                <w:sz w:val="20"/>
                <w:szCs w:val="20"/>
                <w:color w:val="auto"/>
              </w:rPr>
            </w:pPr>
            <w:r>
              <w:rPr>
                <w:rFonts w:ascii="Arial" w:cs="Arial" w:eastAsia="Arial" w:hAnsi="Arial"/>
                <w:sz w:val="13"/>
                <w:szCs w:val="13"/>
                <w:b w:val="1"/>
                <w:bCs w:val="1"/>
                <w:color w:val="auto"/>
                <w:w w:val="99"/>
              </w:rPr>
              <w:t>March 31,</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1"/>
                <w:szCs w:val="11"/>
                <w:color w:val="auto"/>
              </w:rPr>
            </w:pPr>
          </w:p>
        </w:tc>
      </w:tr>
      <w:tr>
        <w:trPr>
          <w:trHeight w:val="157"/>
        </w:trPr>
        <w:tc>
          <w:tcPr>
            <w:tcW w:w="4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3"/>
                <w:szCs w:val="13"/>
                <w:color w:val="auto"/>
              </w:rPr>
            </w:pPr>
          </w:p>
        </w:tc>
      </w:tr>
      <w:tr>
        <w:trPr>
          <w:trHeight w:val="137"/>
        </w:trPr>
        <w:tc>
          <w:tcPr>
            <w:tcW w:w="4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20" w:type="dxa"/>
            <w:vAlign w:val="bottom"/>
            <w:gridSpan w:val="6"/>
          </w:tcPr>
          <w:p>
            <w:pPr>
              <w:jc w:val="right"/>
              <w:ind w:right="1100"/>
              <w:spacing w:after="0" w:line="138"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4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Loss before income taxes</w:t>
            </w:r>
          </w:p>
        </w:tc>
        <w:tc>
          <w:tcPr>
            <w:tcW w:w="90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(11,870)</w:t>
            </w:r>
          </w:p>
        </w:tc>
        <w:tc>
          <w:tcPr>
            <w:tcW w:w="980" w:type="dxa"/>
            <w:vAlign w:val="bottom"/>
            <w:gridSpan w:val="3"/>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(3,314)</w:t>
            </w:r>
          </w:p>
        </w:tc>
        <w:tc>
          <w:tcPr>
            <w:tcW w:w="1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12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(14,904)</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22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(11,453)</w:t>
            </w:r>
          </w:p>
        </w:tc>
        <w:tc>
          <w:tcPr>
            <w:tcW w:w="120" w:type="dxa"/>
            <w:vAlign w:val="bottom"/>
            <w:shd w:val="clear" w:color="auto" w:fill="E5E5E5"/>
          </w:tcPr>
          <w:p>
            <w:pPr>
              <w:spacing w:after="0"/>
              <w:rPr>
                <w:sz w:val="13"/>
                <w:szCs w:val="13"/>
                <w:color w:val="auto"/>
              </w:rPr>
            </w:pPr>
          </w:p>
        </w:tc>
        <w:tc>
          <w:tcPr>
            <w:tcW w:w="820" w:type="dxa"/>
            <w:vAlign w:val="bottom"/>
            <w:gridSpan w:val="2"/>
            <w:shd w:val="clear" w:color="auto" w:fill="E5E5E5"/>
          </w:tcPr>
          <w:p>
            <w:pPr>
              <w:jc w:val="right"/>
              <w:ind w:right="160"/>
              <w:spacing w:after="0" w:line="157" w:lineRule="exact"/>
              <w:rPr>
                <w:sz w:val="20"/>
                <w:szCs w:val="20"/>
                <w:color w:val="auto"/>
              </w:rPr>
            </w:pPr>
            <w:r>
              <w:rPr>
                <w:rFonts w:ascii="Arial" w:cs="Arial" w:eastAsia="Arial" w:hAnsi="Arial"/>
                <w:sz w:val="14"/>
                <w:szCs w:val="14"/>
                <w:color w:val="auto"/>
              </w:rPr>
              <w:t>(3,888)</w:t>
            </w:r>
          </w:p>
        </w:tc>
        <w:tc>
          <w:tcPr>
            <w:tcW w:w="1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(232)</w:t>
            </w:r>
          </w:p>
        </w:tc>
      </w:tr>
      <w:tr>
        <w:trPr>
          <w:trHeight w:val="158"/>
        </w:trPr>
        <w:tc>
          <w:tcPr>
            <w:tcW w:w="4620" w:type="dxa"/>
            <w:vAlign w:val="bottom"/>
          </w:tcPr>
          <w:p>
            <w:pPr>
              <w:spacing w:after="0" w:line="157" w:lineRule="exact"/>
              <w:rPr>
                <w:sz w:val="20"/>
                <w:szCs w:val="20"/>
                <w:color w:val="auto"/>
              </w:rPr>
            </w:pPr>
            <w:r>
              <w:rPr>
                <w:rFonts w:ascii="Arial" w:cs="Arial" w:eastAsia="Arial" w:hAnsi="Arial"/>
                <w:sz w:val="14"/>
                <w:szCs w:val="14"/>
                <w:color w:val="auto"/>
              </w:rPr>
              <w:t>Provision for income taxes</w:t>
            </w:r>
          </w:p>
        </w:tc>
        <w:tc>
          <w:tcPr>
            <w:tcW w:w="90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3"/>
          </w:tcPr>
          <w:p>
            <w:pPr>
              <w:jc w:val="right"/>
              <w:ind w:right="180"/>
              <w:spacing w:after="0" w:line="157" w:lineRule="exact"/>
              <w:rPr>
                <w:sz w:val="20"/>
                <w:szCs w:val="20"/>
                <w:color w:val="auto"/>
              </w:rPr>
            </w:pPr>
            <w:r>
              <w:rPr>
                <w:rFonts w:ascii="Arial" w:cs="Arial" w:eastAsia="Arial" w:hAnsi="Arial"/>
                <w:sz w:val="14"/>
                <w:szCs w:val="14"/>
                <w:color w:val="auto"/>
              </w:rPr>
              <w:t>5</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320"/>
              <w:spacing w:after="0" w:line="157" w:lineRule="exact"/>
              <w:rPr>
                <w:sz w:val="20"/>
                <w:szCs w:val="20"/>
                <w:color w:val="auto"/>
              </w:rPr>
            </w:pPr>
            <w:r>
              <w:rPr>
                <w:rFonts w:ascii="Arial" w:cs="Arial" w:eastAsia="Arial" w:hAnsi="Arial"/>
                <w:sz w:val="14"/>
                <w:szCs w:val="14"/>
                <w:color w:val="auto"/>
              </w:rPr>
              <w:t>24</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r>
      <w:tr>
        <w:trPr>
          <w:trHeight w:val="157"/>
        </w:trPr>
        <w:tc>
          <w:tcPr>
            <w:tcW w:w="462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   (11,870)</w:t>
            </w:r>
          </w:p>
        </w:tc>
        <w:tc>
          <w:tcPr>
            <w:tcW w:w="980" w:type="dxa"/>
            <w:vAlign w:val="bottom"/>
            <w:gridSpan w:val="3"/>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  (3,319)</w:t>
            </w:r>
          </w:p>
        </w:tc>
        <w:tc>
          <w:tcPr>
            <w:tcW w:w="30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(14,904)</w:t>
            </w:r>
          </w:p>
        </w:tc>
        <w:tc>
          <w:tcPr>
            <w:tcW w:w="28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(11,477)</w:t>
            </w:r>
          </w:p>
        </w:tc>
        <w:tc>
          <w:tcPr>
            <w:tcW w:w="1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5E5E5"/>
          </w:tcPr>
          <w:p>
            <w:pPr>
              <w:jc w:val="right"/>
              <w:ind w:right="160"/>
              <w:spacing w:after="0" w:line="157" w:lineRule="exact"/>
              <w:rPr>
                <w:sz w:val="20"/>
                <w:szCs w:val="20"/>
                <w:color w:val="auto"/>
              </w:rPr>
            </w:pPr>
            <w:r>
              <w:rPr>
                <w:rFonts w:ascii="Arial" w:cs="Arial" w:eastAsia="Arial" w:hAnsi="Arial"/>
                <w:sz w:val="14"/>
                <w:szCs w:val="14"/>
                <w:color w:val="auto"/>
              </w:rPr>
              <w:t>(3,988)</w:t>
            </w:r>
          </w:p>
        </w:tc>
        <w:tc>
          <w:tcPr>
            <w:tcW w:w="26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(246)</w:t>
            </w:r>
          </w:p>
        </w:tc>
      </w:tr>
      <w:tr>
        <w:trPr>
          <w:trHeight w:val="20"/>
        </w:trPr>
        <w:tc>
          <w:tcPr>
            <w:tcW w:w="4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4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bl>
    <w:p>
      <w:pPr>
        <w:spacing w:after="0" w:line="90"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color w:val="auto"/>
        </w:rPr>
        <w:t>The following table sets forth disaggregation of revenue by oncology, prenatal and clinical trial support services, as well as total test volume, for each of the six periods indicated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Three months ended</w:t>
            </w:r>
          </w:p>
        </w:tc>
      </w:tr>
      <w:tr>
        <w:trPr>
          <w:trHeight w:val="127"/>
        </w:trPr>
        <w:tc>
          <w:tcPr>
            <w:tcW w:w="4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2"/>
              <w:spacing w:after="0" w:line="127" w:lineRule="exact"/>
              <w:rPr>
                <w:sz w:val="20"/>
                <w:szCs w:val="20"/>
                <w:color w:val="auto"/>
              </w:rPr>
            </w:pPr>
            <w:r>
              <w:rPr>
                <w:rFonts w:ascii="Arial" w:cs="Arial" w:eastAsia="Arial" w:hAnsi="Arial"/>
                <w:sz w:val="13"/>
                <w:szCs w:val="13"/>
                <w:b w:val="1"/>
                <w:bCs w:val="1"/>
                <w:color w:val="auto"/>
                <w:w w:val="99"/>
              </w:rPr>
              <w:t>March 31,</w:t>
            </w: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2"/>
              <w:spacing w:after="0" w:line="127"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27"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2"/>
              <w:spacing w:after="0" w:line="127"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73"/>
              <w:spacing w:after="0" w:line="127" w:lineRule="exact"/>
              <w:rPr>
                <w:sz w:val="20"/>
                <w:szCs w:val="20"/>
                <w:color w:val="auto"/>
              </w:rPr>
            </w:pPr>
            <w:r>
              <w:rPr>
                <w:rFonts w:ascii="Arial" w:cs="Arial" w:eastAsia="Arial" w:hAnsi="Arial"/>
                <w:sz w:val="13"/>
                <w:szCs w:val="13"/>
                <w:b w:val="1"/>
                <w:bCs w:val="1"/>
                <w:color w:val="auto"/>
              </w:rPr>
              <w:t>March 31,</w:t>
            </w: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20"/>
              <w:spacing w:after="0" w:line="127"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1"/>
                <w:szCs w:val="11"/>
                <w:color w:val="auto"/>
              </w:rPr>
            </w:pPr>
          </w:p>
        </w:tc>
      </w:tr>
      <w:tr>
        <w:trPr>
          <w:trHeight w:val="157"/>
        </w:trPr>
        <w:tc>
          <w:tcPr>
            <w:tcW w:w="4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2024</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2025</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auto"/>
            </w:tcBorders>
          </w:tcPr>
          <w:p>
            <w:pPr>
              <w:spacing w:after="0"/>
              <w:rPr>
                <w:sz w:val="13"/>
                <w:szCs w:val="13"/>
                <w:color w:val="auto"/>
              </w:rPr>
            </w:pPr>
          </w:p>
        </w:tc>
      </w:tr>
      <w:tr>
        <w:trPr>
          <w:trHeight w:val="148"/>
        </w:trPr>
        <w:tc>
          <w:tcPr>
            <w:tcW w:w="474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Prenatal</w:t>
            </w:r>
          </w:p>
        </w:tc>
        <w:tc>
          <w:tcPr>
            <w:tcW w:w="12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31,554</w:t>
            </w:r>
          </w:p>
        </w:tc>
        <w:tc>
          <w:tcPr>
            <w:tcW w:w="2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34,525</w:t>
            </w:r>
          </w:p>
        </w:tc>
        <w:tc>
          <w:tcPr>
            <w:tcW w:w="300" w:type="dxa"/>
            <w:vAlign w:val="bottom"/>
            <w:shd w:val="clear" w:color="auto" w:fill="E5E5E5"/>
          </w:tcPr>
          <w:p>
            <w:pPr>
              <w:jc w:val="right"/>
              <w:ind w:right="10"/>
              <w:spacing w:after="0" w:line="148" w:lineRule="exact"/>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36,601</w:t>
            </w:r>
          </w:p>
        </w:tc>
        <w:tc>
          <w:tcPr>
            <w:tcW w:w="2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43,220</w:t>
            </w:r>
          </w:p>
        </w:tc>
        <w:tc>
          <w:tcPr>
            <w:tcW w:w="2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73"/>
              <w:spacing w:after="0" w:line="148" w:lineRule="exact"/>
              <w:rPr>
                <w:sz w:val="20"/>
                <w:szCs w:val="20"/>
                <w:color w:val="auto"/>
              </w:rPr>
            </w:pPr>
            <w:r>
              <w:rPr>
                <w:rFonts w:ascii="Arial" w:cs="Arial" w:eastAsia="Arial" w:hAnsi="Arial"/>
                <w:sz w:val="14"/>
                <w:szCs w:val="14"/>
                <w:color w:val="auto"/>
              </w:rPr>
              <w:t>56,076</w:t>
            </w:r>
          </w:p>
        </w:tc>
        <w:tc>
          <w:tcPr>
            <w:tcW w:w="300" w:type="dxa"/>
            <w:vAlign w:val="bottom"/>
            <w:shd w:val="clear" w:color="auto" w:fill="E5E5E5"/>
          </w:tcPr>
          <w:p>
            <w:pPr>
              <w:jc w:val="right"/>
              <w:ind w:right="1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E5E5"/>
          </w:tcPr>
          <w:p>
            <w:pPr>
              <w:jc w:val="right"/>
              <w:ind w:right="20"/>
              <w:spacing w:after="0" w:line="148" w:lineRule="exact"/>
              <w:rPr>
                <w:sz w:val="20"/>
                <w:szCs w:val="20"/>
                <w:color w:val="auto"/>
              </w:rPr>
            </w:pPr>
            <w:r>
              <w:rPr>
                <w:rFonts w:ascii="Arial" w:cs="Arial" w:eastAsia="Arial" w:hAnsi="Arial"/>
                <w:sz w:val="14"/>
                <w:szCs w:val="14"/>
                <w:color w:val="auto"/>
              </w:rPr>
              <w:t>60,852</w:t>
            </w:r>
          </w:p>
        </w:tc>
        <w:tc>
          <w:tcPr>
            <w:tcW w:w="40" w:type="dxa"/>
            <w:vAlign w:val="bottom"/>
            <w:shd w:val="clear" w:color="auto" w:fill="E5E5E5"/>
          </w:tcPr>
          <w:p>
            <w:pPr>
              <w:spacing w:after="0"/>
              <w:rPr>
                <w:sz w:val="12"/>
                <w:szCs w:val="12"/>
                <w:color w:val="auto"/>
              </w:rPr>
            </w:pPr>
          </w:p>
        </w:tc>
      </w:tr>
      <w:tr>
        <w:trPr>
          <w:trHeight w:val="157"/>
        </w:trPr>
        <w:tc>
          <w:tcPr>
            <w:tcW w:w="4740" w:type="dxa"/>
            <w:vAlign w:val="bottom"/>
          </w:tcPr>
          <w:p>
            <w:pPr>
              <w:spacing w:after="0" w:line="157" w:lineRule="exact"/>
              <w:rPr>
                <w:sz w:val="20"/>
                <w:szCs w:val="20"/>
                <w:color w:val="auto"/>
              </w:rPr>
            </w:pPr>
            <w:r>
              <w:rPr>
                <w:rFonts w:ascii="Arial" w:cs="Arial" w:eastAsia="Arial" w:hAnsi="Arial"/>
                <w:sz w:val="14"/>
                <w:szCs w:val="14"/>
                <w:color w:val="auto"/>
              </w:rPr>
              <w:t>Oncology</w:t>
            </w:r>
          </w:p>
        </w:tc>
        <w:tc>
          <w:tcPr>
            <w:tcW w:w="120" w:type="dxa"/>
            <w:vAlign w:val="bottom"/>
          </w:tcPr>
          <w:p>
            <w:pPr>
              <w:spacing w:after="0"/>
              <w:rPr>
                <w:sz w:val="13"/>
                <w:szCs w:val="13"/>
                <w:color w:val="auto"/>
              </w:rPr>
            </w:pPr>
          </w:p>
        </w:tc>
        <w:tc>
          <w:tcPr>
            <w:tcW w:w="740" w:type="dxa"/>
            <w:vAlign w:val="bottom"/>
          </w:tcPr>
          <w:p>
            <w:pPr>
              <w:jc w:val="right"/>
              <w:ind w:right="52"/>
              <w:spacing w:after="0" w:line="157" w:lineRule="exact"/>
              <w:rPr>
                <w:sz w:val="20"/>
                <w:szCs w:val="20"/>
                <w:color w:val="auto"/>
              </w:rPr>
            </w:pPr>
            <w:r>
              <w:rPr>
                <w:rFonts w:ascii="Arial" w:cs="Arial" w:eastAsia="Arial" w:hAnsi="Arial"/>
                <w:sz w:val="14"/>
                <w:szCs w:val="14"/>
                <w:color w:val="auto"/>
              </w:rPr>
              <w:t>342</w:t>
            </w:r>
          </w:p>
        </w:tc>
        <w:tc>
          <w:tcPr>
            <w:tcW w:w="280" w:type="dxa"/>
            <w:vAlign w:val="bottom"/>
          </w:tcPr>
          <w:p>
            <w:pPr>
              <w:spacing w:after="0"/>
              <w:rPr>
                <w:sz w:val="13"/>
                <w:szCs w:val="13"/>
                <w:color w:val="auto"/>
              </w:rPr>
            </w:pPr>
          </w:p>
        </w:tc>
        <w:tc>
          <w:tcPr>
            <w:tcW w:w="700" w:type="dxa"/>
            <w:vAlign w:val="bottom"/>
          </w:tcPr>
          <w:p>
            <w:pPr>
              <w:jc w:val="right"/>
              <w:ind w:right="72"/>
              <w:spacing w:after="0" w:line="157" w:lineRule="exact"/>
              <w:rPr>
                <w:sz w:val="20"/>
                <w:szCs w:val="20"/>
                <w:color w:val="auto"/>
              </w:rPr>
            </w:pPr>
            <w:r>
              <w:rPr>
                <w:rFonts w:ascii="Arial" w:cs="Arial" w:eastAsia="Arial" w:hAnsi="Arial"/>
                <w:sz w:val="14"/>
                <w:szCs w:val="14"/>
                <w:color w:val="auto"/>
              </w:rPr>
              <w:t>370</w:t>
            </w:r>
          </w:p>
        </w:tc>
        <w:tc>
          <w:tcPr>
            <w:tcW w:w="300" w:type="dxa"/>
            <w:vAlign w:val="bottom"/>
          </w:tcPr>
          <w:p>
            <w:pPr>
              <w:spacing w:after="0"/>
              <w:rPr>
                <w:sz w:val="13"/>
                <w:szCs w:val="13"/>
                <w:color w:val="auto"/>
              </w:rPr>
            </w:pPr>
          </w:p>
        </w:tc>
        <w:tc>
          <w:tcPr>
            <w:tcW w:w="1080" w:type="dxa"/>
            <w:vAlign w:val="bottom"/>
          </w:tcPr>
          <w:p>
            <w:pPr>
              <w:jc w:val="right"/>
              <w:ind w:right="72"/>
              <w:spacing w:after="0" w:line="157" w:lineRule="exact"/>
              <w:rPr>
                <w:sz w:val="20"/>
                <w:szCs w:val="20"/>
                <w:color w:val="auto"/>
              </w:rPr>
            </w:pPr>
            <w:r>
              <w:rPr>
                <w:rFonts w:ascii="Arial" w:cs="Arial" w:eastAsia="Arial" w:hAnsi="Arial"/>
                <w:sz w:val="14"/>
                <w:szCs w:val="14"/>
                <w:color w:val="auto"/>
              </w:rPr>
              <w:t>1,138</w:t>
            </w:r>
          </w:p>
        </w:tc>
        <w:tc>
          <w:tcPr>
            <w:tcW w:w="280" w:type="dxa"/>
            <w:vAlign w:val="bottom"/>
          </w:tcPr>
          <w:p>
            <w:pPr>
              <w:spacing w:after="0"/>
              <w:rPr>
                <w:sz w:val="13"/>
                <w:szCs w:val="13"/>
                <w:color w:val="auto"/>
              </w:rPr>
            </w:pPr>
          </w:p>
        </w:tc>
        <w:tc>
          <w:tcPr>
            <w:tcW w:w="1040" w:type="dxa"/>
            <w:vAlign w:val="bottom"/>
          </w:tcPr>
          <w:p>
            <w:pPr>
              <w:jc w:val="right"/>
              <w:ind w:right="72"/>
              <w:spacing w:after="0" w:line="157" w:lineRule="exact"/>
              <w:rPr>
                <w:sz w:val="20"/>
                <w:szCs w:val="20"/>
                <w:color w:val="auto"/>
              </w:rPr>
            </w:pPr>
            <w:r>
              <w:rPr>
                <w:rFonts w:ascii="Arial" w:cs="Arial" w:eastAsia="Arial" w:hAnsi="Arial"/>
                <w:sz w:val="14"/>
                <w:szCs w:val="14"/>
                <w:color w:val="auto"/>
              </w:rPr>
              <w:t>1,094</w:t>
            </w:r>
          </w:p>
        </w:tc>
        <w:tc>
          <w:tcPr>
            <w:tcW w:w="260" w:type="dxa"/>
            <w:vAlign w:val="bottom"/>
          </w:tcPr>
          <w:p>
            <w:pPr>
              <w:spacing w:after="0"/>
              <w:rPr>
                <w:sz w:val="13"/>
                <w:szCs w:val="13"/>
                <w:color w:val="auto"/>
              </w:rPr>
            </w:pPr>
          </w:p>
        </w:tc>
        <w:tc>
          <w:tcPr>
            <w:tcW w:w="780" w:type="dxa"/>
            <w:vAlign w:val="bottom"/>
          </w:tcPr>
          <w:p>
            <w:pPr>
              <w:jc w:val="right"/>
              <w:ind w:right="73"/>
              <w:spacing w:after="0" w:line="157" w:lineRule="exact"/>
              <w:rPr>
                <w:sz w:val="20"/>
                <w:szCs w:val="20"/>
                <w:color w:val="auto"/>
              </w:rPr>
            </w:pPr>
            <w:r>
              <w:rPr>
                <w:rFonts w:ascii="Arial" w:cs="Arial" w:eastAsia="Arial" w:hAnsi="Arial"/>
                <w:sz w:val="14"/>
                <w:szCs w:val="14"/>
                <w:color w:val="auto"/>
              </w:rPr>
              <w:t>2,177</w:t>
            </w:r>
          </w:p>
        </w:tc>
        <w:tc>
          <w:tcPr>
            <w:tcW w:w="300" w:type="dxa"/>
            <w:vAlign w:val="bottom"/>
          </w:tcPr>
          <w:p>
            <w:pPr>
              <w:spacing w:after="0"/>
              <w:rPr>
                <w:sz w:val="13"/>
                <w:szCs w:val="13"/>
                <w:color w:val="auto"/>
              </w:rPr>
            </w:pPr>
          </w:p>
        </w:tc>
        <w:tc>
          <w:tcPr>
            <w:tcW w:w="6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4,947</w:t>
            </w:r>
          </w:p>
        </w:tc>
        <w:tc>
          <w:tcPr>
            <w:tcW w:w="40" w:type="dxa"/>
            <w:vAlign w:val="bottom"/>
          </w:tcPr>
          <w:p>
            <w:pPr>
              <w:spacing w:after="0"/>
              <w:rPr>
                <w:sz w:val="13"/>
                <w:szCs w:val="1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Clinical trial support services</w:t>
            </w:r>
          </w:p>
        </w:tc>
        <w:tc>
          <w:tcPr>
            <w:tcW w:w="120" w:type="dxa"/>
            <w:vAlign w:val="bottom"/>
            <w:shd w:val="clear" w:color="auto" w:fill="E5E5E5"/>
          </w:tcPr>
          <w:p>
            <w:pPr>
              <w:spacing w:after="0"/>
              <w:rPr>
                <w:sz w:val="13"/>
                <w:szCs w:val="13"/>
                <w:color w:val="auto"/>
              </w:rPr>
            </w:pPr>
          </w:p>
        </w:tc>
        <w:tc>
          <w:tcPr>
            <w:tcW w:w="740" w:type="dxa"/>
            <w:vAlign w:val="bottom"/>
            <w:shd w:val="clear" w:color="auto" w:fill="E5E5E5"/>
          </w:tcPr>
          <w:p>
            <w:pPr>
              <w:jc w:val="right"/>
              <w:ind w:right="52"/>
              <w:spacing w:after="0" w:line="157" w:lineRule="exact"/>
              <w:rPr>
                <w:sz w:val="20"/>
                <w:szCs w:val="20"/>
                <w:color w:val="auto"/>
              </w:rPr>
            </w:pPr>
            <w:r>
              <w:rPr>
                <w:rFonts w:ascii="Arial" w:cs="Arial" w:eastAsia="Arial" w:hAnsi="Arial"/>
                <w:sz w:val="14"/>
                <w:szCs w:val="14"/>
                <w:color w:val="auto"/>
              </w:rPr>
              <w:t>1,031</w:t>
            </w:r>
          </w:p>
        </w:tc>
        <w:tc>
          <w:tcPr>
            <w:tcW w:w="280" w:type="dxa"/>
            <w:vAlign w:val="bottom"/>
            <w:shd w:val="clear" w:color="auto" w:fill="E5E5E5"/>
          </w:tcPr>
          <w:p>
            <w:pPr>
              <w:spacing w:after="0"/>
              <w:rPr>
                <w:sz w:val="13"/>
                <w:szCs w:val="13"/>
                <w:color w:val="auto"/>
              </w:rPr>
            </w:pPr>
          </w:p>
        </w:tc>
        <w:tc>
          <w:tcPr>
            <w:tcW w:w="700" w:type="dxa"/>
            <w:vAlign w:val="bottom"/>
            <w:shd w:val="clear" w:color="auto" w:fill="E5E5E5"/>
          </w:tcPr>
          <w:p>
            <w:pPr>
              <w:jc w:val="right"/>
              <w:ind w:right="72"/>
              <w:spacing w:after="0" w:line="157" w:lineRule="exact"/>
              <w:rPr>
                <w:sz w:val="20"/>
                <w:szCs w:val="20"/>
                <w:color w:val="auto"/>
              </w:rPr>
            </w:pPr>
            <w:r>
              <w:rPr>
                <w:rFonts w:ascii="Arial" w:cs="Arial" w:eastAsia="Arial" w:hAnsi="Arial"/>
                <w:sz w:val="14"/>
                <w:szCs w:val="14"/>
                <w:color w:val="auto"/>
              </w:rPr>
              <w:t>1,263</w:t>
            </w:r>
          </w:p>
        </w:tc>
        <w:tc>
          <w:tcPr>
            <w:tcW w:w="300" w:type="dxa"/>
            <w:vAlign w:val="bottom"/>
            <w:shd w:val="clear" w:color="auto" w:fill="E5E5E5"/>
          </w:tcPr>
          <w:p>
            <w:pPr>
              <w:spacing w:after="0"/>
              <w:rPr>
                <w:sz w:val="13"/>
                <w:szCs w:val="13"/>
                <w:color w:val="auto"/>
              </w:rPr>
            </w:pPr>
          </w:p>
        </w:tc>
        <w:tc>
          <w:tcPr>
            <w:tcW w:w="1080" w:type="dxa"/>
            <w:vAlign w:val="bottom"/>
            <w:shd w:val="clear" w:color="auto" w:fill="E5E5E5"/>
          </w:tcPr>
          <w:p>
            <w:pPr>
              <w:jc w:val="right"/>
              <w:ind w:right="72"/>
              <w:spacing w:after="0" w:line="157" w:lineRule="exact"/>
              <w:rPr>
                <w:sz w:val="20"/>
                <w:szCs w:val="20"/>
                <w:color w:val="auto"/>
              </w:rPr>
            </w:pPr>
            <w:r>
              <w:rPr>
                <w:rFonts w:ascii="Arial" w:cs="Arial" w:eastAsia="Arial" w:hAnsi="Arial"/>
                <w:sz w:val="14"/>
                <w:szCs w:val="14"/>
                <w:color w:val="auto"/>
              </w:rPr>
              <w:t>680</w:t>
            </w:r>
          </w:p>
        </w:tc>
        <w:tc>
          <w:tcPr>
            <w:tcW w:w="28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72"/>
              <w:spacing w:after="0" w:line="157" w:lineRule="exact"/>
              <w:rPr>
                <w:sz w:val="20"/>
                <w:szCs w:val="20"/>
                <w:color w:val="auto"/>
              </w:rPr>
            </w:pPr>
            <w:r>
              <w:rPr>
                <w:rFonts w:ascii="Arial" w:cs="Arial" w:eastAsia="Arial" w:hAnsi="Arial"/>
                <w:sz w:val="14"/>
                <w:szCs w:val="14"/>
                <w:color w:val="auto"/>
              </w:rPr>
              <w:t>763</w:t>
            </w:r>
          </w:p>
        </w:tc>
        <w:tc>
          <w:tcPr>
            <w:tcW w:w="26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73"/>
              <w:spacing w:after="0" w:line="157" w:lineRule="exact"/>
              <w:rPr>
                <w:sz w:val="20"/>
                <w:szCs w:val="20"/>
                <w:color w:val="auto"/>
              </w:rPr>
            </w:pPr>
            <w:r>
              <w:rPr>
                <w:rFonts w:ascii="Arial" w:cs="Arial" w:eastAsia="Arial" w:hAnsi="Arial"/>
                <w:sz w:val="14"/>
                <w:szCs w:val="14"/>
                <w:color w:val="auto"/>
              </w:rPr>
              <w:t>710</w:t>
            </w:r>
          </w:p>
        </w:tc>
        <w:tc>
          <w:tcPr>
            <w:tcW w:w="300" w:type="dxa"/>
            <w:vAlign w:val="bottom"/>
            <w:shd w:val="clear" w:color="auto" w:fill="E5E5E5"/>
          </w:tcPr>
          <w:p>
            <w:pPr>
              <w:spacing w:after="0"/>
              <w:rPr>
                <w:sz w:val="13"/>
                <w:szCs w:val="13"/>
                <w:color w:val="auto"/>
              </w:rPr>
            </w:pPr>
          </w:p>
        </w:tc>
        <w:tc>
          <w:tcPr>
            <w:tcW w:w="62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774</w:t>
            </w:r>
          </w:p>
        </w:tc>
        <w:tc>
          <w:tcPr>
            <w:tcW w:w="40" w:type="dxa"/>
            <w:vAlign w:val="bottom"/>
            <w:shd w:val="clear" w:color="auto" w:fill="E5E5E5"/>
          </w:tcPr>
          <w:p>
            <w:pPr>
              <w:spacing w:after="0"/>
              <w:rPr>
                <w:sz w:val="13"/>
                <w:szCs w:val="13"/>
                <w:color w:val="auto"/>
              </w:rPr>
            </w:pPr>
          </w:p>
        </w:tc>
      </w:tr>
      <w:tr>
        <w:trPr>
          <w:trHeight w:val="158"/>
        </w:trPr>
        <w:tc>
          <w:tcPr>
            <w:tcW w:w="4740" w:type="dxa"/>
            <w:vAlign w:val="bottom"/>
          </w:tcPr>
          <w:p>
            <w:pPr>
              <w:spacing w:after="0" w:line="159" w:lineRule="exact"/>
              <w:rPr>
                <w:sz w:val="20"/>
                <w:szCs w:val="20"/>
                <w:color w:val="auto"/>
              </w:rPr>
            </w:pPr>
            <w:r>
              <w:rPr>
                <w:rFonts w:ascii="Arial" w:cs="Arial" w:eastAsia="Arial" w:hAnsi="Arial"/>
                <w:sz w:val="14"/>
                <w:szCs w:val="14"/>
                <w:color w:val="auto"/>
              </w:rPr>
              <w:t>Total revenue</w:t>
            </w: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32,927</w:t>
            </w:r>
          </w:p>
        </w:tc>
        <w:tc>
          <w:tcPr>
            <w:tcW w:w="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36,159</w:t>
            </w:r>
          </w:p>
        </w:tc>
        <w:tc>
          <w:tcPr>
            <w:tcW w:w="300" w:type="dxa"/>
            <w:vAlign w:val="bottom"/>
            <w:tcBorders>
              <w:top w:val="single" w:sz="8" w:color="auto"/>
              <w:bottom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38,419</w:t>
            </w:r>
          </w:p>
        </w:tc>
        <w:tc>
          <w:tcPr>
            <w:tcW w:w="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45,077</w:t>
            </w:r>
          </w:p>
        </w:tc>
        <w:tc>
          <w:tcPr>
            <w:tcW w:w="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58,963</w:t>
            </w:r>
          </w:p>
        </w:tc>
        <w:tc>
          <w:tcPr>
            <w:tcW w:w="300" w:type="dxa"/>
            <w:vAlign w:val="bottom"/>
            <w:tcBorders>
              <w:top w:val="single" w:sz="8" w:color="auto"/>
              <w:bottom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66,573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4740" w:type="dxa"/>
            <w:vAlign w:val="bottom"/>
            <w:shd w:val="clear" w:color="auto" w:fill="E5E5E5"/>
          </w:tcPr>
          <w:p>
            <w:pPr>
              <w:spacing w:after="0" w:line="139" w:lineRule="exact"/>
              <w:rPr>
                <w:sz w:val="20"/>
                <w:szCs w:val="20"/>
                <w:color w:val="auto"/>
              </w:rPr>
            </w:pPr>
            <w:r>
              <w:rPr>
                <w:rFonts w:ascii="Arial" w:cs="Arial" w:eastAsia="Arial" w:hAnsi="Arial"/>
                <w:sz w:val="14"/>
                <w:szCs w:val="14"/>
                <w:color w:val="auto"/>
              </w:rPr>
              <w:t>Total test volume</w:t>
            </w:r>
          </w:p>
        </w:tc>
        <w:tc>
          <w:tcPr>
            <w:tcW w:w="1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52"/>
              <w:spacing w:after="0" w:line="139" w:lineRule="exact"/>
              <w:rPr>
                <w:sz w:val="20"/>
                <w:szCs w:val="20"/>
                <w:color w:val="auto"/>
              </w:rPr>
            </w:pPr>
            <w:r>
              <w:rPr>
                <w:rFonts w:ascii="Arial" w:cs="Arial" w:eastAsia="Arial" w:hAnsi="Arial"/>
                <w:sz w:val="14"/>
                <w:szCs w:val="14"/>
                <w:color w:val="auto"/>
              </w:rPr>
              <w:t>89,290</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72"/>
              <w:spacing w:after="0" w:line="139" w:lineRule="exact"/>
              <w:rPr>
                <w:sz w:val="20"/>
                <w:szCs w:val="20"/>
                <w:color w:val="auto"/>
              </w:rPr>
            </w:pPr>
            <w:r>
              <w:rPr>
                <w:rFonts w:ascii="Arial" w:cs="Arial" w:eastAsia="Arial" w:hAnsi="Arial"/>
                <w:sz w:val="14"/>
                <w:szCs w:val="14"/>
                <w:color w:val="auto"/>
              </w:rPr>
              <w:t>97,623</w:t>
            </w:r>
          </w:p>
        </w:tc>
        <w:tc>
          <w:tcPr>
            <w:tcW w:w="30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39" w:lineRule="exact"/>
              <w:rPr>
                <w:sz w:val="20"/>
                <w:szCs w:val="20"/>
                <w:color w:val="auto"/>
              </w:rPr>
            </w:pPr>
            <w:r>
              <w:rPr>
                <w:rFonts w:ascii="Arial" w:cs="Arial" w:eastAsia="Arial" w:hAnsi="Arial"/>
                <w:sz w:val="14"/>
                <w:szCs w:val="14"/>
                <w:color w:val="auto"/>
              </w:rPr>
              <w:t>107,934</w:t>
            </w:r>
          </w:p>
        </w:tc>
        <w:tc>
          <w:tcPr>
            <w:tcW w:w="280" w:type="dxa"/>
            <w:vAlign w:val="bottom"/>
            <w:shd w:val="clear" w:color="auto" w:fill="E5E5E5"/>
          </w:tcPr>
          <w:p>
            <w:pPr>
              <w:spacing w:after="0"/>
              <w:rPr>
                <w:sz w:val="12"/>
                <w:szCs w:val="12"/>
                <w:color w:val="auto"/>
              </w:rPr>
            </w:pPr>
          </w:p>
        </w:tc>
        <w:tc>
          <w:tcPr>
            <w:tcW w:w="1040" w:type="dxa"/>
            <w:vAlign w:val="bottom"/>
            <w:shd w:val="clear" w:color="auto" w:fill="E5E5E5"/>
          </w:tcPr>
          <w:p>
            <w:pPr>
              <w:jc w:val="right"/>
              <w:ind w:right="72"/>
              <w:spacing w:after="0" w:line="139" w:lineRule="exact"/>
              <w:rPr>
                <w:sz w:val="20"/>
                <w:szCs w:val="20"/>
                <w:color w:val="auto"/>
              </w:rPr>
            </w:pPr>
            <w:r>
              <w:rPr>
                <w:rFonts w:ascii="Arial" w:cs="Arial" w:eastAsia="Arial" w:hAnsi="Arial"/>
                <w:sz w:val="14"/>
                <w:szCs w:val="14"/>
                <w:color w:val="auto"/>
              </w:rPr>
              <w:t>114,959</w:t>
            </w:r>
          </w:p>
        </w:tc>
        <w:tc>
          <w:tcPr>
            <w:tcW w:w="26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73"/>
              <w:spacing w:after="0" w:line="139" w:lineRule="exact"/>
              <w:rPr>
                <w:sz w:val="20"/>
                <w:szCs w:val="20"/>
                <w:color w:val="auto"/>
              </w:rPr>
            </w:pPr>
            <w:r>
              <w:rPr>
                <w:rFonts w:ascii="Arial" w:cs="Arial" w:eastAsia="Arial" w:hAnsi="Arial"/>
                <w:sz w:val="14"/>
                <w:szCs w:val="14"/>
                <w:color w:val="auto"/>
              </w:rPr>
              <w:t>137,101</w:t>
            </w:r>
          </w:p>
        </w:tc>
        <w:tc>
          <w:tcPr>
            <w:tcW w:w="30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20"/>
              <w:spacing w:after="0" w:line="139" w:lineRule="exact"/>
              <w:rPr>
                <w:sz w:val="20"/>
                <w:szCs w:val="20"/>
                <w:color w:val="auto"/>
              </w:rPr>
            </w:pPr>
            <w:r>
              <w:rPr>
                <w:rFonts w:ascii="Arial" w:cs="Arial" w:eastAsia="Arial" w:hAnsi="Arial"/>
                <w:sz w:val="14"/>
                <w:szCs w:val="14"/>
                <w:color w:val="auto"/>
              </w:rPr>
              <w:t>147,587</w:t>
            </w:r>
          </w:p>
        </w:tc>
        <w:tc>
          <w:tcPr>
            <w:tcW w:w="40" w:type="dxa"/>
            <w:vAlign w:val="bottom"/>
            <w:shd w:val="clear" w:color="auto" w:fill="E5E5E5"/>
          </w:tcPr>
          <w:p>
            <w:pPr>
              <w:spacing w:after="0"/>
              <w:rPr>
                <w:sz w:val="12"/>
                <w:szCs w:val="12"/>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financial statements of operations data expressed as a percentage of revenue for each of the six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700"/>
              <w:spacing w:after="0" w:line="127" w:lineRule="exact"/>
              <w:rPr>
                <w:sz w:val="20"/>
                <w:szCs w:val="20"/>
                <w:color w:val="auto"/>
              </w:rPr>
            </w:pPr>
            <w:r>
              <w:rPr>
                <w:rFonts w:ascii="Arial" w:cs="Arial" w:eastAsia="Arial" w:hAnsi="Arial"/>
                <w:sz w:val="13"/>
                <w:szCs w:val="13"/>
                <w:b w:val="1"/>
                <w:bCs w:val="1"/>
                <w:color w:val="auto"/>
                <w:w w:val="93"/>
              </w:rPr>
              <w:t>March 31,</w:t>
            </w:r>
          </w:p>
        </w:tc>
        <w:tc>
          <w:tcPr>
            <w:tcW w:w="1220" w:type="dxa"/>
            <w:vAlign w:val="bottom"/>
            <w:tcBorders>
              <w:top w:val="single" w:sz="8" w:color="auto"/>
            </w:tcBorders>
            <w:gridSpan w:val="2"/>
          </w:tcPr>
          <w:p>
            <w:pPr>
              <w:jc w:val="right"/>
              <w:ind w:right="700"/>
              <w:spacing w:after="0" w:line="127" w:lineRule="exact"/>
              <w:rPr>
                <w:sz w:val="20"/>
                <w:szCs w:val="20"/>
                <w:color w:val="auto"/>
              </w:rPr>
            </w:pPr>
            <w:r>
              <w:rPr>
                <w:rFonts w:ascii="Arial" w:cs="Arial" w:eastAsia="Arial" w:hAnsi="Arial"/>
                <w:sz w:val="13"/>
                <w:szCs w:val="13"/>
                <w:b w:val="1"/>
                <w:bCs w:val="1"/>
                <w:color w:val="auto"/>
                <w:w w:val="96"/>
              </w:rPr>
              <w:t>June 30,</w:t>
            </w:r>
          </w:p>
        </w:tc>
        <w:tc>
          <w:tcPr>
            <w:tcW w:w="1580" w:type="dxa"/>
            <w:vAlign w:val="bottom"/>
            <w:tcBorders>
              <w:top w:val="single" w:sz="8" w:color="auto"/>
            </w:tcBorders>
            <w:gridSpan w:val="2"/>
          </w:tcPr>
          <w:p>
            <w:pPr>
              <w:jc w:val="right"/>
              <w:ind w:right="700"/>
              <w:spacing w:after="0" w:line="127" w:lineRule="exact"/>
              <w:rPr>
                <w:sz w:val="20"/>
                <w:szCs w:val="20"/>
                <w:color w:val="auto"/>
              </w:rPr>
            </w:pPr>
            <w:r>
              <w:rPr>
                <w:rFonts w:ascii="Arial" w:cs="Arial" w:eastAsia="Arial" w:hAnsi="Arial"/>
                <w:sz w:val="13"/>
                <w:szCs w:val="13"/>
                <w:b w:val="1"/>
                <w:bCs w:val="1"/>
                <w:color w:val="auto"/>
                <w:w w:val="96"/>
              </w:rPr>
              <w:t>September 30,</w:t>
            </w:r>
          </w:p>
        </w:tc>
        <w:tc>
          <w:tcPr>
            <w:tcW w:w="1540" w:type="dxa"/>
            <w:vAlign w:val="bottom"/>
            <w:tcBorders>
              <w:top w:val="single" w:sz="8" w:color="auto"/>
            </w:tcBorders>
            <w:gridSpan w:val="2"/>
          </w:tcPr>
          <w:p>
            <w:pPr>
              <w:jc w:val="right"/>
              <w:ind w:right="720"/>
              <w:spacing w:after="0" w:line="127" w:lineRule="exact"/>
              <w:rPr>
                <w:sz w:val="20"/>
                <w:szCs w:val="20"/>
                <w:color w:val="auto"/>
              </w:rPr>
            </w:pPr>
            <w:r>
              <w:rPr>
                <w:rFonts w:ascii="Arial" w:cs="Arial" w:eastAsia="Arial" w:hAnsi="Arial"/>
                <w:sz w:val="13"/>
                <w:szCs w:val="13"/>
                <w:b w:val="1"/>
                <w:bCs w:val="1"/>
                <w:color w:val="auto"/>
                <w:w w:val="94"/>
              </w:rPr>
              <w:t>December 31,</w:t>
            </w:r>
          </w:p>
        </w:tc>
        <w:tc>
          <w:tcPr>
            <w:tcW w:w="1300" w:type="dxa"/>
            <w:vAlign w:val="bottom"/>
            <w:tcBorders>
              <w:top w:val="single" w:sz="8" w:color="auto"/>
            </w:tcBorders>
            <w:gridSpan w:val="2"/>
          </w:tcPr>
          <w:p>
            <w:pPr>
              <w:jc w:val="right"/>
              <w:ind w:right="720"/>
              <w:spacing w:after="0" w:line="127" w:lineRule="exact"/>
              <w:rPr>
                <w:sz w:val="20"/>
                <w:szCs w:val="20"/>
                <w:color w:val="auto"/>
              </w:rPr>
            </w:pPr>
            <w:r>
              <w:rPr>
                <w:rFonts w:ascii="Arial" w:cs="Arial" w:eastAsia="Arial" w:hAnsi="Arial"/>
                <w:sz w:val="13"/>
                <w:szCs w:val="13"/>
                <w:b w:val="1"/>
                <w:bCs w:val="1"/>
                <w:color w:val="auto"/>
                <w:w w:val="93"/>
              </w:rPr>
              <w:t>March 31,</w:t>
            </w:r>
          </w:p>
        </w:tc>
        <w:tc>
          <w:tcPr>
            <w:tcW w:w="52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Percentage of revenue data</w:t>
            </w:r>
          </w:p>
        </w:tc>
        <w:tc>
          <w:tcPr>
            <w:tcW w:w="12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b w:val="1"/>
                <w:bCs w:val="1"/>
                <w:color w:val="auto"/>
              </w:rPr>
              <w:t>2024</w:t>
            </w:r>
          </w:p>
        </w:tc>
        <w:tc>
          <w:tcPr>
            <w:tcW w:w="12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b w:val="1"/>
                <w:bCs w:val="1"/>
                <w:color w:val="auto"/>
              </w:rPr>
              <w:t>2024</w:t>
            </w:r>
          </w:p>
        </w:tc>
        <w:tc>
          <w:tcPr>
            <w:tcW w:w="15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b w:val="1"/>
                <w:bCs w:val="1"/>
                <w:color w:val="auto"/>
              </w:rPr>
              <w:t>2024</w:t>
            </w:r>
          </w:p>
        </w:tc>
        <w:tc>
          <w:tcPr>
            <w:tcW w:w="154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3"/>
                <w:szCs w:val="13"/>
                <w:b w:val="1"/>
                <w:bCs w:val="1"/>
                <w:color w:val="auto"/>
              </w:rPr>
              <w:t>2024</w:t>
            </w:r>
          </w:p>
        </w:tc>
        <w:tc>
          <w:tcPr>
            <w:tcW w:w="13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Revenue</w:t>
            </w:r>
          </w:p>
        </w:tc>
        <w:tc>
          <w:tcPr>
            <w:tcW w:w="1280" w:type="dxa"/>
            <w:vAlign w:val="bottom"/>
            <w:gridSpan w:val="2"/>
            <w:shd w:val="clear" w:color="auto" w:fill="E5E5E5"/>
          </w:tcPr>
          <w:p>
            <w:pPr>
              <w:jc w:val="right"/>
              <w:ind w:right="580"/>
              <w:spacing w:after="0" w:line="148" w:lineRule="exact"/>
              <w:rPr>
                <w:sz w:val="20"/>
                <w:szCs w:val="20"/>
                <w:color w:val="auto"/>
              </w:rPr>
            </w:pPr>
            <w:r>
              <w:rPr>
                <w:rFonts w:ascii="Arial" w:cs="Arial" w:eastAsia="Arial" w:hAnsi="Arial"/>
                <w:sz w:val="14"/>
                <w:szCs w:val="14"/>
                <w:color w:val="auto"/>
              </w:rPr>
              <w:t>100%</w:t>
            </w:r>
          </w:p>
        </w:tc>
        <w:tc>
          <w:tcPr>
            <w:tcW w:w="1220" w:type="dxa"/>
            <w:vAlign w:val="bottom"/>
            <w:gridSpan w:val="2"/>
            <w:shd w:val="clear" w:color="auto" w:fill="E5E5E5"/>
          </w:tcPr>
          <w:p>
            <w:pPr>
              <w:jc w:val="right"/>
              <w:ind w:right="580"/>
              <w:spacing w:after="0" w:line="148" w:lineRule="exact"/>
              <w:rPr>
                <w:sz w:val="20"/>
                <w:szCs w:val="20"/>
                <w:color w:val="auto"/>
              </w:rPr>
            </w:pPr>
            <w:r>
              <w:rPr>
                <w:rFonts w:ascii="Arial" w:cs="Arial" w:eastAsia="Arial" w:hAnsi="Arial"/>
                <w:sz w:val="14"/>
                <w:szCs w:val="14"/>
                <w:color w:val="auto"/>
              </w:rPr>
              <w:t>100%</w:t>
            </w:r>
          </w:p>
        </w:tc>
        <w:tc>
          <w:tcPr>
            <w:tcW w:w="1580" w:type="dxa"/>
            <w:vAlign w:val="bottom"/>
            <w:gridSpan w:val="2"/>
            <w:shd w:val="clear" w:color="auto" w:fill="E5E5E5"/>
          </w:tcPr>
          <w:p>
            <w:pPr>
              <w:jc w:val="right"/>
              <w:ind w:right="580"/>
              <w:spacing w:after="0" w:line="148" w:lineRule="exact"/>
              <w:rPr>
                <w:sz w:val="20"/>
                <w:szCs w:val="20"/>
                <w:color w:val="auto"/>
              </w:rPr>
            </w:pPr>
            <w:r>
              <w:rPr>
                <w:rFonts w:ascii="Arial" w:cs="Arial" w:eastAsia="Arial" w:hAnsi="Arial"/>
                <w:sz w:val="14"/>
                <w:szCs w:val="14"/>
                <w:color w:val="auto"/>
              </w:rPr>
              <w:t>100%</w:t>
            </w:r>
          </w:p>
        </w:tc>
        <w:tc>
          <w:tcPr>
            <w:tcW w:w="1540" w:type="dxa"/>
            <w:vAlign w:val="bottom"/>
            <w:gridSpan w:val="2"/>
            <w:shd w:val="clear" w:color="auto" w:fill="E5E5E5"/>
          </w:tcPr>
          <w:p>
            <w:pPr>
              <w:jc w:val="right"/>
              <w:ind w:right="600"/>
              <w:spacing w:after="0" w:line="148" w:lineRule="exact"/>
              <w:rPr>
                <w:sz w:val="20"/>
                <w:szCs w:val="20"/>
                <w:color w:val="auto"/>
              </w:rPr>
            </w:pPr>
            <w:r>
              <w:rPr>
                <w:rFonts w:ascii="Arial" w:cs="Arial" w:eastAsia="Arial" w:hAnsi="Arial"/>
                <w:sz w:val="14"/>
                <w:szCs w:val="14"/>
                <w:color w:val="auto"/>
              </w:rPr>
              <w:t>100%</w:t>
            </w:r>
          </w:p>
        </w:tc>
        <w:tc>
          <w:tcPr>
            <w:tcW w:w="1300" w:type="dxa"/>
            <w:vAlign w:val="bottom"/>
            <w:gridSpan w:val="2"/>
            <w:shd w:val="clear" w:color="auto" w:fill="E5E5E5"/>
          </w:tcPr>
          <w:p>
            <w:pPr>
              <w:jc w:val="right"/>
              <w:ind w:right="580"/>
              <w:spacing w:after="0" w:line="148"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E5E5E5"/>
          </w:tcPr>
          <w:p>
            <w:pPr>
              <w:jc w:val="right"/>
              <w:ind w:right="80"/>
              <w:spacing w:after="0" w:line="148"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Arial" w:cs="Arial" w:eastAsia="Arial" w:hAnsi="Arial"/>
                <w:sz w:val="14"/>
                <w:szCs w:val="14"/>
                <w:color w:val="auto"/>
              </w:rPr>
              <w:t>Cost of revenue</w:t>
            </w:r>
          </w:p>
        </w:tc>
        <w:tc>
          <w:tcPr>
            <w:tcW w:w="128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50%</w:t>
            </w:r>
          </w:p>
        </w:tc>
        <w:tc>
          <w:tcPr>
            <w:tcW w:w="122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49%</w:t>
            </w:r>
          </w:p>
        </w:tc>
        <w:tc>
          <w:tcPr>
            <w:tcW w:w="158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47%</w:t>
            </w:r>
          </w:p>
        </w:tc>
        <w:tc>
          <w:tcPr>
            <w:tcW w:w="154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43%</w:t>
            </w:r>
          </w:p>
        </w:tc>
        <w:tc>
          <w:tcPr>
            <w:tcW w:w="130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36%</w:t>
            </w:r>
          </w:p>
        </w:tc>
        <w:tc>
          <w:tcPr>
            <w:tcW w:w="7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Gross margin</w:t>
            </w:r>
          </w:p>
        </w:tc>
        <w:tc>
          <w:tcPr>
            <w:tcW w:w="12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50%</w:t>
            </w:r>
          </w:p>
        </w:tc>
        <w:tc>
          <w:tcPr>
            <w:tcW w:w="122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51%</w:t>
            </w:r>
          </w:p>
        </w:tc>
        <w:tc>
          <w:tcPr>
            <w:tcW w:w="15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53%</w:t>
            </w:r>
          </w:p>
        </w:tc>
        <w:tc>
          <w:tcPr>
            <w:tcW w:w="1540" w:type="dxa"/>
            <w:vAlign w:val="bottom"/>
            <w:gridSpan w:val="2"/>
            <w:shd w:val="clear" w:color="auto" w:fill="E5E5E5"/>
          </w:tcPr>
          <w:p>
            <w:pPr>
              <w:jc w:val="right"/>
              <w:ind w:right="600"/>
              <w:spacing w:after="0" w:line="157" w:lineRule="exact"/>
              <w:rPr>
                <w:sz w:val="20"/>
                <w:szCs w:val="20"/>
                <w:color w:val="auto"/>
              </w:rPr>
            </w:pPr>
            <w:r>
              <w:rPr>
                <w:rFonts w:ascii="Arial" w:cs="Arial" w:eastAsia="Arial" w:hAnsi="Arial"/>
                <w:sz w:val="14"/>
                <w:szCs w:val="14"/>
                <w:color w:val="auto"/>
              </w:rPr>
              <w:t>57%</w:t>
            </w:r>
          </w:p>
        </w:tc>
        <w:tc>
          <w:tcPr>
            <w:tcW w:w="130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64%</w:t>
            </w:r>
          </w:p>
        </w:tc>
        <w:tc>
          <w:tcPr>
            <w:tcW w:w="72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1"/>
        </w:trPr>
        <w:tc>
          <w:tcPr>
            <w:tcW w:w="3640" w:type="dxa"/>
            <w:vAlign w:val="bottom"/>
          </w:tcPr>
          <w:p>
            <w:pPr>
              <w:spacing w:after="0"/>
              <w:rPr>
                <w:sz w:val="20"/>
                <w:szCs w:val="20"/>
                <w:color w:val="auto"/>
              </w:rPr>
            </w:pPr>
            <w:r>
              <w:rPr>
                <w:rFonts w:ascii="Arial" w:cs="Arial" w:eastAsia="Arial" w:hAnsi="Arial"/>
                <w:sz w:val="14"/>
                <w:szCs w:val="14"/>
                <w:color w:val="auto"/>
              </w:rPr>
              <w:t>Operating expenses:</w:t>
            </w: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Research and development</w:t>
            </w:r>
          </w:p>
        </w:tc>
        <w:tc>
          <w:tcPr>
            <w:tcW w:w="12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24%</w:t>
            </w:r>
          </w:p>
        </w:tc>
        <w:tc>
          <w:tcPr>
            <w:tcW w:w="15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25%</w:t>
            </w:r>
          </w:p>
        </w:tc>
        <w:tc>
          <w:tcPr>
            <w:tcW w:w="1540" w:type="dxa"/>
            <w:vAlign w:val="bottom"/>
            <w:gridSpan w:val="2"/>
            <w:shd w:val="clear" w:color="auto" w:fill="E5E5E5"/>
          </w:tcPr>
          <w:p>
            <w:pPr>
              <w:jc w:val="right"/>
              <w:ind w:right="600"/>
              <w:spacing w:after="0" w:line="157" w:lineRule="exact"/>
              <w:rPr>
                <w:sz w:val="20"/>
                <w:szCs w:val="20"/>
                <w:color w:val="auto"/>
              </w:rPr>
            </w:pPr>
            <w:r>
              <w:rPr>
                <w:rFonts w:ascii="Arial" w:cs="Arial" w:eastAsia="Arial" w:hAnsi="Arial"/>
                <w:sz w:val="14"/>
                <w:szCs w:val="14"/>
                <w:color w:val="auto"/>
              </w:rPr>
              <w:t>24%</w:t>
            </w:r>
          </w:p>
        </w:tc>
        <w:tc>
          <w:tcPr>
            <w:tcW w:w="130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18%</w:t>
            </w:r>
          </w:p>
        </w:tc>
        <w:tc>
          <w:tcPr>
            <w:tcW w:w="72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Arial" w:cs="Arial" w:eastAsia="Arial" w:hAnsi="Arial"/>
                <w:sz w:val="14"/>
                <w:szCs w:val="14"/>
                <w:color w:val="auto"/>
              </w:rPr>
              <w:t>Selling, general and administrative</w:t>
            </w:r>
          </w:p>
        </w:tc>
        <w:tc>
          <w:tcPr>
            <w:tcW w:w="128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62%</w:t>
            </w:r>
          </w:p>
        </w:tc>
        <w:tc>
          <w:tcPr>
            <w:tcW w:w="122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59%</w:t>
            </w:r>
          </w:p>
        </w:tc>
        <w:tc>
          <w:tcPr>
            <w:tcW w:w="158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61%</w:t>
            </w:r>
          </w:p>
        </w:tc>
        <w:tc>
          <w:tcPr>
            <w:tcW w:w="154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59%</w:t>
            </w:r>
          </w:p>
        </w:tc>
        <w:tc>
          <w:tcPr>
            <w:tcW w:w="130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51%</w:t>
            </w:r>
          </w:p>
        </w:tc>
        <w:tc>
          <w:tcPr>
            <w:tcW w:w="7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Total operating expenses</w:t>
            </w:r>
          </w:p>
        </w:tc>
        <w:tc>
          <w:tcPr>
            <w:tcW w:w="12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84%</w:t>
            </w:r>
          </w:p>
        </w:tc>
        <w:tc>
          <w:tcPr>
            <w:tcW w:w="122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83%</w:t>
            </w:r>
          </w:p>
        </w:tc>
        <w:tc>
          <w:tcPr>
            <w:tcW w:w="15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86%</w:t>
            </w:r>
          </w:p>
        </w:tc>
        <w:tc>
          <w:tcPr>
            <w:tcW w:w="1540" w:type="dxa"/>
            <w:vAlign w:val="bottom"/>
            <w:gridSpan w:val="2"/>
            <w:shd w:val="clear" w:color="auto" w:fill="E5E5E5"/>
          </w:tcPr>
          <w:p>
            <w:pPr>
              <w:jc w:val="right"/>
              <w:ind w:right="600"/>
              <w:spacing w:after="0" w:line="157" w:lineRule="exact"/>
              <w:rPr>
                <w:sz w:val="20"/>
                <w:szCs w:val="20"/>
                <w:color w:val="auto"/>
              </w:rPr>
            </w:pPr>
            <w:r>
              <w:rPr>
                <w:rFonts w:ascii="Arial" w:cs="Arial" w:eastAsia="Arial" w:hAnsi="Arial"/>
                <w:sz w:val="14"/>
                <w:szCs w:val="14"/>
                <w:color w:val="auto"/>
              </w:rPr>
              <w:t>83%</w:t>
            </w:r>
          </w:p>
        </w:tc>
        <w:tc>
          <w:tcPr>
            <w:tcW w:w="130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68%</w:t>
            </w:r>
          </w:p>
        </w:tc>
        <w:tc>
          <w:tcPr>
            <w:tcW w:w="72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color w:val="auto"/>
              </w:rPr>
              <w:t>Operating loss</w:t>
            </w:r>
          </w:p>
        </w:tc>
        <w:tc>
          <w:tcPr>
            <w:tcW w:w="128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40" w:type="dxa"/>
            <w:vAlign w:val="bottom"/>
            <w:vMerge w:val="continue"/>
          </w:tcPr>
          <w:p>
            <w:pPr>
              <w:spacing w:after="0"/>
              <w:rPr>
                <w:sz w:val="13"/>
                <w:szCs w:val="13"/>
                <w:color w:val="auto"/>
              </w:rPr>
            </w:pPr>
          </w:p>
        </w:tc>
        <w:tc>
          <w:tcPr>
            <w:tcW w:w="12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(34)%</w:t>
            </w:r>
          </w:p>
        </w:tc>
        <w:tc>
          <w:tcPr>
            <w:tcW w:w="12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(32)%</w:t>
            </w:r>
          </w:p>
        </w:tc>
        <w:tc>
          <w:tcPr>
            <w:tcW w:w="15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5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(26)%</w:t>
            </w:r>
          </w:p>
        </w:tc>
        <w:tc>
          <w:tcPr>
            <w:tcW w:w="13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(4)%</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Other income (expense), net</w:t>
            </w:r>
          </w:p>
        </w:tc>
        <w:tc>
          <w:tcPr>
            <w:tcW w:w="1280" w:type="dxa"/>
            <w:vAlign w:val="bottom"/>
            <w:gridSpan w:val="2"/>
            <w:shd w:val="clear" w:color="auto" w:fill="E5E5E5"/>
          </w:tcPr>
          <w:p>
            <w:pPr>
              <w:jc w:val="right"/>
              <w:ind w:right="520"/>
              <w:spacing w:after="0" w:line="157" w:lineRule="exact"/>
              <w:rPr>
                <w:sz w:val="20"/>
                <w:szCs w:val="20"/>
                <w:color w:val="auto"/>
              </w:rPr>
            </w:pPr>
            <w:r>
              <w:rPr>
                <w:rFonts w:ascii="Arial" w:cs="Arial" w:eastAsia="Arial" w:hAnsi="Arial"/>
                <w:sz w:val="14"/>
                <w:szCs w:val="14"/>
                <w:color w:val="auto"/>
              </w:rPr>
              <w:t>(2)%</w:t>
            </w:r>
          </w:p>
        </w:tc>
        <w:tc>
          <w:tcPr>
            <w:tcW w:w="122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23%</w:t>
            </w:r>
          </w:p>
        </w:tc>
        <w:tc>
          <w:tcPr>
            <w:tcW w:w="1580" w:type="dxa"/>
            <w:vAlign w:val="bottom"/>
            <w:gridSpan w:val="2"/>
            <w:shd w:val="clear" w:color="auto" w:fill="E5E5E5"/>
          </w:tcPr>
          <w:p>
            <w:pPr>
              <w:jc w:val="right"/>
              <w:ind w:right="540"/>
              <w:spacing w:after="0" w:line="157" w:lineRule="exact"/>
              <w:rPr>
                <w:sz w:val="20"/>
                <w:szCs w:val="20"/>
                <w:color w:val="auto"/>
              </w:rPr>
            </w:pPr>
            <w:r>
              <w:rPr>
                <w:rFonts w:ascii="Arial" w:cs="Arial" w:eastAsia="Arial" w:hAnsi="Arial"/>
                <w:sz w:val="14"/>
                <w:szCs w:val="14"/>
                <w:color w:val="auto"/>
              </w:rPr>
              <w:t>(6)%</w:t>
            </w:r>
          </w:p>
        </w:tc>
        <w:tc>
          <w:tcPr>
            <w:tcW w:w="1540" w:type="dxa"/>
            <w:vAlign w:val="bottom"/>
            <w:gridSpan w:val="2"/>
            <w:shd w:val="clear" w:color="auto" w:fill="E5E5E5"/>
          </w:tcPr>
          <w:p>
            <w:pPr>
              <w:jc w:val="right"/>
              <w:ind w:right="600"/>
              <w:spacing w:after="0" w:line="157" w:lineRule="exact"/>
              <w:rPr>
                <w:sz w:val="20"/>
                <w:szCs w:val="20"/>
                <w:color w:val="auto"/>
              </w:rPr>
            </w:pPr>
            <w:r>
              <w:rPr>
                <w:rFonts w:ascii="Arial" w:cs="Arial" w:eastAsia="Arial" w:hAnsi="Arial"/>
                <w:sz w:val="14"/>
                <w:szCs w:val="14"/>
                <w:color w:val="auto"/>
              </w:rPr>
              <w:t>1%</w:t>
            </w:r>
          </w:p>
        </w:tc>
        <w:tc>
          <w:tcPr>
            <w:tcW w:w="1300" w:type="dxa"/>
            <w:vAlign w:val="bottom"/>
            <w:gridSpan w:val="2"/>
            <w:shd w:val="clear" w:color="auto" w:fill="E5E5E5"/>
          </w:tcPr>
          <w:p>
            <w:pPr>
              <w:jc w:val="right"/>
              <w:ind w:right="540"/>
              <w:spacing w:after="0" w:line="157" w:lineRule="exact"/>
              <w:rPr>
                <w:sz w:val="20"/>
                <w:szCs w:val="20"/>
                <w:color w:val="auto"/>
              </w:rPr>
            </w:pPr>
            <w:r>
              <w:rPr>
                <w:rFonts w:ascii="Arial" w:cs="Arial" w:eastAsia="Arial" w:hAnsi="Arial"/>
                <w:sz w:val="14"/>
                <w:szCs w:val="14"/>
                <w:color w:val="auto"/>
              </w:rPr>
              <w:t>(3)%</w:t>
            </w:r>
          </w:p>
        </w:tc>
        <w:tc>
          <w:tcPr>
            <w:tcW w:w="72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color w:val="auto"/>
              </w:rPr>
              <w:t>Loss before income taxes</w:t>
            </w:r>
          </w:p>
        </w:tc>
        <w:tc>
          <w:tcPr>
            <w:tcW w:w="128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40" w:type="dxa"/>
            <w:vAlign w:val="bottom"/>
            <w:vMerge w:val="continue"/>
          </w:tcPr>
          <w:p>
            <w:pPr>
              <w:spacing w:after="0"/>
              <w:rPr>
                <w:sz w:val="13"/>
                <w:szCs w:val="13"/>
                <w:color w:val="auto"/>
              </w:rPr>
            </w:pPr>
          </w:p>
        </w:tc>
        <w:tc>
          <w:tcPr>
            <w:tcW w:w="12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(36)%</w:t>
            </w:r>
          </w:p>
        </w:tc>
        <w:tc>
          <w:tcPr>
            <w:tcW w:w="12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(9)%</w:t>
            </w:r>
          </w:p>
        </w:tc>
        <w:tc>
          <w:tcPr>
            <w:tcW w:w="15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(39)%</w:t>
            </w:r>
          </w:p>
        </w:tc>
        <w:tc>
          <w:tcPr>
            <w:tcW w:w="15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(25)%</w:t>
            </w:r>
          </w:p>
        </w:tc>
        <w:tc>
          <w:tcPr>
            <w:tcW w:w="13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Provision for income taxes</w:t>
            </w:r>
          </w:p>
        </w:tc>
        <w:tc>
          <w:tcPr>
            <w:tcW w:w="12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E5E5E5"/>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E5E5E5"/>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5E5E5"/>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40" w:type="dxa"/>
            <w:vAlign w:val="bottom"/>
            <w:vMerge w:val="continue"/>
          </w:tcPr>
          <w:p>
            <w:pPr>
              <w:spacing w:after="0"/>
              <w:rPr>
                <w:sz w:val="13"/>
                <w:szCs w:val="13"/>
                <w:color w:val="auto"/>
              </w:rPr>
            </w:pPr>
          </w:p>
        </w:tc>
        <w:tc>
          <w:tcPr>
            <w:tcW w:w="12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(36)%</w:t>
            </w:r>
          </w:p>
        </w:tc>
        <w:tc>
          <w:tcPr>
            <w:tcW w:w="12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(9)%</w:t>
            </w:r>
          </w:p>
        </w:tc>
        <w:tc>
          <w:tcPr>
            <w:tcW w:w="15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(39)%</w:t>
            </w:r>
          </w:p>
        </w:tc>
        <w:tc>
          <w:tcPr>
            <w:tcW w:w="15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(25)%</w:t>
            </w:r>
          </w:p>
        </w:tc>
        <w:tc>
          <w:tcPr>
            <w:tcW w:w="13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revenue trends</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Total revenues increased sequentially in each of the quarters presented primarily due to an increase in the number of total tests processed combined with an increase in Overall ASP during the periods presented.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38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cost of revenue trends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cost of revenue has increased over the past six quarters as expenses related to testing samples increased due to the increase in number of tests we have processed over the past six quarters. We also increased headcount to support the processing of higher test volumes, which also contributed to the increase in cost of revenue. During this time, while cost of revenue increased, our Overall Cost Per Test declined.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gross profit trends</w:t>
      </w:r>
    </w:p>
    <w:p>
      <w:pPr>
        <w:spacing w:after="0" w:line="99" w:lineRule="exact"/>
        <w:rPr>
          <w:sz w:val="20"/>
          <w:szCs w:val="20"/>
          <w:color w:val="auto"/>
        </w:rPr>
      </w:pPr>
    </w:p>
    <w:p>
      <w:pPr>
        <w:ind w:right="260"/>
        <w:spacing w:after="0" w:line="252" w:lineRule="auto"/>
        <w:rPr>
          <w:sz w:val="20"/>
          <w:szCs w:val="20"/>
          <w:color w:val="auto"/>
        </w:rPr>
      </w:pPr>
      <w:r>
        <w:rPr>
          <w:rFonts w:ascii="Arial" w:cs="Arial" w:eastAsia="Arial" w:hAnsi="Arial"/>
          <w:sz w:val="14"/>
          <w:szCs w:val="14"/>
          <w:color w:val="auto"/>
        </w:rPr>
        <w:t>Our gross profit has increased steadily over the past six quarters, as a result of higher volumes of tests processed and an increase in our Overall ASP during the past six quarters. Concurrently, our average cost per test has declined as we reduced variable costs per test, such as reagents and materials, and, through increased test volumes and scale efficiencies, lowered fixed costs per test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operating expense trends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quarterly operating expenses have steadily increased over the past six quarters, primarily driven by growth in headcount as we continue to invest in scaling the business. These investments are focused on research and development to enhance our existing technologies and create new product offerings, as well as expanding sales and marketing resources to support future revenue growth.</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other income (expense), net trends</w:t>
      </w:r>
    </w:p>
    <w:p>
      <w:pPr>
        <w:spacing w:after="0" w:line="11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quarterly other income (expense), net fluctuates each period primarily due to changes in fair value of our term loan, interest expense, and certain discrete events such as the gain on extinguishment of our convertible note of $8.6 million in the second quarter of 2024 and the loss on extinguishment of our Western Alliance debt facility of $1.3 million in the third quarter of 2024.</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w:t>
      </w:r>
    </w:p>
    <w:p>
      <w:pPr>
        <w:spacing w:after="0" w:line="110" w:lineRule="exact"/>
        <w:rPr>
          <w:sz w:val="20"/>
          <w:szCs w:val="20"/>
          <w:color w:val="auto"/>
        </w:rPr>
      </w:pPr>
    </w:p>
    <w:p>
      <w:pPr>
        <w:ind w:right="540"/>
        <w:spacing w:after="0" w:line="269" w:lineRule="auto"/>
        <w:rPr>
          <w:sz w:val="20"/>
          <w:szCs w:val="20"/>
          <w:color w:val="auto"/>
        </w:rPr>
      </w:pPr>
      <w:r>
        <w:rPr>
          <w:rFonts w:ascii="Arial" w:cs="Arial" w:eastAsia="Arial" w:hAnsi="Arial"/>
          <w:sz w:val="14"/>
          <w:szCs w:val="14"/>
          <w:color w:val="auto"/>
        </w:rPr>
        <w:t>The following table sets forth our quarterly EBITDA for each of the six periods indicated, reconciled against net loss, the most directly comparable GAAP financial measure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7"/>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r>
      <w:tr>
        <w:trPr>
          <w:trHeight w:val="127"/>
        </w:trPr>
        <w:tc>
          <w:tcPr>
            <w:tcW w:w="4740" w:type="dxa"/>
            <w:vAlign w:val="bottom"/>
          </w:tcPr>
          <w:p>
            <w:pPr>
              <w:spacing w:after="0"/>
              <w:rPr>
                <w:sz w:val="11"/>
                <w:szCs w:val="11"/>
                <w:color w:val="auto"/>
              </w:rPr>
            </w:pPr>
          </w:p>
        </w:tc>
        <w:tc>
          <w:tcPr>
            <w:tcW w:w="740" w:type="dxa"/>
            <w:vAlign w:val="bottom"/>
            <w:tcBorders>
              <w:top w:val="single" w:sz="8" w:color="auto"/>
            </w:tcBorders>
            <w:gridSpan w:val="3"/>
          </w:tcPr>
          <w:p>
            <w:pPr>
              <w:jc w:val="right"/>
              <w:ind w:right="120"/>
              <w:spacing w:after="0" w:line="127" w:lineRule="exact"/>
              <w:rPr>
                <w:sz w:val="20"/>
                <w:szCs w:val="20"/>
                <w:color w:val="auto"/>
              </w:rPr>
            </w:pPr>
            <w:r>
              <w:rPr>
                <w:rFonts w:ascii="Arial" w:cs="Arial" w:eastAsia="Arial" w:hAnsi="Arial"/>
                <w:sz w:val="13"/>
                <w:szCs w:val="13"/>
                <w:b w:val="1"/>
                <w:bCs w:val="1"/>
                <w:color w:val="auto"/>
                <w:w w:val="99"/>
              </w:rPr>
              <w:t>March 31,</w:t>
            </w: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240"/>
              <w:spacing w:after="0" w:line="127" w:lineRule="exact"/>
              <w:rPr>
                <w:sz w:val="20"/>
                <w:szCs w:val="20"/>
                <w:color w:val="auto"/>
              </w:rPr>
            </w:pPr>
            <w:r>
              <w:rPr>
                <w:rFonts w:ascii="Arial" w:cs="Arial" w:eastAsia="Arial" w:hAnsi="Arial"/>
                <w:sz w:val="13"/>
                <w:szCs w:val="13"/>
                <w:b w:val="1"/>
                <w:bCs w:val="1"/>
                <w:color w:val="auto"/>
                <w:w w:val="99"/>
              </w:rPr>
              <w:t>June 30,</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40"/>
              <w:spacing w:after="0" w:line="127" w:lineRule="exact"/>
              <w:rPr>
                <w:sz w:val="20"/>
                <w:szCs w:val="20"/>
                <w:color w:val="auto"/>
              </w:rPr>
            </w:pPr>
            <w:r>
              <w:rPr>
                <w:rFonts w:ascii="Arial" w:cs="Arial" w:eastAsia="Arial" w:hAnsi="Arial"/>
                <w:sz w:val="13"/>
                <w:szCs w:val="13"/>
                <w:b w:val="1"/>
                <w:bCs w:val="1"/>
                <w:color w:val="auto"/>
                <w:w w:val="94"/>
              </w:rPr>
              <w:t>September 30,</w:t>
            </w: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60"/>
              <w:spacing w:after="0" w:line="127" w:lineRule="exact"/>
              <w:rPr>
                <w:sz w:val="20"/>
                <w:szCs w:val="20"/>
                <w:color w:val="auto"/>
              </w:rPr>
            </w:pPr>
            <w:r>
              <w:rPr>
                <w:rFonts w:ascii="Arial" w:cs="Arial" w:eastAsia="Arial" w:hAnsi="Arial"/>
                <w:sz w:val="13"/>
                <w:szCs w:val="13"/>
                <w:b w:val="1"/>
                <w:bCs w:val="1"/>
                <w:color w:val="auto"/>
                <w:w w:val="94"/>
              </w:rPr>
              <w:t>December 31,</w:t>
            </w:r>
          </w:p>
        </w:tc>
        <w:tc>
          <w:tcPr>
            <w:tcW w:w="880" w:type="dxa"/>
            <w:vAlign w:val="bottom"/>
            <w:tcBorders>
              <w:top w:val="single" w:sz="8" w:color="auto"/>
            </w:tcBorders>
            <w:gridSpan w:val="3"/>
          </w:tcPr>
          <w:p>
            <w:pPr>
              <w:jc w:val="right"/>
              <w:ind w:right="199"/>
              <w:spacing w:after="0" w:line="127"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right"/>
              <w:ind w:right="20"/>
              <w:spacing w:after="0" w:line="127"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1"/>
                <w:szCs w:val="11"/>
                <w:color w:val="auto"/>
              </w:rPr>
            </w:pPr>
          </w:p>
        </w:tc>
      </w:tr>
      <w:tr>
        <w:trPr>
          <w:trHeight w:val="157"/>
        </w:trPr>
        <w:tc>
          <w:tcPr>
            <w:tcW w:w="4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48"/>
        </w:trPr>
        <w:tc>
          <w:tcPr>
            <w:tcW w:w="474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loss</w:t>
            </w:r>
          </w:p>
        </w:tc>
        <w:tc>
          <w:tcPr>
            <w:tcW w:w="12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5E5E5"/>
          </w:tcPr>
          <w:p>
            <w:pPr>
              <w:jc w:val="right"/>
              <w:ind w:right="60"/>
              <w:spacing w:after="0" w:line="148" w:lineRule="exact"/>
              <w:rPr>
                <w:sz w:val="20"/>
                <w:szCs w:val="20"/>
                <w:color w:val="auto"/>
              </w:rPr>
            </w:pPr>
            <w:r>
              <w:rPr>
                <w:rFonts w:ascii="Arial" w:cs="Arial" w:eastAsia="Arial" w:hAnsi="Arial"/>
                <w:sz w:val="14"/>
                <w:szCs w:val="14"/>
                <w:color w:val="auto"/>
              </w:rPr>
              <w:t>(11,870)</w:t>
            </w:r>
          </w:p>
        </w:tc>
        <w:tc>
          <w:tcPr>
            <w:tcW w:w="42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200"/>
              <w:spacing w:after="0" w:line="148" w:lineRule="exact"/>
              <w:rPr>
                <w:sz w:val="20"/>
                <w:szCs w:val="20"/>
                <w:color w:val="auto"/>
              </w:rPr>
            </w:pPr>
            <w:r>
              <w:rPr>
                <w:rFonts w:ascii="Arial" w:cs="Arial" w:eastAsia="Arial" w:hAnsi="Arial"/>
                <w:sz w:val="14"/>
                <w:szCs w:val="14"/>
                <w:color w:val="auto"/>
              </w:rPr>
              <w:t>(3,319)</w:t>
            </w:r>
          </w:p>
        </w:tc>
        <w:tc>
          <w:tcPr>
            <w:tcW w:w="280" w:type="dxa"/>
            <w:vAlign w:val="bottom"/>
            <w:gridSpan w:val="2"/>
            <w:shd w:val="clear" w:color="auto" w:fill="E5E5E5"/>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E5E5E5"/>
          </w:tcPr>
          <w:p>
            <w:pPr>
              <w:jc w:val="right"/>
              <w:ind w:right="380"/>
              <w:spacing w:after="0" w:line="148" w:lineRule="exact"/>
              <w:rPr>
                <w:sz w:val="20"/>
                <w:szCs w:val="20"/>
                <w:color w:val="auto"/>
              </w:rPr>
            </w:pPr>
            <w:r>
              <w:rPr>
                <w:rFonts w:ascii="Arial" w:cs="Arial" w:eastAsia="Arial" w:hAnsi="Arial"/>
                <w:sz w:val="14"/>
                <w:szCs w:val="14"/>
                <w:color w:val="auto"/>
              </w:rPr>
              <w:t>(14,904)</w:t>
            </w:r>
          </w:p>
        </w:tc>
        <w:tc>
          <w:tcPr>
            <w:tcW w:w="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E5E5E5"/>
          </w:tcPr>
          <w:p>
            <w:pPr>
              <w:jc w:val="right"/>
              <w:ind w:right="400"/>
              <w:spacing w:after="0" w:line="148" w:lineRule="exact"/>
              <w:rPr>
                <w:sz w:val="20"/>
                <w:szCs w:val="20"/>
                <w:color w:val="auto"/>
              </w:rPr>
            </w:pPr>
            <w:r>
              <w:rPr>
                <w:rFonts w:ascii="Arial" w:cs="Arial" w:eastAsia="Arial" w:hAnsi="Arial"/>
                <w:sz w:val="14"/>
                <w:szCs w:val="14"/>
                <w:color w:val="auto"/>
              </w:rPr>
              <w:t>(11,477)</w:t>
            </w:r>
          </w:p>
        </w:tc>
        <w:tc>
          <w:tcPr>
            <w:tcW w:w="160" w:type="dxa"/>
            <w:vAlign w:val="bottom"/>
            <w:shd w:val="clear" w:color="auto" w:fill="E5E5E5"/>
          </w:tcPr>
          <w:p>
            <w:pPr>
              <w:jc w:val="right"/>
              <w:ind w:right="44"/>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E5E5E5"/>
          </w:tcPr>
          <w:p>
            <w:pPr>
              <w:jc w:val="right"/>
              <w:ind w:right="159"/>
              <w:spacing w:after="0" w:line="148" w:lineRule="exact"/>
              <w:rPr>
                <w:sz w:val="20"/>
                <w:szCs w:val="20"/>
                <w:color w:val="auto"/>
              </w:rPr>
            </w:pPr>
            <w:r>
              <w:rPr>
                <w:rFonts w:ascii="Arial" w:cs="Arial" w:eastAsia="Arial" w:hAnsi="Arial"/>
                <w:sz w:val="14"/>
                <w:szCs w:val="14"/>
                <w:color w:val="auto"/>
              </w:rPr>
              <w:t>(3,988)</w:t>
            </w:r>
          </w:p>
        </w:tc>
        <w:tc>
          <w:tcPr>
            <w:tcW w:w="32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E5E5E5"/>
          </w:tcPr>
          <w:p>
            <w:pPr>
              <w:jc w:val="right"/>
              <w:ind w:right="60"/>
              <w:spacing w:after="0" w:line="148" w:lineRule="exact"/>
              <w:rPr>
                <w:sz w:val="20"/>
                <w:szCs w:val="20"/>
                <w:color w:val="auto"/>
              </w:rPr>
            </w:pPr>
            <w:r>
              <w:rPr>
                <w:rFonts w:ascii="Arial" w:cs="Arial" w:eastAsia="Arial" w:hAnsi="Arial"/>
                <w:sz w:val="14"/>
                <w:szCs w:val="14"/>
                <w:color w:val="auto"/>
              </w:rPr>
              <w:t>(246)</w:t>
            </w:r>
          </w:p>
        </w:tc>
      </w:tr>
      <w:tr>
        <w:trPr>
          <w:trHeight w:val="157"/>
        </w:trPr>
        <w:tc>
          <w:tcPr>
            <w:tcW w:w="4740" w:type="dxa"/>
            <w:vAlign w:val="bottom"/>
          </w:tcPr>
          <w:p>
            <w:pPr>
              <w:spacing w:after="0" w:line="157" w:lineRule="exact"/>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720" w:type="dxa"/>
            <w:vAlign w:val="bottom"/>
            <w:gridSpan w:val="2"/>
          </w:tcPr>
          <w:p>
            <w:pPr>
              <w:jc w:val="right"/>
              <w:ind w:right="199"/>
              <w:spacing w:after="0" w:line="157"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5E5E5"/>
          </w:tcPr>
          <w:p>
            <w:pPr>
              <w:spacing w:after="0"/>
              <w:rPr>
                <w:sz w:val="13"/>
                <w:szCs w:val="13"/>
                <w:color w:val="auto"/>
              </w:rPr>
            </w:pPr>
          </w:p>
        </w:tc>
        <w:tc>
          <w:tcPr>
            <w:tcW w:w="62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(837)</w:t>
            </w:r>
          </w:p>
        </w:tc>
        <w:tc>
          <w:tcPr>
            <w:tcW w:w="3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8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(1,359)</w:t>
            </w:r>
          </w:p>
        </w:tc>
        <w:tc>
          <w:tcPr>
            <w:tcW w:w="2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300" w:type="dxa"/>
            <w:vAlign w:val="bottom"/>
            <w:gridSpan w:val="2"/>
            <w:shd w:val="clear" w:color="auto" w:fill="E5E5E5"/>
          </w:tcPr>
          <w:p>
            <w:pPr>
              <w:jc w:val="right"/>
              <w:ind w:right="380"/>
              <w:spacing w:after="0" w:line="157" w:lineRule="exact"/>
              <w:rPr>
                <w:sz w:val="20"/>
                <w:szCs w:val="20"/>
                <w:color w:val="auto"/>
              </w:rPr>
            </w:pPr>
            <w:r>
              <w:rPr>
                <w:rFonts w:ascii="Arial" w:cs="Arial" w:eastAsia="Arial" w:hAnsi="Arial"/>
                <w:sz w:val="14"/>
                <w:szCs w:val="14"/>
                <w:color w:val="auto"/>
              </w:rPr>
              <w:t>(1,952)</w:t>
            </w:r>
          </w:p>
        </w:tc>
        <w:tc>
          <w:tcPr>
            <w:tcW w:w="80" w:type="dxa"/>
            <w:vAlign w:val="bottom"/>
            <w:shd w:val="clear" w:color="auto" w:fill="E5E5E5"/>
          </w:tcPr>
          <w:p>
            <w:pPr>
              <w:spacing w:after="0"/>
              <w:rPr>
                <w:sz w:val="13"/>
                <w:szCs w:val="13"/>
                <w:color w:val="auto"/>
              </w:rPr>
            </w:pPr>
          </w:p>
        </w:tc>
        <w:tc>
          <w:tcPr>
            <w:tcW w:w="1280" w:type="dxa"/>
            <w:vAlign w:val="bottom"/>
            <w:gridSpan w:val="2"/>
            <w:shd w:val="clear" w:color="auto" w:fill="E5E5E5"/>
          </w:tcPr>
          <w:p>
            <w:pPr>
              <w:jc w:val="right"/>
              <w:ind w:right="400"/>
              <w:spacing w:after="0" w:line="157" w:lineRule="exact"/>
              <w:rPr>
                <w:sz w:val="20"/>
                <w:szCs w:val="20"/>
                <w:color w:val="auto"/>
              </w:rPr>
            </w:pPr>
            <w:r>
              <w:rPr>
                <w:rFonts w:ascii="Arial" w:cs="Arial" w:eastAsia="Arial" w:hAnsi="Arial"/>
                <w:sz w:val="14"/>
                <w:szCs w:val="14"/>
                <w:color w:val="auto"/>
              </w:rPr>
              <w:t>(1,671)</w:t>
            </w:r>
          </w:p>
        </w:tc>
        <w:tc>
          <w:tcPr>
            <w:tcW w:w="160" w:type="dxa"/>
            <w:vAlign w:val="bottom"/>
            <w:shd w:val="clear" w:color="auto" w:fill="E5E5E5"/>
          </w:tcPr>
          <w:p>
            <w:pPr>
              <w:spacing w:after="0"/>
              <w:rPr>
                <w:sz w:val="13"/>
                <w:szCs w:val="13"/>
                <w:color w:val="auto"/>
              </w:rPr>
            </w:pPr>
          </w:p>
        </w:tc>
        <w:tc>
          <w:tcPr>
            <w:tcW w:w="720" w:type="dxa"/>
            <w:vAlign w:val="bottom"/>
            <w:gridSpan w:val="2"/>
            <w:shd w:val="clear" w:color="auto" w:fill="E5E5E5"/>
          </w:tcPr>
          <w:p>
            <w:pPr>
              <w:jc w:val="right"/>
              <w:ind w:right="159"/>
              <w:spacing w:after="0" w:line="157" w:lineRule="exact"/>
              <w:rPr>
                <w:sz w:val="20"/>
                <w:szCs w:val="20"/>
                <w:color w:val="auto"/>
              </w:rPr>
            </w:pPr>
            <w:r>
              <w:rPr>
                <w:rFonts w:ascii="Arial" w:cs="Arial" w:eastAsia="Arial" w:hAnsi="Arial"/>
                <w:sz w:val="14"/>
                <w:szCs w:val="14"/>
                <w:color w:val="auto"/>
              </w:rPr>
              <w:t>(1,506)</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6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(1,451)</w:t>
            </w:r>
          </w:p>
        </w:tc>
      </w:tr>
      <w:tr>
        <w:trPr>
          <w:trHeight w:val="157"/>
        </w:trPr>
        <w:tc>
          <w:tcPr>
            <w:tcW w:w="4740" w:type="dxa"/>
            <w:vAlign w:val="bottom"/>
          </w:tcPr>
          <w:p>
            <w:pPr>
              <w:spacing w:after="0" w:line="157"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941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976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3"/>
                <w:szCs w:val="13"/>
                <w:color w:val="auto"/>
              </w:rPr>
            </w:pPr>
          </w:p>
        </w:tc>
        <w:tc>
          <w:tcPr>
            <w:tcW w:w="128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3"/>
                <w:szCs w:val="13"/>
                <w:color w:val="auto"/>
              </w:rPr>
            </w:pPr>
          </w:p>
        </w:tc>
        <w:tc>
          <w:tcPr>
            <w:tcW w:w="720" w:type="dxa"/>
            <w:vAlign w:val="bottom"/>
            <w:gridSpan w:val="2"/>
          </w:tcPr>
          <w:p>
            <w:pPr>
              <w:jc w:val="right"/>
              <w:ind w:right="199"/>
              <w:spacing w:after="0" w:line="157"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3"/>
                <w:szCs w:val="13"/>
                <w:color w:val="auto"/>
              </w:rPr>
            </w:pPr>
          </w:p>
        </w:tc>
      </w:tr>
      <w:tr>
        <w:trPr>
          <w:trHeight w:val="157"/>
        </w:trPr>
        <w:tc>
          <w:tcPr>
            <w:tcW w:w="47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Depreciation &amp; amortization</w:t>
            </w:r>
          </w:p>
        </w:tc>
        <w:tc>
          <w:tcPr>
            <w:tcW w:w="120" w:type="dxa"/>
            <w:vAlign w:val="bottom"/>
            <w:shd w:val="clear" w:color="auto" w:fill="E5E5E5"/>
          </w:tcPr>
          <w:p>
            <w:pPr>
              <w:spacing w:after="0"/>
              <w:rPr>
                <w:sz w:val="13"/>
                <w:szCs w:val="13"/>
                <w:color w:val="auto"/>
              </w:rPr>
            </w:pPr>
          </w:p>
        </w:tc>
        <w:tc>
          <w:tcPr>
            <w:tcW w:w="620" w:type="dxa"/>
            <w:vAlign w:val="bottom"/>
            <w:gridSpan w:val="2"/>
            <w:shd w:val="clear" w:color="auto" w:fill="E5E5E5"/>
          </w:tcPr>
          <w:p>
            <w:pPr>
              <w:jc w:val="right"/>
              <w:ind w:right="120"/>
              <w:spacing w:after="0" w:line="157" w:lineRule="exact"/>
              <w:rPr>
                <w:sz w:val="20"/>
                <w:szCs w:val="20"/>
                <w:color w:val="auto"/>
              </w:rPr>
            </w:pPr>
            <w:r>
              <w:rPr>
                <w:rFonts w:ascii="Arial" w:cs="Arial" w:eastAsia="Arial" w:hAnsi="Arial"/>
                <w:sz w:val="14"/>
                <w:szCs w:val="14"/>
                <w:color w:val="auto"/>
              </w:rPr>
              <w:t>1,687</w:t>
            </w:r>
          </w:p>
        </w:tc>
        <w:tc>
          <w:tcPr>
            <w:tcW w:w="3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80" w:type="dxa"/>
            <w:vAlign w:val="bottom"/>
            <w:gridSpan w:val="2"/>
            <w:shd w:val="clear" w:color="auto" w:fill="E5E5E5"/>
          </w:tcPr>
          <w:p>
            <w:pPr>
              <w:jc w:val="right"/>
              <w:ind w:right="240"/>
              <w:spacing w:after="0" w:line="157" w:lineRule="exact"/>
              <w:rPr>
                <w:sz w:val="20"/>
                <w:szCs w:val="20"/>
                <w:color w:val="auto"/>
              </w:rPr>
            </w:pPr>
            <w:r>
              <w:rPr>
                <w:rFonts w:ascii="Arial" w:cs="Arial" w:eastAsia="Arial" w:hAnsi="Arial"/>
                <w:sz w:val="14"/>
                <w:szCs w:val="14"/>
                <w:color w:val="auto"/>
              </w:rPr>
              <w:t>1,745</w:t>
            </w:r>
          </w:p>
        </w:tc>
        <w:tc>
          <w:tcPr>
            <w:tcW w:w="2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300" w:type="dxa"/>
            <w:vAlign w:val="bottom"/>
            <w:gridSpan w:val="2"/>
            <w:shd w:val="clear" w:color="auto" w:fill="E5E5E5"/>
          </w:tcPr>
          <w:p>
            <w:pPr>
              <w:jc w:val="right"/>
              <w:ind w:right="440"/>
              <w:spacing w:after="0" w:line="157" w:lineRule="exact"/>
              <w:rPr>
                <w:sz w:val="20"/>
                <w:szCs w:val="20"/>
                <w:color w:val="auto"/>
              </w:rPr>
            </w:pPr>
            <w:r>
              <w:rPr>
                <w:rFonts w:ascii="Arial" w:cs="Arial" w:eastAsia="Arial" w:hAnsi="Arial"/>
                <w:sz w:val="14"/>
                <w:szCs w:val="14"/>
                <w:color w:val="auto"/>
              </w:rPr>
              <w:t>1,809</w:t>
            </w:r>
          </w:p>
        </w:tc>
        <w:tc>
          <w:tcPr>
            <w:tcW w:w="80" w:type="dxa"/>
            <w:vAlign w:val="bottom"/>
            <w:shd w:val="clear" w:color="auto" w:fill="E5E5E5"/>
          </w:tcPr>
          <w:p>
            <w:pPr>
              <w:spacing w:after="0"/>
              <w:rPr>
                <w:sz w:val="13"/>
                <w:szCs w:val="13"/>
                <w:color w:val="auto"/>
              </w:rPr>
            </w:pP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1,799</w:t>
            </w:r>
          </w:p>
        </w:tc>
        <w:tc>
          <w:tcPr>
            <w:tcW w:w="4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720" w:type="dxa"/>
            <w:vAlign w:val="bottom"/>
            <w:gridSpan w:val="2"/>
            <w:shd w:val="clear" w:color="auto" w:fill="E5E5E5"/>
          </w:tcPr>
          <w:p>
            <w:pPr>
              <w:jc w:val="right"/>
              <w:ind w:right="199"/>
              <w:spacing w:after="0" w:line="157" w:lineRule="exact"/>
              <w:rPr>
                <w:sz w:val="20"/>
                <w:szCs w:val="20"/>
                <w:color w:val="auto"/>
              </w:rPr>
            </w:pPr>
            <w:r>
              <w:rPr>
                <w:rFonts w:ascii="Arial" w:cs="Arial" w:eastAsia="Arial" w:hAnsi="Arial"/>
                <w:sz w:val="14"/>
                <w:szCs w:val="14"/>
                <w:color w:val="auto"/>
              </w:rPr>
              <w:t>1,793</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46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1,747</w:t>
            </w:r>
          </w:p>
        </w:tc>
        <w:tc>
          <w:tcPr>
            <w:tcW w:w="100" w:type="dxa"/>
            <w:vAlign w:val="bottom"/>
            <w:shd w:val="clear" w:color="auto" w:fill="E5E5E5"/>
          </w:tcPr>
          <w:p>
            <w:pPr>
              <w:spacing w:after="0"/>
              <w:rPr>
                <w:sz w:val="13"/>
                <w:szCs w:val="13"/>
                <w:color w:val="auto"/>
              </w:rPr>
            </w:pPr>
          </w:p>
        </w:tc>
      </w:tr>
      <w:tr>
        <w:trPr>
          <w:trHeight w:val="158"/>
        </w:trPr>
        <w:tc>
          <w:tcPr>
            <w:tcW w:w="4740" w:type="dxa"/>
            <w:vAlign w:val="bottom"/>
          </w:tcPr>
          <w:p>
            <w:pPr>
              <w:spacing w:after="0" w:line="159" w:lineRule="exact"/>
              <w:rPr>
                <w:sz w:val="20"/>
                <w:szCs w:val="20"/>
                <w:color w:val="auto"/>
              </w:rPr>
            </w:pPr>
            <w:r>
              <w:rPr>
                <w:rFonts w:ascii="Arial" w:cs="Arial" w:eastAsia="Arial" w:hAnsi="Arial"/>
                <w:sz w:val="14"/>
                <w:szCs w:val="14"/>
                <w:color w:val="auto"/>
              </w:rPr>
              <w:t>EBITDA</w:t>
            </w: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(10,079)</w:t>
            </w:r>
          </w:p>
        </w:tc>
        <w:tc>
          <w:tcPr>
            <w:tcW w:w="4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tcPr>
          <w:p>
            <w:pPr>
              <w:jc w:val="right"/>
              <w:ind w:right="200"/>
              <w:spacing w:after="0" w:line="159" w:lineRule="exact"/>
              <w:rPr>
                <w:sz w:val="20"/>
                <w:szCs w:val="20"/>
                <w:color w:val="auto"/>
              </w:rPr>
            </w:pPr>
            <w:r>
              <w:rPr>
                <w:rFonts w:ascii="Arial" w:cs="Arial" w:eastAsia="Arial" w:hAnsi="Arial"/>
                <w:sz w:val="14"/>
                <w:szCs w:val="14"/>
                <w:color w:val="auto"/>
              </w:rPr>
              <w:t>(1,952)</w:t>
            </w:r>
          </w:p>
        </w:tc>
        <w:tc>
          <w:tcPr>
            <w:tcW w:w="280" w:type="dxa"/>
            <w:vAlign w:val="bottom"/>
            <w:tcBorders>
              <w:top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gridSpan w:val="2"/>
          </w:tcPr>
          <w:p>
            <w:pPr>
              <w:jc w:val="right"/>
              <w:ind w:right="380"/>
              <w:spacing w:after="0" w:line="159" w:lineRule="exact"/>
              <w:rPr>
                <w:sz w:val="20"/>
                <w:szCs w:val="20"/>
                <w:color w:val="auto"/>
              </w:rPr>
            </w:pPr>
            <w:r>
              <w:rPr>
                <w:rFonts w:ascii="Arial" w:cs="Arial" w:eastAsia="Arial" w:hAnsi="Arial"/>
                <w:sz w:val="14"/>
                <w:szCs w:val="14"/>
                <w:color w:val="auto"/>
              </w:rPr>
              <w:t>(14,625)</w:t>
            </w: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(11,278)</w:t>
            </w:r>
          </w:p>
        </w:tc>
        <w:tc>
          <w:tcPr>
            <w:tcW w:w="440" w:type="dxa"/>
            <w:vAlign w:val="bottom"/>
          </w:tcPr>
          <w:p>
            <w:pPr>
              <w:spacing w:after="0"/>
              <w:rPr>
                <w:sz w:val="13"/>
                <w:szCs w:val="13"/>
                <w:color w:val="auto"/>
              </w:rPr>
            </w:pPr>
          </w:p>
        </w:tc>
        <w:tc>
          <w:tcPr>
            <w:tcW w:w="160" w:type="dxa"/>
            <w:vAlign w:val="bottom"/>
            <w:tcBorders>
              <w:top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(3,561</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
        </w:trPr>
        <w:tc>
          <w:tcPr>
            <w:tcW w:w="4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76"/>
        </w:trPr>
        <w:tc>
          <w:tcPr>
            <w:tcW w:w="4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ectPr>
          <w:pgSz w:w="11900" w:h="16838" w:orient="portrait"/>
          <w:cols w:equalWidth="0" w:num="1">
            <w:col w:w="11280"/>
          </w:cols>
          <w:pgMar w:left="300" w:top="38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The following table sets forth our quarterly adjusted EBITDA for each of the six periods indicated, reconciled against net loss, the most directly comparable GAAP financial measure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7"/>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r>
      <w:tr>
        <w:trPr>
          <w:trHeight w:val="127"/>
        </w:trPr>
        <w:tc>
          <w:tcPr>
            <w:tcW w:w="50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w w:val="93"/>
              </w:rPr>
              <w:t>March 31,</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40"/>
              <w:spacing w:after="0" w:line="127"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w w:val="96"/>
              </w:rPr>
              <w:t>September 30,</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200"/>
              <w:spacing w:after="0" w:line="127"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w w:val="96"/>
              </w:rPr>
              <w:t>March 31,</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20"/>
              <w:spacing w:after="0" w:line="127"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1"/>
                <w:szCs w:val="11"/>
                <w:color w:val="auto"/>
              </w:rPr>
            </w:pPr>
          </w:p>
        </w:tc>
      </w:tr>
      <w:tr>
        <w:trPr>
          <w:trHeight w:val="157"/>
        </w:trPr>
        <w:tc>
          <w:tcPr>
            <w:tcW w:w="5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48"/>
        </w:trPr>
        <w:tc>
          <w:tcPr>
            <w:tcW w:w="508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5E5E5"/>
          </w:tcPr>
          <w:p>
            <w:pPr>
              <w:jc w:val="right"/>
              <w:ind w:right="140"/>
              <w:spacing w:after="0" w:line="148" w:lineRule="exact"/>
              <w:rPr>
                <w:sz w:val="20"/>
                <w:szCs w:val="20"/>
                <w:color w:val="auto"/>
              </w:rPr>
            </w:pPr>
            <w:r>
              <w:rPr>
                <w:rFonts w:ascii="Arial" w:cs="Arial" w:eastAsia="Arial" w:hAnsi="Arial"/>
                <w:sz w:val="14"/>
                <w:szCs w:val="14"/>
                <w:color w:val="auto"/>
              </w:rPr>
              <w:t>(11,870)</w:t>
            </w:r>
          </w:p>
        </w:tc>
        <w:tc>
          <w:tcPr>
            <w:tcW w:w="22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48" w:lineRule="exact"/>
              <w:rPr>
                <w:sz w:val="20"/>
                <w:szCs w:val="20"/>
                <w:color w:val="auto"/>
              </w:rPr>
            </w:pPr>
            <w:r>
              <w:rPr>
                <w:rFonts w:ascii="Arial" w:cs="Arial" w:eastAsia="Arial" w:hAnsi="Arial"/>
                <w:sz w:val="14"/>
                <w:szCs w:val="14"/>
                <w:color w:val="auto"/>
              </w:rPr>
              <w:t>(3,319)</w:t>
            </w:r>
          </w:p>
        </w:tc>
        <w:tc>
          <w:tcPr>
            <w:tcW w:w="10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E5E5E5"/>
          </w:tcPr>
          <w:p>
            <w:pPr>
              <w:jc w:val="right"/>
              <w:ind w:right="140"/>
              <w:spacing w:after="0" w:line="148" w:lineRule="exact"/>
              <w:rPr>
                <w:sz w:val="20"/>
                <w:szCs w:val="20"/>
                <w:color w:val="auto"/>
              </w:rPr>
            </w:pPr>
            <w:r>
              <w:rPr>
                <w:rFonts w:ascii="Arial" w:cs="Arial" w:eastAsia="Arial" w:hAnsi="Arial"/>
                <w:sz w:val="14"/>
                <w:szCs w:val="14"/>
                <w:color w:val="auto"/>
              </w:rPr>
              <w:t>(14,904)</w:t>
            </w:r>
          </w:p>
        </w:tc>
        <w:tc>
          <w:tcPr>
            <w:tcW w:w="240" w:type="dxa"/>
            <w:vAlign w:val="bottom"/>
            <w:gridSpan w:val="2"/>
            <w:shd w:val="clear" w:color="auto" w:fill="E5E5E5"/>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5E5"/>
          </w:tcPr>
          <w:p>
            <w:pPr>
              <w:jc w:val="right"/>
              <w:ind w:right="140"/>
              <w:spacing w:after="0" w:line="148" w:lineRule="exact"/>
              <w:rPr>
                <w:sz w:val="20"/>
                <w:szCs w:val="20"/>
                <w:color w:val="auto"/>
              </w:rPr>
            </w:pPr>
            <w:r>
              <w:rPr>
                <w:rFonts w:ascii="Arial" w:cs="Arial" w:eastAsia="Arial" w:hAnsi="Arial"/>
                <w:sz w:val="14"/>
                <w:szCs w:val="14"/>
                <w:color w:val="auto"/>
              </w:rPr>
              <w:t>(11,477)</w:t>
            </w:r>
          </w:p>
        </w:tc>
        <w:tc>
          <w:tcPr>
            <w:tcW w:w="22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140"/>
              <w:spacing w:after="0" w:line="148" w:lineRule="exact"/>
              <w:rPr>
                <w:sz w:val="20"/>
                <w:szCs w:val="20"/>
                <w:color w:val="auto"/>
              </w:rPr>
            </w:pPr>
            <w:r>
              <w:rPr>
                <w:rFonts w:ascii="Arial" w:cs="Arial" w:eastAsia="Arial" w:hAnsi="Arial"/>
                <w:sz w:val="14"/>
                <w:szCs w:val="14"/>
                <w:color w:val="auto"/>
              </w:rPr>
              <w:t>(3,988)</w:t>
            </w:r>
          </w:p>
        </w:tc>
        <w:tc>
          <w:tcPr>
            <w:tcW w:w="240" w:type="dxa"/>
            <w:vAlign w:val="bottom"/>
            <w:gridSpan w:val="2"/>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E5E5E5"/>
          </w:tcPr>
          <w:p>
            <w:pPr>
              <w:jc w:val="right"/>
              <w:ind w:right="60"/>
              <w:spacing w:after="0" w:line="148" w:lineRule="exact"/>
              <w:rPr>
                <w:sz w:val="20"/>
                <w:szCs w:val="20"/>
                <w:color w:val="auto"/>
              </w:rPr>
            </w:pPr>
            <w:r>
              <w:rPr>
                <w:rFonts w:ascii="Arial" w:cs="Arial" w:eastAsia="Arial" w:hAnsi="Arial"/>
                <w:sz w:val="14"/>
                <w:szCs w:val="14"/>
                <w:color w:val="auto"/>
              </w:rPr>
              <w:t>(246)</w:t>
            </w:r>
          </w:p>
        </w:tc>
      </w:tr>
      <w:tr>
        <w:trPr>
          <w:trHeight w:val="157"/>
        </w:trPr>
        <w:tc>
          <w:tcPr>
            <w:tcW w:w="5080" w:type="dxa"/>
            <w:vAlign w:val="bottom"/>
          </w:tcPr>
          <w:p>
            <w:pPr>
              <w:spacing w:after="0" w:line="157" w:lineRule="exact"/>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r>
      <w:tr>
        <w:trPr>
          <w:trHeight w:val="157"/>
        </w:trPr>
        <w:tc>
          <w:tcPr>
            <w:tcW w:w="50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E5E5E5"/>
          </w:tcPr>
          <w:p>
            <w:pPr>
              <w:spacing w:after="0"/>
              <w:rPr>
                <w:sz w:val="13"/>
                <w:szCs w:val="13"/>
                <w:color w:val="auto"/>
              </w:rPr>
            </w:pPr>
          </w:p>
        </w:tc>
        <w:tc>
          <w:tcPr>
            <w:tcW w:w="76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(837)</w:t>
            </w: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(1,359)</w:t>
            </w:r>
          </w:p>
        </w:tc>
        <w:tc>
          <w:tcPr>
            <w:tcW w:w="10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(1,952)</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(1,671)</w:t>
            </w: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140"/>
              <w:spacing w:after="0" w:line="157" w:lineRule="exact"/>
              <w:rPr>
                <w:sz w:val="20"/>
                <w:szCs w:val="20"/>
                <w:color w:val="auto"/>
              </w:rPr>
            </w:pPr>
            <w:r>
              <w:rPr>
                <w:rFonts w:ascii="Arial" w:cs="Arial" w:eastAsia="Arial" w:hAnsi="Arial"/>
                <w:sz w:val="14"/>
                <w:szCs w:val="14"/>
                <w:color w:val="auto"/>
              </w:rPr>
              <w:t>(1,506)</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gridSpan w:val="3"/>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(1,451)</w:t>
            </w:r>
          </w:p>
        </w:tc>
      </w:tr>
      <w:tr>
        <w:trPr>
          <w:trHeight w:val="157"/>
        </w:trPr>
        <w:tc>
          <w:tcPr>
            <w:tcW w:w="5080" w:type="dxa"/>
            <w:vAlign w:val="bottom"/>
          </w:tcPr>
          <w:p>
            <w:pPr>
              <w:spacing w:after="0" w:line="15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941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976</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422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3"/>
                <w:szCs w:val="13"/>
                <w:color w:val="auto"/>
              </w:rPr>
            </w:pPr>
          </w:p>
        </w:tc>
      </w:tr>
      <w:tr>
        <w:trPr>
          <w:trHeight w:val="157"/>
        </w:trPr>
        <w:tc>
          <w:tcPr>
            <w:tcW w:w="50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Depreciation &amp; amortization</w:t>
            </w:r>
          </w:p>
        </w:tc>
        <w:tc>
          <w:tcPr>
            <w:tcW w:w="80" w:type="dxa"/>
            <w:vAlign w:val="bottom"/>
            <w:shd w:val="clear" w:color="auto" w:fill="E5E5E5"/>
          </w:tcPr>
          <w:p>
            <w:pPr>
              <w:spacing w:after="0"/>
              <w:rPr>
                <w:sz w:val="13"/>
                <w:szCs w:val="13"/>
                <w:color w:val="auto"/>
              </w:rPr>
            </w:pP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1,687</w:t>
            </w:r>
          </w:p>
        </w:tc>
        <w:tc>
          <w:tcPr>
            <w:tcW w:w="1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840" w:type="dxa"/>
            <w:vAlign w:val="bottom"/>
            <w:gridSpan w:val="2"/>
            <w:shd w:val="clear" w:color="auto" w:fill="E5E5E5"/>
          </w:tcPr>
          <w:p>
            <w:pPr>
              <w:jc w:val="right"/>
              <w:ind w:right="340"/>
              <w:spacing w:after="0" w:line="157" w:lineRule="exact"/>
              <w:rPr>
                <w:sz w:val="20"/>
                <w:szCs w:val="20"/>
                <w:color w:val="auto"/>
              </w:rPr>
            </w:pPr>
            <w:r>
              <w:rPr>
                <w:rFonts w:ascii="Arial" w:cs="Arial" w:eastAsia="Arial" w:hAnsi="Arial"/>
                <w:sz w:val="14"/>
                <w:szCs w:val="14"/>
                <w:color w:val="auto"/>
              </w:rPr>
              <w:t>1,745</w:t>
            </w:r>
          </w:p>
        </w:tc>
        <w:tc>
          <w:tcPr>
            <w:tcW w:w="10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1,809</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1,799</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1,793</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20" w:type="dxa"/>
            <w:vAlign w:val="bottom"/>
            <w:gridSpan w:val="2"/>
            <w:shd w:val="clear" w:color="auto" w:fill="E5E5E5"/>
          </w:tcPr>
          <w:p>
            <w:pPr>
              <w:jc w:val="right"/>
              <w:ind w:right="20"/>
              <w:spacing w:after="0" w:line="157" w:lineRule="exact"/>
              <w:rPr>
                <w:sz w:val="20"/>
                <w:szCs w:val="20"/>
                <w:color w:val="auto"/>
              </w:rPr>
            </w:pPr>
            <w:r>
              <w:rPr>
                <w:rFonts w:ascii="Arial" w:cs="Arial" w:eastAsia="Arial" w:hAnsi="Arial"/>
                <w:sz w:val="14"/>
                <w:szCs w:val="14"/>
                <w:color w:val="auto"/>
              </w:rPr>
              <w:t>1,747</w:t>
            </w:r>
          </w:p>
        </w:tc>
        <w:tc>
          <w:tcPr>
            <w:tcW w:w="100" w:type="dxa"/>
            <w:vAlign w:val="bottom"/>
            <w:shd w:val="clear" w:color="auto" w:fill="E5E5E5"/>
          </w:tcPr>
          <w:p>
            <w:pPr>
              <w:spacing w:after="0"/>
              <w:rPr>
                <w:sz w:val="13"/>
                <w:szCs w:val="13"/>
                <w:color w:val="auto"/>
              </w:rPr>
            </w:pPr>
          </w:p>
        </w:tc>
      </w:tr>
      <w:tr>
        <w:trPr>
          <w:trHeight w:val="157"/>
        </w:trPr>
        <w:tc>
          <w:tcPr>
            <w:tcW w:w="5080" w:type="dxa"/>
            <w:vAlign w:val="bottom"/>
          </w:tcPr>
          <w:p>
            <w:pPr>
              <w:spacing w:after="0" w:line="157" w:lineRule="exact"/>
              <w:rPr>
                <w:sz w:val="20"/>
                <w:szCs w:val="20"/>
                <w:color w:val="auto"/>
              </w:rPr>
            </w:pPr>
            <w:r>
              <w:rPr>
                <w:rFonts w:ascii="Arial" w:cs="Arial" w:eastAsia="Arial" w:hAnsi="Arial"/>
                <w:sz w:val="14"/>
                <w:szCs w:val="14"/>
                <w:color w:val="auto"/>
              </w:rPr>
              <w:t>Stock compensation expense</w:t>
            </w: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1,795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2,110</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2,150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2,307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2,374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2,732</w:t>
            </w:r>
          </w:p>
        </w:tc>
        <w:tc>
          <w:tcPr>
            <w:tcW w:w="100" w:type="dxa"/>
            <w:vAlign w:val="bottom"/>
          </w:tcPr>
          <w:p>
            <w:pPr>
              <w:spacing w:after="0"/>
              <w:rPr>
                <w:sz w:val="13"/>
                <w:szCs w:val="13"/>
                <w:color w:val="auto"/>
              </w:rPr>
            </w:pPr>
          </w:p>
        </w:tc>
      </w:tr>
      <w:tr>
        <w:trPr>
          <w:trHeight w:val="157"/>
        </w:trPr>
        <w:tc>
          <w:tcPr>
            <w:tcW w:w="50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(gain) loss on extinguishment of debt</w:t>
            </w:r>
          </w:p>
        </w:tc>
        <w:tc>
          <w:tcPr>
            <w:tcW w:w="80" w:type="dxa"/>
            <w:vAlign w:val="bottom"/>
            <w:shd w:val="clear" w:color="auto" w:fill="E5E5E5"/>
          </w:tcPr>
          <w:p>
            <w:pPr>
              <w:spacing w:after="0"/>
              <w:rPr>
                <w:sz w:val="13"/>
                <w:szCs w:val="13"/>
                <w:color w:val="auto"/>
              </w:rPr>
            </w:pPr>
          </w:p>
        </w:tc>
        <w:tc>
          <w:tcPr>
            <w:tcW w:w="7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(8,635)</w:t>
            </w:r>
          </w:p>
        </w:tc>
        <w:tc>
          <w:tcPr>
            <w:tcW w:w="10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1,346</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gridSpan w:val="3"/>
            <w:shd w:val="clear" w:color="auto" w:fill="E5E5E5"/>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57"/>
        </w:trPr>
        <w:tc>
          <w:tcPr>
            <w:tcW w:w="5080" w:type="dxa"/>
            <w:vAlign w:val="bottom"/>
          </w:tcPr>
          <w:p>
            <w:pPr>
              <w:spacing w:after="0" w:line="157" w:lineRule="exact"/>
              <w:rPr>
                <w:sz w:val="20"/>
                <w:szCs w:val="20"/>
                <w:color w:val="auto"/>
              </w:rPr>
            </w:pPr>
            <w:r>
              <w:rPr>
                <w:rFonts w:ascii="Arial" w:cs="Arial" w:eastAsia="Arial" w:hAnsi="Arial"/>
                <w:sz w:val="14"/>
                <w:szCs w:val="14"/>
                <w:color w:val="auto"/>
              </w:rPr>
              <w:t>Change in fair value of loan</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2,283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3,092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r>
      <w:tr>
        <w:trPr>
          <w:trHeight w:val="157"/>
        </w:trPr>
        <w:tc>
          <w:tcPr>
            <w:tcW w:w="50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Change in fair value of convertible notes</w:t>
            </w:r>
          </w:p>
        </w:tc>
        <w:tc>
          <w:tcPr>
            <w:tcW w:w="80" w:type="dxa"/>
            <w:vAlign w:val="bottom"/>
            <w:shd w:val="clear" w:color="auto" w:fill="E5E5E5"/>
          </w:tcPr>
          <w:p>
            <w:pPr>
              <w:spacing w:after="0"/>
              <w:rPr>
                <w:sz w:val="13"/>
                <w:szCs w:val="13"/>
                <w:color w:val="auto"/>
              </w:rPr>
            </w:pPr>
          </w:p>
        </w:tc>
        <w:tc>
          <w:tcPr>
            <w:tcW w:w="5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337</w:t>
            </w:r>
          </w:p>
        </w:tc>
        <w:tc>
          <w:tcPr>
            <w:tcW w:w="1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840" w:type="dxa"/>
            <w:vAlign w:val="bottom"/>
            <w:gridSpan w:val="2"/>
            <w:shd w:val="clear" w:color="auto" w:fill="E5E5E5"/>
          </w:tcPr>
          <w:p>
            <w:pPr>
              <w:jc w:val="right"/>
              <w:ind w:right="340"/>
              <w:spacing w:after="0" w:line="157" w:lineRule="exact"/>
              <w:rPr>
                <w:sz w:val="20"/>
                <w:szCs w:val="20"/>
                <w:color w:val="auto"/>
              </w:rPr>
            </w:pPr>
            <w:r>
              <w:rPr>
                <w:rFonts w:ascii="Arial" w:cs="Arial" w:eastAsia="Arial" w:hAnsi="Arial"/>
                <w:sz w:val="14"/>
                <w:szCs w:val="14"/>
                <w:color w:val="auto"/>
              </w:rPr>
              <w:t>498</w:t>
            </w:r>
          </w:p>
        </w:tc>
        <w:tc>
          <w:tcPr>
            <w:tcW w:w="10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40" w:type="dxa"/>
            <w:vAlign w:val="bottom"/>
            <w:gridSpan w:val="2"/>
            <w:shd w:val="clear" w:color="auto" w:fill="E5E5E5"/>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80" w:type="dxa"/>
            <w:vAlign w:val="bottom"/>
            <w:gridSpan w:val="2"/>
            <w:shd w:val="clear" w:color="auto" w:fill="E5E5E5"/>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gridSpan w:val="3"/>
            <w:shd w:val="clear" w:color="auto" w:fill="E5E5E5"/>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58"/>
        </w:trPr>
        <w:tc>
          <w:tcPr>
            <w:tcW w:w="5080" w:type="dxa"/>
            <w:vAlign w:val="bottom"/>
          </w:tcPr>
          <w:p>
            <w:pPr>
              <w:spacing w:after="0" w:line="159" w:lineRule="exact"/>
              <w:rPr>
                <w:sz w:val="20"/>
                <w:szCs w:val="20"/>
                <w:color w:val="auto"/>
              </w:rPr>
            </w:pPr>
            <w:r>
              <w:rPr>
                <w:rFonts w:ascii="Arial" w:cs="Arial" w:eastAsia="Arial" w:hAnsi="Arial"/>
                <w:sz w:val="14"/>
                <w:szCs w:val="14"/>
                <w:color w:val="auto"/>
              </w:rPr>
              <w:t>Adjusted EBITDA</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(7,947)</w:t>
            </w:r>
          </w:p>
        </w:tc>
        <w:tc>
          <w:tcPr>
            <w:tcW w:w="2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tcPr>
          <w:p>
            <w:pPr>
              <w:jc w:val="right"/>
              <w:ind w:right="280"/>
              <w:spacing w:after="0" w:line="159" w:lineRule="exact"/>
              <w:rPr>
                <w:sz w:val="20"/>
                <w:szCs w:val="20"/>
                <w:color w:val="auto"/>
              </w:rPr>
            </w:pPr>
            <w:r>
              <w:rPr>
                <w:rFonts w:ascii="Arial" w:cs="Arial" w:eastAsia="Arial" w:hAnsi="Arial"/>
                <w:sz w:val="14"/>
                <w:szCs w:val="14"/>
                <w:color w:val="auto"/>
              </w:rPr>
              <w:t>(7,979)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(8,846)</w:t>
            </w:r>
          </w:p>
        </w:tc>
        <w:tc>
          <w:tcPr>
            <w:tcW w:w="240" w:type="dxa"/>
            <w:vAlign w:val="bottom"/>
            <w:tcBorders>
              <w:top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(8,117)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1,905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2,838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50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Since our inception, we have financed our operations primarily through the issuance of convertible notes, redeemable convertible preferred stock, debt, and cash generated from the sale of our products. As of December 31, 2024, our principal sources of liquidity were cash and cash equivalents of $191.5 million and working capital of $199.4 million. Cash and cash equivalents are comprised of cash held in sweep accounts, checking accounts, lock-box accounts and money market funds. Our principal use of cash is to fund operations and invest in research and development to support our growth.</w:t>
      </w:r>
    </w:p>
    <w:p>
      <w:pPr>
        <w:spacing w:after="0" w:line="85"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have generated significant losses from operations and negative cash flows from operating activities in the past as reflected in our accumulated deficit of $286.4 million as of June 30,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Oberland Capital note purchase agreement</w:t>
      </w:r>
    </w:p>
    <w:p>
      <w:pPr>
        <w:spacing w:after="0" w:line="11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have a debt facility with availability of up to $ 140.0 million, issuable in four separate tranches, pursuant to a Note Purchase Agreement, dated as of August 2, 2024, by and among us, the purchasers party thereto, and BWCB SA LLC (an entity affiliated with Oberland Capital), as purchaser’s agent. The advanced principal accrues interest at a rate of 8.0% per annum. The first tranche of $50.0 million was advanced on September 1, 2024, with a maturity date of August 31, 2031, interest-only payments through August 31, 2031 and a lump sum payment due on August 31, 2031. The term loan advances are secured by a lien on our assets. We are required to sell a tranche of notes in the amount of $30.0 million prior to March 31, 2026 as we achieved the revenue and gross margin thresholds triggering this obligation on June 30, 2025 based on our results for the first half 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38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2025. The thresholds triggering this tranche are trailing six-month revenue of at least $112.5 million and a trailing six-month gross margin of at least 45%. The terms of this tranche are identical to those of the first $50 million tranche.</w:t>
      </w:r>
    </w:p>
    <w:p>
      <w:pPr>
        <w:spacing w:after="0" w:line="59" w:lineRule="exact"/>
        <w:rPr>
          <w:sz w:val="20"/>
          <w:szCs w:val="20"/>
          <w:color w:val="auto"/>
        </w:rPr>
      </w:pPr>
    </w:p>
    <w:p>
      <w:pPr>
        <w:jc w:val="both"/>
        <w:ind w:right="80"/>
        <w:spacing w:after="0" w:line="241" w:lineRule="auto"/>
        <w:rPr>
          <w:sz w:val="20"/>
          <w:szCs w:val="20"/>
          <w:color w:val="auto"/>
        </w:rPr>
      </w:pPr>
      <w:r>
        <w:rPr>
          <w:rFonts w:ascii="Arial" w:cs="Arial" w:eastAsia="Arial" w:hAnsi="Arial"/>
          <w:sz w:val="14"/>
          <w:szCs w:val="14"/>
          <w:color w:val="auto"/>
        </w:rPr>
        <w:t>We have the option at any time to prepay all of the then-outstanding notes, and Oberland Capital has the option to redeem the notes upon a change in control, an event of default, or maturity. The repayment amount of the note shall equal (1) 130% of the principal amount if the payment is made within 24 months of issuance; (2) 145% of the principal amount if the payment is made within 36 months of issuance; (3) if the payment is made within 48 months, an amount that would generate an internal rate of return (IRR) for the purchasers of</w:t>
      </w:r>
    </w:p>
    <w:p>
      <w:pPr>
        <w:spacing w:after="0" w:line="1" w:lineRule="exact"/>
        <w:rPr>
          <w:sz w:val="20"/>
          <w:szCs w:val="20"/>
          <w:color w:val="auto"/>
        </w:rPr>
      </w:pPr>
    </w:p>
    <w:p>
      <w:pPr>
        <w:jc w:val="both"/>
        <w:ind w:right="40"/>
        <w:spacing w:after="0" w:line="241" w:lineRule="auto"/>
        <w:rPr>
          <w:sz w:val="20"/>
          <w:szCs w:val="20"/>
          <w:color w:val="auto"/>
        </w:rPr>
      </w:pPr>
      <w:r>
        <w:rPr>
          <w:rFonts w:ascii="Arial" w:cs="Arial" w:eastAsia="Arial" w:hAnsi="Arial"/>
          <w:sz w:val="14"/>
          <w:szCs w:val="14"/>
          <w:color w:val="auto"/>
        </w:rPr>
        <w:t>12.25%; (4) if the payment is made within 60 months of issuance, an amount that would generate an IRR for the purchasers of 11.75%; (5) if the payment is made thereafter but prior to maturity, an amount that would generate an IRR for the purchasers of 11.25%; and (6) if the payment is made at maturity, an amount that would generate an IRR for the purchasers of 10.0%.</w:t>
      </w:r>
    </w:p>
    <w:p>
      <w:pPr>
        <w:spacing w:after="0" w:line="89"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Beginning with the fiscal quarter ended March 31, 2025, excluding any fiscal quarter in which our aggregate cash and cash equivalents is greater than 1.1 times the aggregate principal amount of the notes issued under the Note Purchase Agreement, we are required to maintain trailing six-month net revenue based on a schedule that gradually increases up to $120.0 million after the year ending December 31, 2026, and a trailing six-month gross margin (as defined in the Note Purchase Agreement) of not less than 30%. As of December 31, 2024, we were in compliance with all financial covenants in the agreement. The Note Purchase Agreement also contains a revenue participation provision, under which, for any fiscal quarter, 0.01% of net revenue for such fiscal quarter (up to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in the preceding paragraph. Beginning with the fiscal year beginning January 1, 2025, we are required to make revenue participation payments under the Note Purchase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Years ended December 31,</w:t>
            </w:r>
          </w:p>
        </w:tc>
        <w:tc>
          <w:tcPr>
            <w:tcW w:w="180" w:type="dxa"/>
            <w:vAlign w:val="bottom"/>
          </w:tcPr>
          <w:p>
            <w:pPr>
              <w:spacing w:after="0"/>
              <w:rPr>
                <w:sz w:val="13"/>
                <w:szCs w:val="13"/>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666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00" w:type="dxa"/>
            <w:vAlign w:val="bottom"/>
            <w:tcBorders>
              <w:top w:val="single" w:sz="8" w:color="auto"/>
              <w:bottom w:val="single" w:sz="8" w:color="auto"/>
            </w:tcBorders>
          </w:tcPr>
          <w:p>
            <w:pPr>
              <w:jc w:val="right"/>
              <w:ind w:right="213"/>
              <w:spacing w:after="0" w:line="138" w:lineRule="exact"/>
              <w:rPr>
                <w:sz w:val="20"/>
                <w:szCs w:val="20"/>
                <w:color w:val="auto"/>
              </w:rPr>
            </w:pPr>
            <w:r>
              <w:rPr>
                <w:rFonts w:ascii="Arial" w:cs="Arial" w:eastAsia="Arial" w:hAnsi="Arial"/>
                <w:sz w:val="13"/>
                <w:szCs w:val="13"/>
                <w:b w:val="1"/>
                <w:bCs w:val="1"/>
                <w:color w:val="auto"/>
                <w:w w:val="88"/>
              </w:rPr>
              <w:t>     2023</w:t>
            </w: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2"/>
              </w:rPr>
              <w:t>     2024</w:t>
            </w:r>
          </w:p>
        </w:tc>
        <w:tc>
          <w:tcPr>
            <w:tcW w:w="52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840" w:type="dxa"/>
            <w:vAlign w:val="bottom"/>
            <w:tcBorders>
              <w:top w:val="single" w:sz="8" w:color="auto"/>
              <w:bottom w:val="single" w:sz="8" w:color="auto"/>
            </w:tcBorders>
          </w:tcPr>
          <w:p>
            <w:pPr>
              <w:jc w:val="right"/>
              <w:ind w:right="233"/>
              <w:spacing w:after="0" w:line="138" w:lineRule="exact"/>
              <w:rPr>
                <w:sz w:val="20"/>
                <w:szCs w:val="20"/>
                <w:color w:val="auto"/>
              </w:rPr>
            </w:pPr>
            <w:r>
              <w:rPr>
                <w:rFonts w:ascii="Arial" w:cs="Arial" w:eastAsia="Arial" w:hAnsi="Arial"/>
                <w:sz w:val="13"/>
                <w:szCs w:val="13"/>
                <w:b w:val="1"/>
                <w:bCs w:val="1"/>
                <w:color w:val="auto"/>
                <w:w w:val="92"/>
              </w:rPr>
              <w:t>     2024</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5"/>
              </w:rPr>
              <w:t>     2025</w:t>
            </w:r>
          </w:p>
        </w:tc>
        <w:tc>
          <w:tcPr>
            <w:tcW w:w="100" w:type="dxa"/>
            <w:vAlign w:val="bottom"/>
            <w:tcBorders>
              <w:bottom w:val="single" w:sz="8" w:color="auto"/>
            </w:tcBorders>
          </w:tcPr>
          <w:p>
            <w:pPr>
              <w:spacing w:after="0"/>
              <w:rPr>
                <w:sz w:val="11"/>
                <w:szCs w:val="11"/>
                <w:color w:val="auto"/>
              </w:rPr>
            </w:pPr>
          </w:p>
        </w:tc>
      </w:tr>
      <w:tr>
        <w:trPr>
          <w:trHeight w:val="148"/>
        </w:trPr>
        <w:tc>
          <w:tcPr>
            <w:tcW w:w="666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Net cash provided by (used in) operating activities</w:t>
            </w:r>
          </w:p>
        </w:tc>
        <w:tc>
          <w:tcPr>
            <w:tcW w:w="200" w:type="dxa"/>
            <w:vAlign w:val="bottom"/>
            <w:shd w:val="clear" w:color="auto" w:fill="E5E5E5"/>
          </w:tcPr>
          <w:p>
            <w:pPr>
              <w:jc w:val="right"/>
              <w:ind w:right="54"/>
              <w:spacing w:after="0" w:line="148"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E5E5E5"/>
          </w:tcPr>
          <w:p>
            <w:pPr>
              <w:jc w:val="right"/>
              <w:ind w:right="173"/>
              <w:spacing w:after="0" w:line="148" w:lineRule="exact"/>
              <w:rPr>
                <w:sz w:val="20"/>
                <w:szCs w:val="20"/>
                <w:color w:val="auto"/>
              </w:rPr>
            </w:pPr>
            <w:r>
              <w:rPr>
                <w:rFonts w:ascii="Arial" w:cs="Arial" w:eastAsia="Arial" w:hAnsi="Arial"/>
                <w:sz w:val="14"/>
                <w:szCs w:val="14"/>
                <w:color w:val="auto"/>
              </w:rPr>
              <w:t>(53,672)</w:t>
            </w:r>
          </w:p>
        </w:tc>
        <w:tc>
          <w:tcPr>
            <w:tcW w:w="460" w:type="dxa"/>
            <w:vAlign w:val="bottom"/>
            <w:shd w:val="clear" w:color="auto" w:fill="E5E5E5"/>
          </w:tcPr>
          <w:p>
            <w:pPr>
              <w:jc w:val="right"/>
              <w:ind w:right="74"/>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5E5E5"/>
          </w:tcPr>
          <w:p>
            <w:pPr>
              <w:jc w:val="right"/>
              <w:ind w:right="480"/>
              <w:spacing w:after="0" w:line="148" w:lineRule="exact"/>
              <w:rPr>
                <w:sz w:val="20"/>
                <w:szCs w:val="20"/>
                <w:color w:val="auto"/>
              </w:rPr>
            </w:pPr>
            <w:r>
              <w:rPr>
                <w:rFonts w:ascii="Arial" w:cs="Arial" w:eastAsia="Arial" w:hAnsi="Arial"/>
                <w:sz w:val="14"/>
                <w:szCs w:val="14"/>
                <w:color w:val="auto"/>
              </w:rPr>
              <w:t>(41,375)</w:t>
            </w:r>
          </w:p>
        </w:tc>
        <w:tc>
          <w:tcPr>
            <w:tcW w:w="180" w:type="dxa"/>
            <w:vAlign w:val="bottom"/>
            <w:shd w:val="clear" w:color="auto" w:fill="E5E5E5"/>
          </w:tcPr>
          <w:p>
            <w:pPr>
              <w:jc w:val="right"/>
              <w:ind w:right="34"/>
              <w:spacing w:after="0" w:line="148"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E5E5E5"/>
          </w:tcPr>
          <w:p>
            <w:pPr>
              <w:jc w:val="right"/>
              <w:ind w:right="193"/>
              <w:spacing w:after="0" w:line="148" w:lineRule="exact"/>
              <w:rPr>
                <w:sz w:val="20"/>
                <w:szCs w:val="20"/>
                <w:color w:val="auto"/>
              </w:rPr>
            </w:pPr>
            <w:r>
              <w:rPr>
                <w:rFonts w:ascii="Arial" w:cs="Arial" w:eastAsia="Arial" w:hAnsi="Arial"/>
                <w:sz w:val="14"/>
                <w:szCs w:val="14"/>
                <w:color w:val="auto"/>
              </w:rPr>
              <w:t>(23,167)</w:t>
            </w:r>
          </w:p>
        </w:tc>
        <w:tc>
          <w:tcPr>
            <w:tcW w:w="480" w:type="dxa"/>
            <w:vAlign w:val="bottom"/>
            <w:shd w:val="clear" w:color="auto" w:fill="E5E5E5"/>
          </w:tcPr>
          <w:p>
            <w:pPr>
              <w:jc w:val="right"/>
              <w:ind w:right="94"/>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ind w:right="100"/>
              <w:spacing w:after="0" w:line="148" w:lineRule="exact"/>
              <w:rPr>
                <w:sz w:val="20"/>
                <w:szCs w:val="20"/>
                <w:color w:val="auto"/>
              </w:rPr>
            </w:pPr>
            <w:r>
              <w:rPr>
                <w:rFonts w:ascii="Arial" w:cs="Arial" w:eastAsia="Arial" w:hAnsi="Arial"/>
                <w:sz w:val="14"/>
                <w:szCs w:val="14"/>
                <w:color w:val="auto"/>
              </w:rPr>
              <w:t>3,807</w:t>
            </w:r>
          </w:p>
        </w:tc>
      </w:tr>
      <w:tr>
        <w:trPr>
          <w:trHeight w:val="157"/>
        </w:trPr>
        <w:tc>
          <w:tcPr>
            <w:tcW w:w="6660" w:type="dxa"/>
            <w:vAlign w:val="bottom"/>
          </w:tcPr>
          <w:p>
            <w:pPr>
              <w:spacing w:after="0" w:line="157"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Pr>
          <w:p>
            <w:pPr>
              <w:spacing w:after="0"/>
              <w:rPr>
                <w:sz w:val="13"/>
                <w:szCs w:val="13"/>
                <w:color w:val="auto"/>
              </w:rPr>
            </w:pPr>
          </w:p>
        </w:tc>
        <w:tc>
          <w:tcPr>
            <w:tcW w:w="800" w:type="dxa"/>
            <w:vAlign w:val="bottom"/>
          </w:tcPr>
          <w:p>
            <w:pPr>
              <w:jc w:val="right"/>
              <w:ind w:right="213"/>
              <w:spacing w:after="0" w:line="157" w:lineRule="exact"/>
              <w:rPr>
                <w:sz w:val="20"/>
                <w:szCs w:val="20"/>
                <w:color w:val="auto"/>
              </w:rPr>
            </w:pPr>
            <w:r>
              <w:rPr>
                <w:rFonts w:ascii="Arial" w:cs="Arial" w:eastAsia="Arial" w:hAnsi="Arial"/>
                <w:sz w:val="14"/>
                <w:szCs w:val="14"/>
                <w:color w:val="auto"/>
              </w:rPr>
              <w:t>82,838</w:t>
            </w:r>
          </w:p>
        </w:tc>
        <w:tc>
          <w:tcPr>
            <w:tcW w:w="460" w:type="dxa"/>
            <w:vAlign w:val="bottom"/>
          </w:tcPr>
          <w:p>
            <w:pPr>
              <w:spacing w:after="0"/>
              <w:rPr>
                <w:sz w:val="13"/>
                <w:szCs w:val="13"/>
                <w:color w:val="auto"/>
              </w:rPr>
            </w:pPr>
          </w:p>
        </w:tc>
        <w:tc>
          <w:tcPr>
            <w:tcW w:w="106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(5,433)</w:t>
            </w:r>
          </w:p>
        </w:tc>
        <w:tc>
          <w:tcPr>
            <w:tcW w:w="180" w:type="dxa"/>
            <w:vAlign w:val="bottom"/>
          </w:tcPr>
          <w:p>
            <w:pPr>
              <w:spacing w:after="0"/>
              <w:rPr>
                <w:sz w:val="13"/>
                <w:szCs w:val="13"/>
                <w:color w:val="auto"/>
              </w:rPr>
            </w:pPr>
          </w:p>
        </w:tc>
        <w:tc>
          <w:tcPr>
            <w:tcW w:w="840" w:type="dxa"/>
            <w:vAlign w:val="bottom"/>
          </w:tcPr>
          <w:p>
            <w:pPr>
              <w:jc w:val="right"/>
              <w:ind w:right="193"/>
              <w:spacing w:after="0" w:line="157" w:lineRule="exact"/>
              <w:rPr>
                <w:sz w:val="20"/>
                <w:szCs w:val="20"/>
                <w:color w:val="auto"/>
              </w:rPr>
            </w:pPr>
            <w:r>
              <w:rPr>
                <w:rFonts w:ascii="Arial" w:cs="Arial" w:eastAsia="Arial" w:hAnsi="Arial"/>
                <w:sz w:val="14"/>
                <w:szCs w:val="14"/>
                <w:color w:val="auto"/>
              </w:rPr>
              <w:t>(1,780)</w:t>
            </w:r>
          </w:p>
        </w:tc>
        <w:tc>
          <w:tcPr>
            <w:tcW w:w="48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(5,221)</w:t>
            </w:r>
          </w:p>
        </w:tc>
      </w:tr>
      <w:tr>
        <w:trPr>
          <w:trHeight w:val="157"/>
        </w:trPr>
        <w:tc>
          <w:tcPr>
            <w:tcW w:w="666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213"/>
              <w:spacing w:after="0" w:line="157" w:lineRule="exact"/>
              <w:rPr>
                <w:sz w:val="20"/>
                <w:szCs w:val="20"/>
                <w:color w:val="auto"/>
              </w:rPr>
            </w:pPr>
            <w:r>
              <w:rPr>
                <w:rFonts w:ascii="Arial" w:cs="Arial" w:eastAsia="Arial" w:hAnsi="Arial"/>
                <w:sz w:val="14"/>
                <w:szCs w:val="14"/>
                <w:color w:val="auto"/>
              </w:rPr>
              <w:t>13,405</w:t>
            </w:r>
          </w:p>
        </w:tc>
        <w:tc>
          <w:tcPr>
            <w:tcW w:w="460" w:type="dxa"/>
            <w:vAlign w:val="bottom"/>
            <w:shd w:val="clear" w:color="auto" w:fill="E5E5E5"/>
          </w:tcPr>
          <w:p>
            <w:pPr>
              <w:spacing w:after="0"/>
              <w:rPr>
                <w:sz w:val="13"/>
                <w:szCs w:val="13"/>
                <w:color w:val="auto"/>
              </w:rPr>
            </w:pPr>
          </w:p>
        </w:tc>
        <w:tc>
          <w:tcPr>
            <w:tcW w:w="1060" w:type="dxa"/>
            <w:vAlign w:val="bottom"/>
            <w:gridSpan w:val="2"/>
            <w:shd w:val="clear" w:color="auto" w:fill="E5E5E5"/>
          </w:tcPr>
          <w:p>
            <w:pPr>
              <w:jc w:val="right"/>
              <w:ind w:right="520"/>
              <w:spacing w:after="0" w:line="157" w:lineRule="exact"/>
              <w:rPr>
                <w:sz w:val="20"/>
                <w:szCs w:val="20"/>
                <w:color w:val="auto"/>
              </w:rPr>
            </w:pPr>
            <w:r>
              <w:rPr>
                <w:rFonts w:ascii="Arial" w:cs="Arial" w:eastAsia="Arial" w:hAnsi="Arial"/>
                <w:sz w:val="14"/>
                <w:szCs w:val="14"/>
                <w:color w:val="auto"/>
              </w:rPr>
              <w:t>141,017</w:t>
            </w:r>
          </w:p>
        </w:tc>
        <w:tc>
          <w:tcPr>
            <w:tcW w:w="180" w:type="dxa"/>
            <w:vAlign w:val="bottom"/>
            <w:shd w:val="clear" w:color="auto" w:fill="E5E5E5"/>
          </w:tcPr>
          <w:p>
            <w:pPr>
              <w:spacing w:after="0"/>
              <w:rPr>
                <w:sz w:val="13"/>
                <w:szCs w:val="13"/>
                <w:color w:val="auto"/>
              </w:rPr>
            </w:pPr>
          </w:p>
        </w:tc>
        <w:tc>
          <w:tcPr>
            <w:tcW w:w="840" w:type="dxa"/>
            <w:vAlign w:val="bottom"/>
            <w:shd w:val="clear" w:color="auto" w:fill="E5E5E5"/>
          </w:tcPr>
          <w:p>
            <w:pPr>
              <w:jc w:val="right"/>
              <w:ind w:right="233"/>
              <w:spacing w:after="0" w:line="157" w:lineRule="exact"/>
              <w:rPr>
                <w:sz w:val="20"/>
                <w:szCs w:val="20"/>
                <w:color w:val="auto"/>
              </w:rPr>
            </w:pPr>
            <w:r>
              <w:rPr>
                <w:rFonts w:ascii="Arial" w:cs="Arial" w:eastAsia="Arial" w:hAnsi="Arial"/>
                <w:sz w:val="14"/>
                <w:szCs w:val="14"/>
                <w:color w:val="auto"/>
              </w:rPr>
              <w:t>128,941</w:t>
            </w:r>
          </w:p>
        </w:tc>
        <w:tc>
          <w:tcPr>
            <w:tcW w:w="48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(1,105)</w:t>
            </w:r>
          </w:p>
        </w:tc>
      </w:tr>
      <w:tr>
        <w:trPr>
          <w:trHeight w:val="157"/>
        </w:trPr>
        <w:tc>
          <w:tcPr>
            <w:tcW w:w="6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Net cash used in operating activities for the six months ended June 30, 2024 of $23.2 million included net loss of $15.2 million, a $9.9 million decrease in accounts receivable due to timing of customer payments, a $3.2 million decrease in other non-current assets, a $1.8 million decrease in operating lease liabilities and a $0.6 million decrease in deferred revenue. These cash flow uses were partially offset by increases of $ 2.7 million in accrued compensation and employee benefits, $1.6 million in accrued expenses and other current liabilities, $0.6 million in accrued commissions, all of which increased due to the growth of the business and the timing of payment, as well as non-cash charges of $2.5 million primarily consisting of stock-based compensation, depreciation and amortization and change in fair value of convertible notes, partially offset by a gain on extinguishment of debt.</w:t>
      </w:r>
    </w:p>
    <w:p>
      <w:pPr>
        <w:spacing w:after="0" w:line="77"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Net cash provided by operating activities for the six months ended June 30, 2025 of $3.8 million included increases of $4.2 million in accrued compensation and employee benefits, $3.3 million in accounts payable, and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38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$2.4 million in accrued expenses and other current liabilities, all of which increased due to the timing of payment, as well as non-cash charges of $11.7 million primarily consisting of stock-based compensation, depreciation and amortization and change in fair value of term loan. These cash flows were partially offset by net loss of $4.2 million, decrease in accounts receivable of $5.7 million due to timing of customer payments, a decrease in inventory of $5.0 million due to build up for anticipated demand, a decrease of $2.1 million of related to operating lease liabilities and a decrease of deferred revenue of $0.6 million.</w:t>
      </w:r>
    </w:p>
    <w:p>
      <w:pPr>
        <w:spacing w:after="0" w:line="7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Net cash used in operating activities for the year ended December 31, 2023 of $53.7 million included net loss of $82.7 million, a $2.6 million decrease in accounts receivable due to higher product sales and timing of customer payments, and a $1.4 million decrease in inventory due to build up for anticipated demand. These cash flow uses were partially offset by an increase of $3.0 million in deferred revenue related to our strategic partnership agreement, $2.2 million in prepaid expenses and other non-current assets due to timing of payment, $2.0 million in accounts payable and other accrued expenses also due to timing of payment, and non-cash charges of $25.2 million primarily consisting of change in fair value of convertible notes, depreciation and stock-based compensation.</w:t>
      </w:r>
    </w:p>
    <w:p>
      <w:pPr>
        <w:spacing w:after="0" w:line="87"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Net cash used in operating activities for the year ended December 31, 2024 of $41.4 million included net loss of $41.6 million, a $15.6 million decrease in accounts receivable due to higher product sales and timing of customer payments, a $4.0 million decrease in other non-current assets and prepaid expenses, and a $1.5 million decrease in inventory due to build up for anticipated demand. These cash flow uses were partially offset by an increase of $6.8 million in accrued compensation, commissions and other employee benefits due to increased employee headcount and increased sales which increased commissions and bonuses, $3.1 million in accounts payable and other accrued expenses due to increased testing volumes and timing of payments and</w:t>
      </w:r>
    </w:p>
    <w:p>
      <w:pPr>
        <w:spacing w:after="0" w:line="3" w:lineRule="exact"/>
        <w:rPr>
          <w:sz w:val="20"/>
          <w:szCs w:val="20"/>
          <w:color w:val="auto"/>
        </w:rPr>
      </w:pPr>
    </w:p>
    <w:p>
      <w:pPr>
        <w:jc w:val="both"/>
        <w:ind w:right="60"/>
        <w:spacing w:after="0" w:line="248" w:lineRule="auto"/>
        <w:rPr>
          <w:sz w:val="20"/>
          <w:szCs w:val="20"/>
          <w:color w:val="auto"/>
        </w:rPr>
      </w:pPr>
      <w:r>
        <w:rPr>
          <w:rFonts w:ascii="Arial" w:cs="Arial" w:eastAsia="Arial" w:hAnsi="Arial"/>
          <w:sz w:val="14"/>
          <w:szCs w:val="14"/>
          <w:color w:val="auto"/>
        </w:rPr>
        <w:t>non-cash charges of $17.0 million primarily consisting of stock-based compensation, depreciation and amortization, amortization of operating right-of-use assets, change in fair value of 2022 Convertible Notes which were partially offset by the gain on extinguishment of debt.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for the six months ended June 30, 2024 of $1.8 million was the result of $1.8 million in purchases of property and equipment.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for the six months ended June 30, 2025 of $5.2 million was the result of $5.2 million in purchases of property and equipment.</w:t>
      </w:r>
    </w:p>
    <w:p>
      <w:pPr>
        <w:spacing w:after="0" w:line="112"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Net cash provided by investing activities for the year ended December 31, 2023 of $82.8 million was the result of $90.0 million proceeds from maturities of certificates of deposit, partially offset by $6.2 million in purchases of property and equipment and $1.0 million deposits paid for financing leases.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for the year ended December 31, 2024 of $5.4 million was the result of $5.4 million in purchases of property and equipment.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10" w:lineRule="exact"/>
        <w:rPr>
          <w:sz w:val="20"/>
          <w:szCs w:val="20"/>
          <w:color w:val="auto"/>
        </w:rPr>
      </w:pPr>
    </w:p>
    <w:p>
      <w:pPr>
        <w:jc w:val="both"/>
        <w:ind w:right="80"/>
        <w:spacing w:after="0" w:line="252" w:lineRule="auto"/>
        <w:rPr>
          <w:sz w:val="20"/>
          <w:szCs w:val="20"/>
          <w:color w:val="auto"/>
        </w:rPr>
      </w:pPr>
      <w:r>
        <w:rPr>
          <w:rFonts w:ascii="Arial" w:cs="Arial" w:eastAsia="Arial" w:hAnsi="Arial"/>
          <w:sz w:val="14"/>
          <w:szCs w:val="14"/>
          <w:color w:val="auto"/>
        </w:rPr>
        <w:t>Net cash provided by financing activities for the six months ended June 30, 2024 of $128.9 million was the result of $130.0 million in proceeds from Series D redeemable convertible preferred stock and $0.6 million in proceeds from exercise of stock options, partially offset by $1.2 million principal payments on finance lease liabilities and a $0.5 million repurchase of common stock outstanding.</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Net cash used in financing activities for the six months ended June 30, 2025 of $1.1 million was the result of $1.0 million principal payments on finance lease liabilities and $0.6 million in payments for deferred offering costs related to this offering, partially offset by $0.5 million in proceeds from exercise of stock options.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60"/>
          </w:cols>
          <w:pgMar w:left="300" w:top="38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140"/>
        <w:spacing w:after="0" w:line="269" w:lineRule="auto"/>
        <w:rPr>
          <w:sz w:val="20"/>
          <w:szCs w:val="20"/>
          <w:color w:val="auto"/>
        </w:rPr>
      </w:pPr>
      <w:r>
        <w:rPr>
          <w:rFonts w:ascii="Arial" w:cs="Arial" w:eastAsia="Arial" w:hAnsi="Arial"/>
          <w:sz w:val="14"/>
          <w:szCs w:val="14"/>
          <w:color w:val="auto"/>
        </w:rPr>
        <w:t>Net cash provided by financing activities for the year ended December 31, 2023 of $13.4 million was the result of $15.0 million in proceeds from issuance of debt and $0.4 million in proceeds from exercise of stock options, partially offset by $2.1 million of principal payments on finance lease liabilities.</w:t>
      </w:r>
    </w:p>
    <w:p>
      <w:pPr>
        <w:spacing w:after="0" w:line="59" w:lineRule="exact"/>
        <w:rPr>
          <w:sz w:val="20"/>
          <w:szCs w:val="20"/>
          <w:color w:val="auto"/>
        </w:rPr>
      </w:pPr>
    </w:p>
    <w:p>
      <w:pPr>
        <w:jc w:val="both"/>
        <w:ind w:right="140"/>
        <w:spacing w:after="0" w:line="252" w:lineRule="auto"/>
        <w:rPr>
          <w:sz w:val="20"/>
          <w:szCs w:val="20"/>
          <w:color w:val="auto"/>
        </w:rPr>
      </w:pPr>
      <w:r>
        <w:rPr>
          <w:rFonts w:ascii="Arial" w:cs="Arial" w:eastAsia="Arial" w:hAnsi="Arial"/>
          <w:sz w:val="14"/>
          <w:szCs w:val="14"/>
          <w:color w:val="auto"/>
        </w:rPr>
        <w:t>Net cash provided by financing activities for the year ended December 31, 2024 of $141.0 million was the result of $130.0 million in proceeds from Series D redeemable convertible preferred stock, $49.8 million in net proceeds from issuance of debt, $1.1 million in proceeds from exercise of stock options, partially offset by $36.7 million repayment of debt upon extinguishment and the related exit fee, $2.4 million principal payments on finance lease liabilities and $0.5 million repurchase of common stock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05"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i w:val="1"/>
          <w:iCs w:val="1"/>
          <w:color w:val="auto"/>
        </w:rPr>
        <w:t>Operating lease commitments</w:t>
      </w:r>
      <w:r>
        <w:rPr>
          <w:rFonts w:ascii="Arial" w:cs="Arial" w:eastAsia="Arial" w:hAnsi="Arial"/>
          <w:sz w:val="14"/>
          <w:szCs w:val="14"/>
          <w:color w:val="auto"/>
        </w:rPr>
        <w:t>. Our operating lease commitments primarily include our labs and corporate offices. As June 30, 2025, we had fixed lease payment obligations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$72.2 million, with $9.0 million to be paid within 12 months and the remainder thereafter.</w:t>
      </w:r>
    </w:p>
    <w:p>
      <w:pPr>
        <w:spacing w:after="0" w:line="69" w:lineRule="exact"/>
        <w:rPr>
          <w:sz w:val="20"/>
          <w:szCs w:val="20"/>
          <w:color w:val="auto"/>
        </w:rPr>
      </w:pPr>
    </w:p>
    <w:p>
      <w:pPr>
        <w:ind w:right="620"/>
        <w:spacing w:after="0" w:line="269" w:lineRule="auto"/>
        <w:rPr>
          <w:sz w:val="20"/>
          <w:szCs w:val="20"/>
          <w:color w:val="auto"/>
        </w:rPr>
      </w:pPr>
      <w:r>
        <w:rPr>
          <w:rFonts w:ascii="Arial" w:cs="Arial" w:eastAsia="Arial" w:hAnsi="Arial"/>
          <w:sz w:val="14"/>
          <w:szCs w:val="14"/>
          <w:i w:val="1"/>
          <w:iCs w:val="1"/>
          <w:color w:val="auto"/>
        </w:rPr>
        <w:t>Finance lease commitments</w:t>
      </w:r>
      <w:r>
        <w:rPr>
          <w:rFonts w:ascii="Arial" w:cs="Arial" w:eastAsia="Arial" w:hAnsi="Arial"/>
          <w:sz w:val="14"/>
          <w:szCs w:val="14"/>
          <w:color w:val="auto"/>
        </w:rPr>
        <w:t>. Our finance lease commitments primarily relate to equipment used in our labs. As of June 30, 2025, we had fixed lease payment obligations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$1.7 million, with $1.0 million to be paid within 12 months and the remainder thereafter.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5"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Quantitative and qualitative disclosures about market risk</w:t>
      </w:r>
    </w:p>
    <w:p>
      <w:pPr>
        <w:spacing w:after="0" w:line="110" w:lineRule="exact"/>
        <w:rPr>
          <w:sz w:val="20"/>
          <w:szCs w:val="20"/>
          <w:color w:val="auto"/>
        </w:rPr>
      </w:pPr>
    </w:p>
    <w:p>
      <w:pPr>
        <w:ind w:right="480"/>
        <w:spacing w:after="0" w:line="269" w:lineRule="auto"/>
        <w:rPr>
          <w:sz w:val="20"/>
          <w:szCs w:val="20"/>
          <w:color w:val="auto"/>
        </w:rPr>
      </w:pPr>
      <w:r>
        <w:rPr>
          <w:rFonts w:ascii="Arial" w:cs="Arial" w:eastAsia="Arial" w:hAnsi="Arial"/>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inflation and foreign currency exchange rates.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We are exposed to market risk related to changes in interest rates. We had cash and cash equivalents of $97.3 million, $191.5 million and $189.0 million as of December 31, 2023 and 2024 and June 30, 2025, respectively. Our cash and cash equivalents consist of cash held in sweep accounts, checking accounts, and lock-box accounts. The cash and cash equivalents are primarily for working capital purposes. Such interest earning instruments carry a degree of interest rate risk. Our financing arrangement with Western Alliance Bank subjected us to variable amount of interest on the principal balance outstanding, the debt was extinguished in 2024. Our debt facility with Oberland Capital is at a fixed rate of interest. The effect of a hypothetical 10% change in interest rates would not have had a material impact on our financial statements for the years ended December 31, 2023 and 2024 or the six months ended June 30, 2025.</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10" w:lineRule="exact"/>
        <w:rPr>
          <w:sz w:val="20"/>
          <w:szCs w:val="20"/>
          <w:color w:val="auto"/>
        </w:rPr>
      </w:pPr>
    </w:p>
    <w:p>
      <w:pPr>
        <w:ind w:right="240"/>
        <w:spacing w:after="0" w:line="269" w:lineRule="auto"/>
        <w:rPr>
          <w:sz w:val="20"/>
          <w:szCs w:val="20"/>
          <w:color w:val="auto"/>
        </w:rPr>
      </w:pPr>
      <w:r>
        <w:rPr>
          <w:rFonts w:ascii="Arial" w:cs="Arial" w:eastAsia="Arial" w:hAnsi="Arial"/>
          <w:sz w:val="14"/>
          <w:szCs w:val="14"/>
          <w:color w:val="auto"/>
        </w:rPr>
        <w:t>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inflation rates may also negatively affect</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40"/>
          </w:cols>
          <w:pgMar w:left="300" w:top="385"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demand for our product offerings, and our ability to raise capital and cashflow. Our inability or failure to fully offset any such higher costs could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fluctuations</w:t>
      </w:r>
    </w:p>
    <w:p>
      <w:pPr>
        <w:spacing w:after="0" w:line="1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operations are currently conducted almost entirely in the United States as international markets contribute less than 1% of our revenue. If we choose to expand internationally, our results of operations and cash flows may become subject to fluctuations due to changes in foreign currency exchange rates. In periods when the U.S. dollar declines in value as compared to the foreign currencies in which we incur expenses, our foreign currency-based expenses will increase when translated into U.S. dollars. In addition, future fluctuations in the value of U.S. dollar may affect the price at which we sell our tests outside the United States. To date, our foreign currency risk has been minimal.</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estimates</w:t>
      </w:r>
    </w:p>
    <w:p>
      <w:pPr>
        <w:spacing w:after="0" w:line="11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We prepare our financial statements in conformity with GAAP. The preparation of financial statements in conformity with GAAP required certain estimates and assumptions to be made that may affect our financial statements. Accounting policies that have a significant impact on our results are described in Note 2 to our financial statements included elsewhere in this prospectus.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w:t>
      </w:r>
    </w:p>
    <w:p>
      <w:pPr>
        <w:spacing w:after="0" w:line="80" w:lineRule="exact"/>
        <w:rPr>
          <w:sz w:val="20"/>
          <w:szCs w:val="20"/>
          <w:color w:val="auto"/>
        </w:rPr>
      </w:pPr>
    </w:p>
    <w:p>
      <w:pPr>
        <w:ind w:right="580"/>
        <w:spacing w:after="0" w:line="269" w:lineRule="auto"/>
        <w:rPr>
          <w:sz w:val="20"/>
          <w:szCs w:val="20"/>
          <w:color w:val="auto"/>
        </w:rPr>
      </w:pPr>
      <w:r>
        <w:rPr>
          <w:rFonts w:ascii="Arial" w:cs="Arial" w:eastAsia="Arial" w:hAnsi="Arial"/>
          <w:sz w:val="14"/>
          <w:szCs w:val="14"/>
          <w:color w:val="auto"/>
        </w:rPr>
        <w:t>We continue to monitor and assess our critical estimates in light of developments, and as new events occur and additional information is obtained, our estimates may change materially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0"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We generate revenue primarily from our prenatal and oncology testing services, which are referred to as testing services or test results. We consider the patient as our customer, that requests our test service through their physician. Test results are the single performance obligation being provided to customers. Testing service revenue is recognized at a point in time when test results are delivered to the ordering physician. We generally bill an insurance carrier, Medicaid or a patient or a combination of both upon delivery of test results. test results. The amount of revenue recognized reflects the consideration we expect to be entitled to receive in exchange for the test results.</w:t>
      </w:r>
    </w:p>
    <w:p>
      <w:pPr>
        <w:spacing w:after="0" w:line="74"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We recognize revenue upon transfer of control of promised goods and services in an amount that reflects the consideration we expect to be entitled to receive in exchange for those goods and services. Under ASC 606, Revenue from Contracts with Customers (ASC 606), we apply the following five-step approach: (1) identify the contract with a customer,</w:t>
      </w:r>
    </w:p>
    <w:p>
      <w:pPr>
        <w:ind w:left="220" w:hanging="216"/>
        <w:spacing w:after="0" w:line="234"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identify the performance obligations in the contract, (3) determine the transaction price, (4) allocate the transaction price to the performance obligations in the contract, and</w:t>
      </w:r>
    </w:p>
    <w:p>
      <w:pPr>
        <w:ind w:left="220" w:hanging="216"/>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recognize revenue when, or as, a performance obligation is satisfied.</w:t>
      </w:r>
    </w:p>
    <w:p>
      <w:pPr>
        <w:spacing w:after="0" w:line="98"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We recognize revenue applying estimated consideration to be received for the performance obligations delivered to customers and their representatives. In accordance with ASC 606, we apply the constraint on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38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variable consideration and include such amounts in the transaction price only to the extent that it is probable that a significant reversal of cumulative revenue will not occur when the associated uncertainty is resolved.</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apply the expected value method of estimating variable consideration. The total consideration we expect to collect in exchange for our products is an estimate and is largely variable in nature. Consideration includes reimbursement from both patients and insurance carriers. We establish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We also consider hindsight, where applicable, in estimates established for variable consideration and update those estimates when actual experience supports doing so. In establishing variable consideration, we consider payors with similar reimbursement characteristics together. We monitor cash collections against the estimated variable consideration over the expected cash collection period and any difference is recognized as an adjustment to estimated revenues after such estimated cash collection period has closed.</w:t>
      </w:r>
    </w:p>
    <w:p>
      <w:pPr>
        <w:spacing w:after="0" w:line="92"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enter into contracts with third-party payors including insurance carriers and Medicaid to set the pricing for tests provided to patients. Due to the nature of these third-party payor contract arrangements, the total consideration we expect to collect for test results is variable as they are dependent on the terms negotiated with the third-party payor. The predominance of our revenue is derived from payments by third-party insurance carriers. Additionally, we entered into an agreement with Johnson &amp; Johnson in 2023 to utilize our testing capabilities as part of a project to perform a clinical trial. This arrangement involved the performance of testing and related regulatory consulting services. Revenue for this contract is primarily recognized proportionally as services are performed. Revenue derived from this contract is not material to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measure stock-based compensation expense for all stock-based payment awards based on the estimated fair value of the awards on the date of grant. The fair value of each stock option granted is estimated using the Black-Scholes Model. The model requires us to make assumptions and judgments about the variable inputs used in the Black-Scholes Model, including expected term, the volatility of our common stock, and assumed risk-free interest rate. Stock-based compensation is recognized net of actual forfeitures on a straight-line basis over the requisite service period of the awards. We account for forfeitures as they occur.</w:t>
      </w:r>
    </w:p>
    <w:p>
      <w:pPr>
        <w:spacing w:after="0" w:line="74"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have granted awards to employees that vest based on continued service (service conditions). Stock-based compensation expense is recognized on a straight-line basis over the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9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w:t>
      </w:r>
    </w:p>
    <w:p>
      <w:pPr>
        <w:spacing w:after="0" w:line="87" w:lineRule="exact"/>
        <w:rPr>
          <w:sz w:val="20"/>
          <w:szCs w:val="20"/>
          <w:color w:val="auto"/>
        </w:rPr>
      </w:pPr>
    </w:p>
    <w:p>
      <w:pPr>
        <w:ind w:left="5520" w:right="4620" w:hanging="5516"/>
        <w:spacing w:after="0" w:line="441" w:lineRule="auto"/>
        <w:tabs>
          <w:tab w:leader="none" w:pos="20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results of contemporaneous valuations performed at periodic intervals by a third-party valuation firm; 123</w:t>
      </w:r>
    </w:p>
    <w:p>
      <w:pPr>
        <w:sectPr>
          <w:pgSz w:w="11900" w:h="16838" w:orient="portrait"/>
          <w:cols w:equalWidth="0" w:num="1">
            <w:col w:w="11260"/>
          </w:cols>
          <w:pgMar w:left="300" w:top="38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prices, rights, preferences, and privileges of our redeemable convertible preferred stock relative to those of our common stock;</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prices of our redeemable convertible preferred stock and common stock sold to investors in arms-length transactions;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actual operating and financial performance and estimated trends and prospects for our future performance;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stage of development;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likelihood of achieving a liquidity event, such as an initial public offering, direct listing, or sale of our company, given prevailing market conditions;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lack of marketability involving securities in a private company;</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market performance of comparable publicly traded companies;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U.S. and global capital market conditions.</w:t>
      </w:r>
    </w:p>
    <w:p>
      <w:pPr>
        <w:spacing w:after="0" w:line="101"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the common stock. The OPM is based on the Black-Scholes-Merton option valuation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92"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 involved investors with access to our financial information.</w:t>
      </w:r>
    </w:p>
    <w:p>
      <w:pPr>
        <w:spacing w:after="0" w:line="70"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38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please see Note 1 to our financial statements included elsewhere in this prospectus.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15" w:lineRule="exact"/>
        <w:rPr>
          <w:sz w:val="20"/>
          <w:szCs w:val="20"/>
          <w:color w:val="auto"/>
        </w:rPr>
      </w:pPr>
    </w:p>
    <w:p>
      <w:pPr>
        <w:jc w:val="both"/>
        <w:ind w:right="60"/>
        <w:spacing w:after="0" w:line="246" w:lineRule="auto"/>
        <w:rPr>
          <w:sz w:val="20"/>
          <w:szCs w:val="20"/>
          <w:color w:val="auto"/>
        </w:rPr>
      </w:pPr>
      <w:r>
        <w:rPr>
          <w:rFonts w:ascii="Arial" w:cs="Arial" w:eastAsia="Arial" w:hAnsi="Arial"/>
          <w:sz w:val="14"/>
          <w:szCs w:val="14"/>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until the earlier of the date we (i) qualify for treatment as an emerging growth company or (ii) affirmatively and irrevocably opt out of the extended transition period provided for emerging growth companies.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0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Neither we nor our independent registered public accounting firm were required to, and therefore did not, perform an evaluation of our internal control over financial reporting as of or for any period included in our financial statements, nor any period subsequent in accordance with the provisions of the Sarbanes-Oxley Act.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material weaknesses identified pertained to:</w:t>
      </w:r>
    </w:p>
    <w:p>
      <w:pPr>
        <w:spacing w:after="0" w:line="112" w:lineRule="exact"/>
        <w:rPr>
          <w:sz w:val="20"/>
          <w:szCs w:val="20"/>
          <w:color w:val="auto"/>
        </w:rPr>
      </w:pPr>
    </w:p>
    <w:p>
      <w:pPr>
        <w:ind w:left="220" w:hanging="216"/>
        <w:spacing w:after="0" w:line="246" w:lineRule="auto"/>
        <w:tabs>
          <w:tab w:leader="none" w:pos="2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spacing w:after="0" w:line="84" w:lineRule="exact"/>
        <w:rPr>
          <w:rFonts w:ascii="Arial" w:cs="Arial" w:eastAsia="Arial" w:hAnsi="Arial"/>
          <w:sz w:val="14"/>
          <w:szCs w:val="14"/>
          <w:color w:val="auto"/>
        </w:rPr>
      </w:pPr>
    </w:p>
    <w:p>
      <w:pPr>
        <w:ind w:left="900" w:right="40" w:hanging="445"/>
        <w:spacing w:after="0" w:line="243" w:lineRule="auto"/>
        <w:tabs>
          <w:tab w:leader="none" w:pos="9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 These material weaknesses resulted in immaterial adjustments to the financial statements. Additionally, these material weaknesses could result in a misstatement of account balances or disclosures that would result in a material misstatement to the annual or interim financial statements that would not be prevented or detected.</w:t>
      </w:r>
    </w:p>
    <w:p>
      <w:pPr>
        <w:spacing w:after="0" w:line="87" w:lineRule="exact"/>
        <w:rPr>
          <w:rFonts w:ascii="Arial" w:cs="Arial" w:eastAsia="Arial" w:hAnsi="Arial"/>
          <w:sz w:val="14"/>
          <w:szCs w:val="14"/>
          <w:color w:val="auto"/>
        </w:rPr>
      </w:pPr>
    </w:p>
    <w:p>
      <w:pPr>
        <w:ind w:left="900" w:right="120" w:hanging="445"/>
        <w:spacing w:after="0" w:line="269" w:lineRule="auto"/>
        <w:tabs>
          <w:tab w:leader="none" w:pos="9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We did not design and maintain user access controls to ensure appropriate segregation of duties and to adequately restrict user and privileged access to appropriate personnel in creating and posting journal</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00"/>
          </w:cols>
          <w:pgMar w:left="300" w:top="385"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800" w:right="20"/>
        <w:spacing w:after="0" w:line="269" w:lineRule="auto"/>
        <w:rPr>
          <w:sz w:val="20"/>
          <w:szCs w:val="20"/>
          <w:color w:val="auto"/>
        </w:rPr>
      </w:pPr>
      <w:r>
        <w:rPr>
          <w:rFonts w:ascii="Arial" w:cs="Arial" w:eastAsia="Arial" w:hAnsi="Arial"/>
          <w:sz w:val="14"/>
          <w:szCs w:val="14"/>
          <w:color w:val="auto"/>
        </w:rPr>
        <w:t>entries. This material weakness did not result in a misstatement to the financial statements; however, it could result in a misstatement of account balances or disclosures that would result in a material misstatement to the annual or interim financial statements that would not be prevented or detected.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We have taken certain measures to remediate the material weaknesses described above, including:</w:t>
      </w:r>
    </w:p>
    <w:p>
      <w:pPr>
        <w:spacing w:after="0" w:line="112" w:lineRule="exact"/>
        <w:rPr>
          <w:sz w:val="20"/>
          <w:szCs w:val="20"/>
          <w:color w:val="auto"/>
        </w:rPr>
      </w:pPr>
    </w:p>
    <w:p>
      <w:pPr>
        <w:ind w:left="220" w:hanging="216"/>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consulted with experts on technical accounting matters, internal controls, and in the preparation of our financial statements;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engaged a third party to assist in evaluating segregation of duties risks and design and implement controls to address those risks;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began to design and implement controls related to restricting user and privileged access to appropriate personnel, including as it relates to creating and posting journal entries;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engaged a third party to assist management in evaluating the accounting for financial instruments; and</w:t>
      </w:r>
    </w:p>
    <w:p>
      <w:pPr>
        <w:spacing w:after="0" w:line="111" w:lineRule="exact"/>
        <w:rPr>
          <w:rFonts w:ascii="Arial" w:cs="Arial" w:eastAsia="Arial" w:hAnsi="Arial"/>
          <w:sz w:val="14"/>
          <w:szCs w:val="14"/>
          <w:color w:val="auto"/>
        </w:rPr>
      </w:pPr>
    </w:p>
    <w:p>
      <w:pPr>
        <w:ind w:left="220" w:hanging="216"/>
        <w:spacing w:after="0" w:line="269" w:lineRule="auto"/>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hired additional accounting, finance, operations, and information technology resources with relevant public company experience, including a Chief Financial Officer, Controller and a Vice President of Information Systems.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We will not be able to fully remediate these material weaknesses until these steps have been completed and have been operating effectively for a sufficient period of time. Additionally, as stated above, we have not performed an evaluation of our internal control over financial reporting. Accordingly, we cannot ensure that we have identified all, or that we will not in the future have additional, material weaknesses. While we are aiming to complete these remediation efforts by the end of 2025, these remediation efforts or testing their effectiveness may extend into 2026. Material weaknesses may still exist when we report on the effectiveness of our internal control over financial reporting as required under Section 404 of the Sarbanes-Oxley Act, beginning with our second annual report after the completion of this offering. If we are unable to remediate the material weaknesses or if we identify additional material weaknesses in the future or otherwise fail to develop and maintain effective internal control over financial reporting, we may not be able to accurately or timely report our financial condition or results of operations, which may adversely affect our business.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20"/>
          </w:cols>
          <w:pgMar w:left="300" w:top="385"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175260</wp:posOffset>
            </wp:positionV>
            <wp:extent cx="5436870" cy="7036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BillionToOne is transforming healthcare by redefining molecular diagnostics. Our revolutionary single molecule NGS (smNGS) platform achieves what was once thought impossible— detecting and precisely quantifying genetic targets with single-molecule sensitivity. At the heart of this technological breakthrough lies our patented QCTs, enabling measurements at the physical limit of detection—the single DNA molecule. This leap forward addresses a fundamental limitation in healthcare—the inability to detect sparse but clinically crucial disease signals in cfDNA.</w:t>
      </w:r>
    </w:p>
    <w:p>
      <w:pPr>
        <w:spacing w:after="0" w:line="85"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Our superior technology platform has enabled us to build category-defining prenatal and oncology products. Our products reveal actionable insights from a simple blood draw that are fundamentally changing how diseases are diagnosed and treated, leading to a paradigm shift in personalized medicine.</w:t>
      </w:r>
      <w:r>
        <w:rPr>
          <w:rFonts w:ascii="Arial" w:cs="Arial" w:eastAsia="Arial" w:hAnsi="Arial"/>
          <w:sz w:val="20"/>
          <w:szCs w:val="20"/>
          <w:color w:val="auto"/>
          <w:vertAlign w:val="superscript"/>
        </w:rPr>
        <w:t>27</w:t>
      </w:r>
      <w:r>
        <w:rPr>
          <w:rFonts w:ascii="Arial" w:cs="Arial" w:eastAsia="Arial" w:hAnsi="Arial"/>
          <w:sz w:val="14"/>
          <w:szCs w:val="14"/>
          <w:color w:val="auto"/>
        </w:rPr>
        <w:t xml:space="preserve"> We believe our novel smNGS platform technologies combined with our AI-enhanced integrated workflow, allows us to push the technology frontier forward and deliver on the full promise of non-invasive liquid biopsy, which we estimate has an annual market opportunity of over $100 billion in the United States alone. Half of this addressable market includes early detection, an area in which we have not yet begun specific product development or commercial sales, but we believe will be strongly enabled by our existing technology platform.</w:t>
      </w:r>
    </w:p>
    <w:p>
      <w:pPr>
        <w:spacing w:after="0" w:line="80"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Founded with the mission to remove the fear of the unknown through powerful and accessible smNGS-based diagnostics, we have swiftly transitioned from an R&amp;D-focused company to a proven commercial organization. In 2019, we launched our first prenatal product, UNITY. UNITY is the first non-invasive prenatal test (NIPT) that uses cfDNA to provide fetal risk assessment for recessive conditions such as sickle cell disease and cystic fibrosis without requiring a paternal sample or invasive procedures such as amniocentesis. Since then, we have established ourselves as a leader in the prenatal testing market and expanded our UNITY offering to cover comprehensive prenatal genetic needs from a single maternal blood draw.</w:t>
      </w:r>
      <w:r>
        <w:rPr>
          <w:rFonts w:ascii="Arial" w:cs="Arial" w:eastAsia="Arial" w:hAnsi="Arial"/>
          <w:sz w:val="20"/>
          <w:szCs w:val="20"/>
          <w:color w:val="auto"/>
          <w:vertAlign w:val="superscript"/>
        </w:rPr>
        <w:t>28</w:t>
      </w:r>
      <w:r>
        <w:rPr>
          <w:rFonts w:ascii="Arial" w:cs="Arial" w:eastAsia="Arial" w:hAnsi="Arial"/>
          <w:sz w:val="14"/>
          <w:szCs w:val="14"/>
          <w:color w:val="auto"/>
        </w:rPr>
        <w:t xml:space="preserve"> While we know of competitors working to develop and launch competing NIPTs for recessive conditions, we believe the differentiation of our smNGS technology and five years of accumulated data and publications will allow us to maintain our competitive advantage as this type of testing becomes the standard of care and significantly improves patient outcomes.</w:t>
      </w:r>
    </w:p>
    <w:p>
      <w:pPr>
        <w:spacing w:after="0" w:line="91"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 and Northstar Response. Our Northstar Select test is used to guide therapy selection and has been shown to detect over 50% more actionable solid tumor mutations than conventional liquid biopsies.</w:t>
      </w:r>
      <w:r>
        <w:rPr>
          <w:rFonts w:ascii="Arial" w:cs="Arial" w:eastAsia="Arial" w:hAnsi="Arial"/>
          <w:sz w:val="20"/>
          <w:szCs w:val="20"/>
          <w:color w:val="auto"/>
          <w:vertAlign w:val="superscript"/>
        </w:rPr>
        <w:t>29</w:t>
      </w:r>
      <w:r>
        <w:rPr>
          <w:rFonts w:ascii="Arial" w:cs="Arial" w:eastAsia="Arial" w:hAnsi="Arial"/>
          <w:sz w:val="14"/>
          <w:szCs w:val="14"/>
          <w:color w:val="auto"/>
        </w:rPr>
        <w:t xml:space="preserve">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Our business momentum is evidenced by our rapidly scaling commercial success and improving operational efficiency. Of approximately one million smNGS-based tests that we have processed since our initial launch, over 50% of them, or approximately 508,000 tests, were processed within the last 12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8613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47" w:lineRule="exact"/>
        <w:rPr>
          <w:sz w:val="20"/>
          <w:szCs w:val="20"/>
          <w:color w:val="auto"/>
        </w:rPr>
      </w:pPr>
    </w:p>
    <w:p>
      <w:pPr>
        <w:ind w:left="320" w:hanging="316"/>
        <w:spacing w:after="0"/>
        <w:tabs>
          <w:tab w:leader="none" w:pos="320" w:val="left"/>
        </w:tabs>
        <w:numPr>
          <w:ilvl w:val="0"/>
          <w:numId w:val="77"/>
        </w:numPr>
        <w:rPr>
          <w:rFonts w:ascii="Arial" w:cs="Arial" w:eastAsia="Arial" w:hAnsi="Arial"/>
          <w:sz w:val="16"/>
          <w:szCs w:val="16"/>
          <w:color w:val="auto"/>
          <w:vertAlign w:val="superscript"/>
        </w:rPr>
      </w:pPr>
      <w:r>
        <w:rPr>
          <w:rFonts w:ascii="Arial" w:cs="Arial" w:eastAsia="Arial" w:hAnsi="Arial"/>
          <w:sz w:val="10"/>
          <w:szCs w:val="10"/>
          <w:color w:val="auto"/>
        </w:rPr>
        <w:t>Our smNGS platform overcomes the technical noise that restrains the traditional NGS testing methods used by other diagnostic companies. Please see "Business — Our Technology" for more information.</w:t>
      </w:r>
    </w:p>
    <w:p>
      <w:pPr>
        <w:ind w:left="320" w:right="260" w:hanging="316"/>
        <w:spacing w:after="0" w:line="185" w:lineRule="auto"/>
        <w:tabs>
          <w:tab w:leader="none" w:pos="320" w:val="left"/>
        </w:tabs>
        <w:numPr>
          <w:ilvl w:val="0"/>
          <w:numId w:val="77"/>
        </w:numPr>
        <w:rPr>
          <w:rFonts w:ascii="Arial" w:cs="Arial" w:eastAsia="Arial" w:hAnsi="Arial"/>
          <w:sz w:val="16"/>
          <w:szCs w:val="16"/>
          <w:color w:val="auto"/>
          <w:vertAlign w:val="superscript"/>
        </w:rPr>
      </w:pPr>
      <w:r>
        <w:rPr>
          <w:rFonts w:ascii="Arial" w:cs="Arial" w:eastAsia="Arial" w:hAnsi="Arial"/>
          <w:sz w:val="10"/>
          <w:szCs w:val="10"/>
          <w:color w:val="auto"/>
        </w:rPr>
        <w:t>This is based on (i) our 2024 prenatal testing revenue as compared to the publicly disclosed prenatal testing revenue of Myriad Genetics, one of the largest laboratories for prenatal diagnostic testing, and (ii) ACOG practice advisory changes for RhD and fetal antigen NIPT have specifically cited our publications, resulting in changes to the standard of care.</w:t>
      </w:r>
    </w:p>
    <w:p>
      <w:pPr>
        <w:ind w:left="320" w:right="40" w:hanging="316"/>
        <w:spacing w:after="0" w:line="194" w:lineRule="auto"/>
        <w:tabs>
          <w:tab w:leader="none" w:pos="320" w:val="left"/>
        </w:tabs>
        <w:numPr>
          <w:ilvl w:val="0"/>
          <w:numId w:val="77"/>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38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2025. For the year ended December 31, 2024, we generated revenue of $152.6 million, representing 113% year-over-year growth, with a gross margin of 53% and net loss of $41.6 million. We have incurred losses since inception, including a net loss of $41.6 million and $ 4.2 million for the year ended December 31, 2024 and six months ended June 30, 2025, respectively, and we had an accumulated deficit of $286.4 million as of June 30, 2025. Our loss from operations for the six months ended June 30, 2024 and 2025 was $22.8 million and $3.9 million, respectively. Our business model has demonstrated improving operational leverage, which has enabled us to reach, on a non-GAAP income from operations basis, positive operating income after adjusting for stock-based compensation expense for the six months ended June 30, 2025. During this period, we generated revenue of $125.5 million, representing 82% year-over-year revenue growth as compared to the six months ended June 30, 2024, with a gross margin of 65%. This translated to a non-GAAP net operating income of $1.2 million for the six months ended June 30, 2025 compared to a non-GAAP net operating loss of $18.9 million for the six months ended June 30, 2024, which represented an improvement of approximately $20.1 million.</w:t>
      </w:r>
    </w:p>
    <w:p>
      <w:pPr>
        <w:spacing w:after="0" w:line="61"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Backed by our commitment to continued innovation and high-quality execution, we aim to lead the next wave of advancements in precision diagnostics, delivering profound benefits to patients, providers, and the broader healthcare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53340</wp:posOffset>
            </wp:positionV>
            <wp:extent cx="4030980" cy="659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0"/>
        <w:spacing w:after="0" w:line="269" w:lineRule="auto"/>
        <w:rPr>
          <w:sz w:val="20"/>
          <w:szCs w:val="20"/>
          <w:color w:val="auto"/>
        </w:rPr>
      </w:pPr>
      <w:r>
        <w:rPr>
          <w:rFonts w:ascii="Arial" w:cs="Arial" w:eastAsia="Arial" w:hAnsi="Arial"/>
          <w:sz w:val="14"/>
          <w:szCs w:val="14"/>
          <w:color w:val="auto"/>
        </w:rPr>
        <w:t>At BillionToOne, we are building a different type of molecular diagnostics company, backed by our four pillars of differentiation described below. We believe these competitive advantages are difficult for others to replicate and uniquely position us to redefine the industry.</w:t>
      </w:r>
    </w:p>
    <w:p>
      <w:pPr>
        <w:spacing w:after="0" w:line="38" w:lineRule="exact"/>
        <w:rPr>
          <w:sz w:val="20"/>
          <w:szCs w:val="20"/>
          <w:color w:val="auto"/>
        </w:rPr>
      </w:pPr>
    </w:p>
    <w:p>
      <w:pPr>
        <w:ind w:right="20"/>
        <w:spacing w:after="0" w:line="198" w:lineRule="auto"/>
        <w:rPr>
          <w:sz w:val="20"/>
          <w:szCs w:val="20"/>
          <w:color w:val="auto"/>
        </w:rPr>
      </w:pPr>
      <w:r>
        <w:rPr>
          <w:rFonts w:ascii="Arial" w:cs="Arial" w:eastAsia="Arial" w:hAnsi="Arial"/>
          <w:sz w:val="14"/>
          <w:szCs w:val="14"/>
          <w:b w:val="1"/>
          <w:bCs w:val="1"/>
          <w:i w:val="1"/>
          <w:iCs w:val="1"/>
          <w:color w:val="auto"/>
        </w:rPr>
        <w:t xml:space="preserve">Our breakthrough technology platform. </w:t>
      </w:r>
      <w:r>
        <w:rPr>
          <w:rFonts w:ascii="Arial" w:cs="Arial" w:eastAsia="Arial" w:hAnsi="Arial"/>
          <w:sz w:val="14"/>
          <w:szCs w:val="14"/>
          <w:color w:val="auto"/>
        </w:rPr>
        <w:t>Our revolutionary platform achieves absolute quantification at the single molecule level, enabling us to: (i) accurately quantify genetic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targets by eliminating biases introduced from next-generation sequencing (NGS);</w:t>
      </w:r>
      <w:r>
        <w:rPr>
          <w:rFonts w:ascii="Arial" w:cs="Arial" w:eastAsia="Arial" w:hAnsi="Arial"/>
          <w:sz w:val="20"/>
          <w:szCs w:val="20"/>
          <w:color w:val="auto"/>
          <w:vertAlign w:val="superscript"/>
        </w:rPr>
        <w:t>30</w:t>
      </w:r>
      <w:r>
        <w:rPr>
          <w:rFonts w:ascii="Arial" w:cs="Arial" w:eastAsia="Arial" w:hAnsi="Arial"/>
          <w:sz w:val="14"/>
          <w:szCs w:val="14"/>
          <w:color w:val="auto"/>
        </w:rPr>
        <w:t xml:space="preserve"> (ii) precisely measure and analyze intermediate biochemical reactions to optimize the performance of our assays; and (iii) reduce sequencing costs by obtaining a higher quality signal at each genomic location analyzed.</w:t>
      </w:r>
      <w:r>
        <w:rPr>
          <w:rFonts w:ascii="Arial" w:cs="Arial" w:eastAsia="Arial" w:hAnsi="Arial"/>
          <w:sz w:val="20"/>
          <w:szCs w:val="20"/>
          <w:color w:val="auto"/>
          <w:vertAlign w:val="superscript"/>
        </w:rPr>
        <w:t>31</w:t>
      </w:r>
      <w:r>
        <w:rPr>
          <w:rFonts w:ascii="Arial" w:cs="Arial" w:eastAsia="Arial" w:hAnsi="Arial"/>
          <w:sz w:val="14"/>
          <w:szCs w:val="14"/>
          <w:color w:val="auto"/>
        </w:rPr>
        <w:t xml:space="preserve"> Moreover, we believe our design-based R&amp;D approach allows us to harness this technology and accurately predict the clinical performance of a novel assay before testing a single patient sample, which we believe accelerates time-to-market and significantly improves our commercial launch success rate.</w:t>
      </w:r>
      <w:r>
        <w:rPr>
          <w:rFonts w:ascii="Arial" w:cs="Arial" w:eastAsia="Arial" w:hAnsi="Arial"/>
          <w:sz w:val="20"/>
          <w:szCs w:val="20"/>
          <w:color w:val="auto"/>
          <w:vertAlign w:val="superscript"/>
        </w:rPr>
        <w:t>32</w:t>
      </w:r>
      <w:r>
        <w:rPr>
          <w:rFonts w:ascii="Arial" w:cs="Arial" w:eastAsia="Arial" w:hAnsi="Arial"/>
          <w:sz w:val="14"/>
          <w:szCs w:val="14"/>
          <w:color w:val="auto"/>
        </w:rPr>
        <w:t xml:space="preserve"> Collectively, these platform capabilities enable us to build better products while we simultaneously decrease costs.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i w:val="1"/>
          <w:iCs w:val="1"/>
          <w:color w:val="auto"/>
        </w:rPr>
        <w:t xml:space="preserve">Our category-defining products. </w:t>
      </w:r>
      <w:r>
        <w:rPr>
          <w:rFonts w:ascii="Arial" w:cs="Arial" w:eastAsia="Arial" w:hAnsi="Arial"/>
          <w:sz w:val="14"/>
          <w:szCs w:val="14"/>
          <w:color w:val="auto"/>
        </w:rPr>
        <w:t>As demonstrated in multiple analytical and clinical studies, as well as peer reviewed publications, we have leveraged our smNGS platform to create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differentiated prenatal and oncology products with 10 times greater precision versus other available tests. For example, our UNITY test has extended NIPT from detecting one million-plus base pair conditions to single base pair conditions. This advancement is already starting to impact the treatment options for babies affected by these severe recessive conditions. In addition, our Northstar Select and Response tests deliver superior sensitivity and precision,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8613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1" w:lineRule="exact"/>
        <w:rPr>
          <w:sz w:val="20"/>
          <w:szCs w:val="20"/>
          <w:color w:val="auto"/>
        </w:rPr>
      </w:pPr>
    </w:p>
    <w:p>
      <w:pPr>
        <w:ind w:left="320" w:right="60" w:hanging="316"/>
        <w:spacing w:after="0" w:line="193" w:lineRule="auto"/>
        <w:tabs>
          <w:tab w:leader="none" w:pos="320" w:val="left"/>
        </w:tabs>
        <w:numPr>
          <w:ilvl w:val="0"/>
          <w:numId w:val="78"/>
        </w:numPr>
        <w:rPr>
          <w:rFonts w:ascii="Arial" w:cs="Arial" w:eastAsia="Arial" w:hAnsi="Arial"/>
          <w:sz w:val="16"/>
          <w:szCs w:val="16"/>
          <w:color w:val="auto"/>
          <w:vertAlign w:val="superscript"/>
        </w:rPr>
      </w:pPr>
      <w:r>
        <w:rPr>
          <w:rFonts w:ascii="Arial" w:cs="Arial" w:eastAsia="Arial" w:hAnsi="Arial"/>
          <w:sz w:val="10"/>
          <w:szCs w:val="10"/>
          <w:color w:val="auto"/>
        </w:rPr>
        <w:t>PCR amplification during library preparation for NGS introduces significant biases and errors, including primer binding bias, mis-priming errors, non-specific binding, and amplification bias. When this inefficiency is amplified exponentially over several cycles, it leads to notable inaccuracies in sequencing results. Our QCTs act as a control when we conduct amplification and allow us to identify and remove the biases.</w:t>
      </w:r>
    </w:p>
    <w:p>
      <w:pPr>
        <w:ind w:left="320" w:right="20" w:hanging="316"/>
        <w:spacing w:after="0" w:line="209" w:lineRule="auto"/>
        <w:tabs>
          <w:tab w:leader="none" w:pos="320" w:val="left"/>
        </w:tabs>
        <w:numPr>
          <w:ilvl w:val="0"/>
          <w:numId w:val="78"/>
        </w:numPr>
        <w:rPr>
          <w:rFonts w:ascii="Arial" w:cs="Arial" w:eastAsia="Arial" w:hAnsi="Arial"/>
          <w:sz w:val="16"/>
          <w:szCs w:val="16"/>
          <w:color w:val="auto"/>
          <w:vertAlign w:val="superscript"/>
        </w:rPr>
      </w:pPr>
      <w:r>
        <w:rPr>
          <w:rFonts w:ascii="Arial" w:cs="Arial" w:eastAsia="Arial" w:hAnsi="Arial"/>
          <w:sz w:val="10"/>
          <w:szCs w:val="10"/>
          <w:color w:val="auto"/>
        </w:rPr>
        <w:t>The cost of NGS scales with the total number of reads required per sample. In standard NGS, additional reads for each genomic location or sequencing of additional genomic locations may be needed to average out the noise associated with amplification biases. However, with QCTs, such biases are removed during analysis, increasing the overall signal quality. This can enable the laboratory to achieve the same diagnostic accuracy with significantly fewer total reads, reducing costs. For example, a typical test for aneuploidy NIPT screen may require interrogation of more than 10,000 genomic locations to average out the amplification bias that is present across locations whereas the same diagnostics may be possible by interrogation of a few hundred loci when control spike-ins and QCTs are used.</w:t>
      </w:r>
    </w:p>
    <w:p>
      <w:pPr>
        <w:spacing w:after="0" w:line="1" w:lineRule="exact"/>
        <w:rPr>
          <w:rFonts w:ascii="Arial" w:cs="Arial" w:eastAsia="Arial" w:hAnsi="Arial"/>
          <w:sz w:val="16"/>
          <w:szCs w:val="16"/>
          <w:color w:val="auto"/>
          <w:vertAlign w:val="superscript"/>
        </w:rPr>
      </w:pPr>
    </w:p>
    <w:p>
      <w:pPr>
        <w:ind w:left="320" w:hanging="316"/>
        <w:spacing w:after="0" w:line="203" w:lineRule="auto"/>
        <w:tabs>
          <w:tab w:leader="none" w:pos="320" w:val="left"/>
        </w:tabs>
        <w:numPr>
          <w:ilvl w:val="0"/>
          <w:numId w:val="78"/>
        </w:numPr>
        <w:rPr>
          <w:rFonts w:ascii="Arial" w:cs="Arial" w:eastAsia="Arial" w:hAnsi="Arial"/>
          <w:sz w:val="13"/>
          <w:szCs w:val="13"/>
          <w:color w:val="auto"/>
          <w:vertAlign w:val="superscript"/>
        </w:rPr>
      </w:pPr>
      <w:r>
        <w:rPr>
          <w:rFonts w:ascii="Arial" w:cs="Arial" w:eastAsia="Arial" w:hAnsi="Arial"/>
          <w:sz w:val="9"/>
          <w:szCs w:val="9"/>
          <w:color w:val="auto"/>
        </w:rPr>
        <w:t>Because our technology platform is quantitative, we can often mathematically model and accurately predict assay performance in advance when designing new smNGS assays.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38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can generate clinically relevant insights for late-stage cancer therapy selection and response monitoring that may otherwise have been missed or delayed through conventional liquid biopsy tests and/or imaging tools. We believe that each of our products has the potential to become the standard of care in its respective market. Furthermore, we believe our competitive moat will strengthen over time as we continue to enhance and expand our portfolio of ultrasensitive tests.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3"/>
          <w:szCs w:val="13"/>
          <w:b w:val="1"/>
          <w:bCs w:val="1"/>
          <w:i w:val="1"/>
          <w:iCs w:val="1"/>
          <w:color w:val="auto"/>
        </w:rPr>
        <w:t xml:space="preserve">Our ability to deliver rapid growth at scale. </w:t>
      </w:r>
      <w:r>
        <w:rPr>
          <w:rFonts w:ascii="Arial" w:cs="Arial" w:eastAsia="Arial" w:hAnsi="Arial"/>
          <w:sz w:val="13"/>
          <w:szCs w:val="13"/>
          <w:color w:val="auto"/>
        </w:rPr>
        <w:t>The differentiated nature of our products and our relentless commitment to improving the patient and provider experience have resulted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recurring use of our tests with extremely low customer churn. Our existing accounts have created a stable and growing revenue base with increasing penetration, and we see similar adoption trends in new clinics, as we continue our expansion within existing and new territories. Additionally, while our current products already address an estimated annual market opportunity of over $20 billion in the United States, we believe that our R&amp;D pipeline could eventually expand this annual addressable market to over $100 billion. Half of this addressable market includes early detection, an area in which we have not yet begun specific product development or commercial sales, but we believe will be strongly enabled by our existing technology platform. We believe this market setup, along with our scaling business, provides a significant opportunity for us to grow over the near and long-term horizon.</w:t>
      </w:r>
    </w:p>
    <w:p>
      <w:pPr>
        <w:spacing w:after="0" w:line="77"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b w:val="1"/>
          <w:bCs w:val="1"/>
          <w:i w:val="1"/>
          <w:iCs w:val="1"/>
          <w:color w:val="auto"/>
        </w:rPr>
        <w:t xml:space="preserve">Our superior efficiency. </w:t>
      </w:r>
      <w:r>
        <w:rPr>
          <w:rFonts w:ascii="Arial" w:cs="Arial" w:eastAsia="Arial" w:hAnsi="Arial"/>
          <w:sz w:val="13"/>
          <w:szCs w:val="13"/>
          <w:color w:val="auto"/>
        </w:rPr>
        <w:t>We believe our capital efficiency and emerging profitability set us apart from other molecular diagnostics companies especially at our scale. Since inception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produced a track record of cost efficiency, demonstrated by limiting our accumulated deficit of $282.2 million as of December 31, 2024. This figure is a small fraction of the accumulated deficits reported by certain of our public company competitors (Caris Life Sciences, Guardant Health, Natera, and Tempus AI) as of the same date.</w:t>
      </w:r>
      <w:r>
        <w:rPr>
          <w:rFonts w:ascii="Arial" w:cs="Arial" w:eastAsia="Arial" w:hAnsi="Arial"/>
          <w:sz w:val="19"/>
          <w:szCs w:val="19"/>
          <w:color w:val="auto"/>
          <w:vertAlign w:val="superscript"/>
        </w:rPr>
        <w:t>33</w:t>
      </w:r>
      <w:r>
        <w:rPr>
          <w:rFonts w:ascii="Arial" w:cs="Arial" w:eastAsia="Arial" w:hAnsi="Arial"/>
          <w:sz w:val="13"/>
          <w:szCs w:val="13"/>
          <w:color w:val="auto"/>
        </w:rPr>
        <w:t xml:space="preserve"> The important factors resulting in this efficiency are (i) our gross margin of 65% for the three months ended June 30, 2025, which has increased 14 percentage points year-over-year, (ii) our high sales efficiency driven by differentiated products, with our annualized revenue run-rate per sales representative at over $1.8 million for the three months ended June 30, 2025, and</w:t>
      </w:r>
    </w:p>
    <w:p>
      <w:pPr>
        <w:spacing w:after="0" w:line="2" w:lineRule="exact"/>
        <w:rPr>
          <w:sz w:val="20"/>
          <w:szCs w:val="20"/>
          <w:color w:val="auto"/>
        </w:rPr>
      </w:pPr>
    </w:p>
    <w:p>
      <w:pPr>
        <w:jc w:val="both"/>
        <w:ind w:right="240" w:firstLine="4"/>
        <w:spacing w:after="0" w:line="241" w:lineRule="auto"/>
        <w:tabs>
          <w:tab w:leader="none" w:pos="225" w:val="left"/>
        </w:tabs>
        <w:numPr>
          <w:ilvl w:val="0"/>
          <w:numId w:val="79"/>
        </w:numPr>
        <w:rPr>
          <w:rFonts w:ascii="Arial" w:cs="Arial" w:eastAsia="Arial" w:hAnsi="Arial"/>
          <w:sz w:val="14"/>
          <w:szCs w:val="14"/>
          <w:color w:val="auto"/>
        </w:rPr>
      </w:pPr>
      <w:r>
        <w:rPr>
          <w:rFonts w:ascii="Arial" w:cs="Arial" w:eastAsia="Arial" w:hAnsi="Arial"/>
          <w:sz w:val="14"/>
          <w:szCs w:val="14"/>
          <w:color w:val="auto"/>
        </w:rPr>
        <w:t>disciplined operational practices supplemented by automation and AI. Going forward, our financial discipline will continue to be integral to our innovation efforts. By prioritizing efficiency, we have been able to consistently invest in R&amp;D and commercial expansion while reducing losses over time and achieving profitability. In doing so, we believe we have established a differentiated financial profile that positions us for sustainable value creation.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on cfDNA and the limitations of traditional NGS technologies</w:t>
      </w:r>
    </w:p>
    <w:p>
      <w:pPr>
        <w:spacing w:after="0" w:line="115" w:lineRule="exact"/>
        <w:rPr>
          <w:sz w:val="20"/>
          <w:szCs w:val="20"/>
          <w:color w:val="auto"/>
        </w:rPr>
      </w:pPr>
    </w:p>
    <w:p>
      <w:pPr>
        <w:jc w:val="both"/>
        <w:ind w:right="160"/>
        <w:spacing w:after="0" w:line="252" w:lineRule="auto"/>
        <w:rPr>
          <w:sz w:val="20"/>
          <w:szCs w:val="20"/>
          <w:color w:val="auto"/>
        </w:rPr>
      </w:pPr>
      <w:r>
        <w:rPr>
          <w:rFonts w:ascii="Arial" w:cs="Arial" w:eastAsia="Arial" w:hAnsi="Arial"/>
          <w:sz w:val="14"/>
          <w:szCs w:val="14"/>
          <w:color w:val="auto"/>
        </w:rPr>
        <w:t>cfDNA represents one of the most promising biomarkers in modern precision medicine. cfDNA is continuously shed from all tissues into the bloodstream and has a short half-life of approximately one to two hours. This transient nature gives cfDNA a unique capability to provide a real-time snapshot of cellular turnover and can be used to diagnose and monitor disease, as both genetic and epigenetic properties of cfDNA directly reflect the originating tissue.</w:t>
      </w:r>
    </w:p>
    <w:p>
      <w:pPr>
        <w:spacing w:after="0" w:line="7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Despite its potential, the detection of cfDNA is fundamentally challenging due to its limited quantity in blood and short half-life. Certain conditions that stem from large scale genetic changes or generate abundant quantities of cfDNA in the bloodstream can be identified by previous testing approaches. However, other serious conditions may have lower DNA shedding rates which can result in very few relevant DNA fragments in the blood. These conditions are nearly undetectable with previous cfDNA detection techniques. For example, even in a late-stage cancer patient, there may only be one mutated cell-free tumor DNA molecule found in one tube of blood.</w:t>
      </w:r>
    </w:p>
    <w:p>
      <w:pPr>
        <w:spacing w:after="0" w:line="85"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While traditional NGS has revolutionized genomic medicine over the past decade, it faces inherent limitations when applied to the analysis of cfDNA. Conventional NGS technologies are primarily limited to presence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8613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38" w:lineRule="exact"/>
        <w:rPr>
          <w:sz w:val="20"/>
          <w:szCs w:val="20"/>
          <w:color w:val="auto"/>
        </w:rPr>
      </w:pPr>
    </w:p>
    <w:p>
      <w:pPr>
        <w:ind w:left="320" w:hanging="316"/>
        <w:spacing w:after="0"/>
        <w:tabs>
          <w:tab w:leader="none" w:pos="320" w:val="left"/>
        </w:tabs>
        <w:numPr>
          <w:ilvl w:val="0"/>
          <w:numId w:val="80"/>
        </w:numPr>
        <w:rPr>
          <w:rFonts w:ascii="Arial" w:cs="Arial" w:eastAsia="Arial" w:hAnsi="Arial"/>
          <w:sz w:val="16"/>
          <w:szCs w:val="16"/>
          <w:color w:val="auto"/>
          <w:vertAlign w:val="superscript"/>
        </w:rPr>
      </w:pPr>
      <w:r>
        <w:rPr>
          <w:rFonts w:ascii="Arial" w:cs="Arial" w:eastAsia="Arial" w:hAnsi="Arial"/>
          <w:sz w:val="10"/>
          <w:szCs w:val="10"/>
          <w:color w:val="auto"/>
        </w:rPr>
        <w:t>These competitors consist of different size companies, based on revenues, with product offerings that may not be directly comparable to our product offerings.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20"/>
          </w:cols>
          <w:pgMar w:left="300" w:top="385"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absence detection. For example, within germline testing, which includes nearly unlimited input DNA material, the clinically relevant changes are detected at around 50% additional disease burden. However, in cfDNA applications, these clinically relevant changes can be at the level of 0.01% of cfDNA in blood. These applications require ultrasensitive quantification at the single molecule level that we believe is only possible with our smNGS platform.</w:t>
      </w:r>
      <w:r>
        <w:rPr>
          <w:rFonts w:ascii="Arial" w:cs="Arial" w:eastAsia="Arial" w:hAnsi="Arial"/>
          <w:sz w:val="20"/>
          <w:szCs w:val="20"/>
          <w:color w:val="auto"/>
          <w:vertAlign w:val="superscript"/>
        </w:rPr>
        <w:t>34</w:t>
      </w:r>
      <w:r>
        <w:rPr>
          <w:rFonts w:ascii="Arial" w:cs="Arial" w:eastAsia="Arial" w:hAnsi="Arial"/>
          <w:sz w:val="14"/>
          <w:szCs w:val="14"/>
          <w:color w:val="auto"/>
        </w:rPr>
        <w:t xml:space="preserve"> Further complicating the challenge, cfDNA samples undergo numerous enzymatic, amplification, and other biochemical steps prior to sequencing. Each of these steps introduces technical noise that makes it harder for traditional sequencing technologies to accurately quantify the absolute and relative abundance of cfDNA sequences in the biological specimen, resulting in lower sensitivity and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66675</wp:posOffset>
            </wp:positionV>
            <wp:extent cx="4030980" cy="659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have developed a transformative technology platform that redefines the possibilities of cfDNA analysis. In the past, the significant advancements from polymerase chain reaction (PCR) to Sanger Sequencing to NGS expanded molecular diagnostics from being limited to infectious disease testing and human genome mapping to now becoming standard of care for genetic screening. Today, we are experiencing another step change as we believe our smNGS platform enables the absolute quantification of cfDNA and we believe overcomes the technical noise that restrains the traditional NGS testing methods used by other diagnostic companies. This breakthrough capability enables our non-invasive diagnostic tests to achieve performance characteristics previously only possible with invasive tissue biopsies from the affected organ.</w:t>
      </w:r>
    </w:p>
    <w:p>
      <w:pPr>
        <w:spacing w:after="0" w:line="77"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The cornerstone of our platform is its ability to resolve and quantify individual DNA molecules with absolute precision. This single-molecule resolution provides extraordinary visibility into the biological signals present in a sample, even when the target DNA represents just one molecule among billions. Beyond mere detection, our technology enables absolute quantification of cfDNA, eliminating the reliance on relative measurements that has constrained previous approaches. This quantitative foundation allows us to transform every aspect of our operations in a measurable way, from research and development to clinical testing and quality control. While traditional diagnostic approaches have often relied on trial-and-error experiments to screen for incremental improvements, our smNGS platform does not. The quantitative nature of the data that our smNGS platform generates is critical to our success in creating ultrasensitive, differentiated molecular diagnostics.</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4"/>
          <w:szCs w:val="14"/>
          <w:color w:val="auto"/>
        </w:rPr>
        <w:t>Perhaps most significantly, we believe, our smNGS technology transcends the precision-versus-scale tradeoff that has limited legacy diagnostic methods. Conventional genetic analysis techniques, such as NGS and digital droplet PCR (ddPCR), typically sacrifice either sensitivity or multiplexing, i.e., ability to interrogate many genomic loci at the same time, forcing compromises in clinical utility. We believe our platform eliminates this constraint, delivering both high sensitivity and broad genomic coverage simultaneously. This unique capability allows us to provide physicians and patients with more actionable information from cfDNA that was previously possible only with more invasive diagnostics.</w:t>
      </w:r>
      <w:r>
        <w:rPr>
          <w:rFonts w:ascii="Arial" w:cs="Arial" w:eastAsia="Arial" w:hAnsi="Arial"/>
          <w:sz w:val="20"/>
          <w:szCs w:val="20"/>
          <w:color w:val="auto"/>
          <w:vertAlign w:val="superscript"/>
        </w:rPr>
        <w:t>35</w:t>
      </w:r>
    </w:p>
    <w:p>
      <w:pPr>
        <w:spacing w:after="0" w:line="1" w:lineRule="exact"/>
        <w:rPr>
          <w:sz w:val="20"/>
          <w:szCs w:val="20"/>
          <w:color w:val="auto"/>
        </w:rPr>
      </w:pPr>
    </w:p>
    <w:p>
      <w:pPr>
        <w:ind w:right="420"/>
        <w:spacing w:after="0" w:line="241" w:lineRule="auto"/>
        <w:rPr>
          <w:sz w:val="20"/>
          <w:szCs w:val="20"/>
          <w:color w:val="auto"/>
        </w:rPr>
      </w:pPr>
      <w:r>
        <w:rPr>
          <w:rFonts w:ascii="Arial" w:cs="Arial" w:eastAsia="Arial" w:hAnsi="Arial"/>
          <w:sz w:val="14"/>
          <w:szCs w:val="14"/>
          <w:color w:val="auto"/>
        </w:rPr>
        <w:t>Our smNGS platform is powered by several patented technologies, most notably the use of synthetic DNA fragments, called QCTs. QCTs encode the molecular information in sequencing data which are subsequently decoded using proprietary machine learning and bioinformatic algorithms, enabling us to precisely quantify cfDNA. The precision and multiplexability of QCT-powered assays make them ideal for addressing clinically significant challenges where sensitivity of rare-variant detection or quantification necessary for longitudinal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8613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55" w:lineRule="exact"/>
        <w:rPr>
          <w:sz w:val="20"/>
          <w:szCs w:val="20"/>
          <w:color w:val="auto"/>
        </w:rPr>
      </w:pPr>
    </w:p>
    <w:p>
      <w:pPr>
        <w:ind w:left="320" w:hanging="316"/>
        <w:spacing w:after="0"/>
        <w:tabs>
          <w:tab w:leader="none" w:pos="320" w:val="left"/>
        </w:tabs>
        <w:numPr>
          <w:ilvl w:val="0"/>
          <w:numId w:val="81"/>
        </w:numPr>
        <w:rPr>
          <w:rFonts w:ascii="Arial" w:cs="Arial" w:eastAsia="Arial" w:hAnsi="Arial"/>
          <w:sz w:val="16"/>
          <w:szCs w:val="16"/>
          <w:color w:val="auto"/>
          <w:vertAlign w:val="superscript"/>
        </w:rPr>
      </w:pPr>
      <w:r>
        <w:rPr>
          <w:rFonts w:ascii="Arial" w:cs="Arial" w:eastAsia="Arial" w:hAnsi="Arial"/>
          <w:sz w:val="10"/>
          <w:szCs w:val="10"/>
          <w:color w:val="auto"/>
        </w:rPr>
        <w:t>Stasik, S., Mende, M., Schuster, C., et al. Sensitive Quantification of Cell-Free Tumor DNA for Early Detection of Recurrence in Colorectal Cancer. Front Genet. (2021);12:811291.</w:t>
      </w:r>
    </w:p>
    <w:p>
      <w:pPr>
        <w:ind w:left="320" w:hanging="316"/>
        <w:spacing w:after="0" w:line="194" w:lineRule="auto"/>
        <w:tabs>
          <w:tab w:leader="none" w:pos="320" w:val="left"/>
        </w:tabs>
        <w:numPr>
          <w:ilvl w:val="0"/>
          <w:numId w:val="81"/>
        </w:numPr>
        <w:rPr>
          <w:rFonts w:ascii="Arial" w:cs="Arial" w:eastAsia="Arial" w:hAnsi="Arial"/>
          <w:sz w:val="16"/>
          <w:szCs w:val="16"/>
          <w:color w:val="auto"/>
          <w:vertAlign w:val="superscript"/>
        </w:rPr>
      </w:pPr>
      <w:r>
        <w:rPr>
          <w:rFonts w:ascii="Arial" w:cs="Arial" w:eastAsia="Arial" w:hAnsi="Arial"/>
          <w:sz w:val="10"/>
          <w:szCs w:val="10"/>
          <w:color w:val="auto"/>
        </w:rPr>
        <w:t>Tsao, D. S., Silas, S., Landry, B. P., Itzep, N. P., Nguyen, A. B., Greenberg, S., Kanne, C. K., Sheehan, V. A., &amp; Lo, Y. H. (2019). A novel high-throughput molecular counting method with single basepair resolution enables accurate single-gene NIPT. Scientific Reports, 9, 14382.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38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measurements is essential. The power of QCTs is best exemplified when the clinical problem itself is quantitative, as in the case of fetal risk assessment of recessive conditions during pregnancy and monitoring of response to therapy in a cancer patient.</w:t>
      </w:r>
    </w:p>
    <w:p>
      <w:pPr>
        <w:spacing w:after="0" w:line="59"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QCTs and our other smNGS technologies also serve as the backbone of our technical operations. We leverage this quantitative foundation to track samples throughout our workflows, to drive continuous operational improvement, and to support robust quality controls. For instance, QCTs detect cross-contamination down to the level of &lt;0.001% and thereby enable the creation of carefully constructed and automated end-to-end laboratory workflows, including special laboratory infrastructure, that prevent such cross-contamination that could otherwise be a bottleneck on sensitivity and specificity of an assay.</w:t>
      </w:r>
      <w:r>
        <w:rPr>
          <w:rFonts w:ascii="Arial" w:cs="Arial" w:eastAsia="Arial" w:hAnsi="Arial"/>
          <w:sz w:val="20"/>
          <w:szCs w:val="20"/>
          <w:color w:val="auto"/>
          <w:vertAlign w:val="superscript"/>
        </w:rPr>
        <w:t>36</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color w:val="auto"/>
        </w:rPr>
        <w:t>The financial impact of our technology platform is substantial. We believe the ability to quantify biomarkers enables us to rationally design and engineer superior diagnostic tests optimized for clinical performance, scalability, and cost of goods sold (COGS). Our smNGS platform therefore drives our differentiated financial performance both by enabling the development of unique products and by de-risking clinical studies before dedicating significant resources. Our platform is a key differentiator versus our peers in the molecular diagnostics space and is protected by a robust and growing collection of patents and proprietary know-how.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64770</wp:posOffset>
            </wp:positionV>
            <wp:extent cx="4030980" cy="666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30980" cy="66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Our product portfolio of ultrasensitive tests touches everyone from the beginning of life, with prenatal genetic testing, to the end of life, with cancer therapy selection and response monitoring.</w:t>
      </w:r>
    </w:p>
    <w:p>
      <w:pPr>
        <w:spacing w:after="0" w:line="6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launched our initial prenatal product, UNITY, in 2019. Today, we believe it is becoming the new standard of care, as evidenced by two recent ACOG practice advisory changes that cited our publications in support of the change. With UNITY, we have leap-frogged the resolution of cfDNA testing from one million base-pair chromosomal abnormalities to single base-pair recessive conditions. In this highly competitive market with increasing commoditization, our differentiated UNITY Fetal Risk Screen remains the only cfDNA test for these conditions. with peer-reviewed clinical publications.</w:t>
      </w:r>
    </w:p>
    <w:p>
      <w:pPr>
        <w:spacing w:after="0" w:line="7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have more recently entered the oncology market, initially focusing on addressing the highest unmet need areas of therapy selection and response monitoring in late-stage cancer patients. We intend to expand our oncology test offerings into testing of earlier stage cancer patients, including through MRD testing and potentially for early cancer detection. We are in the late stages of development of our first assay for MRD detection, and we anticipate launching this assay in 2026. While we have not yet started development in this area, the research work that we have done for Northstar Response and MRD is a necessary precursor for early detection development. In particular, we believe that a sensitive tissue-free MRD test, which we have already de-risked by the recent launch of an ultra-sensitive response monitoring assay (Northstar Response v2), which can detect tumor DNA in blood down to a limit of detection (LOD) of 0.01%, can be technically equivalent to an early detection test for cancer. We expect that any products we launch for MRD will be laboratory developed tests (LDTs), and the products would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8613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69" w:lineRule="exact"/>
        <w:rPr>
          <w:sz w:val="20"/>
          <w:szCs w:val="20"/>
          <w:color w:val="auto"/>
        </w:rPr>
      </w:pPr>
    </w:p>
    <w:p>
      <w:pPr>
        <w:ind w:left="320" w:hanging="316"/>
        <w:spacing w:after="0"/>
        <w:tabs>
          <w:tab w:leader="none" w:pos="320" w:val="left"/>
        </w:tabs>
        <w:numPr>
          <w:ilvl w:val="0"/>
          <w:numId w:val="82"/>
        </w:numPr>
        <w:rPr>
          <w:rFonts w:ascii="Arial" w:cs="Arial" w:eastAsia="Arial" w:hAnsi="Arial"/>
          <w:sz w:val="16"/>
          <w:szCs w:val="16"/>
          <w:color w:val="auto"/>
          <w:vertAlign w:val="superscript"/>
        </w:rPr>
      </w:pPr>
      <w:r>
        <w:rPr>
          <w:rFonts w:ascii="Arial" w:cs="Arial" w:eastAsia="Arial" w:hAnsi="Arial"/>
          <w:sz w:val="10"/>
          <w:szCs w:val="10"/>
          <w:color w:val="auto"/>
        </w:rPr>
        <w:t>See our patent for “Quality Control Templates for Ensuring the Validity of Sequencing-Based Assays” U.S. Patent No. 11,629,381. See section entitled “Intellectual Property” for more information.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80"/>
          </w:cols>
          <w:pgMar w:left="300" w:top="38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360"/>
        <w:spacing w:after="0" w:line="226" w:lineRule="auto"/>
        <w:rPr>
          <w:sz w:val="20"/>
          <w:szCs w:val="20"/>
          <w:color w:val="auto"/>
        </w:rPr>
      </w:pPr>
      <w:r>
        <w:rPr>
          <w:rFonts w:ascii="Arial" w:cs="Arial" w:eastAsia="Arial" w:hAnsi="Arial"/>
          <w:sz w:val="14"/>
          <w:szCs w:val="14"/>
          <w:color w:val="auto"/>
        </w:rPr>
        <w:t>be subject to FDA approval requirements.</w:t>
      </w:r>
      <w:r>
        <w:rPr>
          <w:rFonts w:ascii="Arial" w:cs="Arial" w:eastAsia="Arial" w:hAnsi="Arial"/>
          <w:sz w:val="20"/>
          <w:szCs w:val="20"/>
          <w:color w:val="auto"/>
          <w:vertAlign w:val="superscript"/>
        </w:rPr>
        <w:t>38</w:t>
      </w:r>
      <w:r>
        <w:rPr>
          <w:rFonts w:ascii="Arial" w:cs="Arial" w:eastAsia="Arial" w:hAnsi="Arial"/>
          <w:sz w:val="14"/>
          <w:szCs w:val="14"/>
          <w:color w:val="auto"/>
        </w:rPr>
        <w:t xml:space="preserve"> Longer term, we believe that our smNGS-based technology could address the sensitivity challenges of early-stage cancer detection; however, we have not yet started development in this area.</w:t>
      </w:r>
      <w:r>
        <w:rPr>
          <w:rFonts w:ascii="Arial" w:cs="Arial" w:eastAsia="Arial" w:hAnsi="Arial"/>
          <w:sz w:val="20"/>
          <w:szCs w:val="20"/>
          <w:color w:val="auto"/>
          <w:vertAlign w:val="superscript"/>
        </w:rPr>
        <w:t>37</w:t>
      </w:r>
    </w:p>
    <w:p>
      <w:pPr>
        <w:spacing w:after="0" w:line="1" w:lineRule="exact"/>
        <w:rPr>
          <w:sz w:val="20"/>
          <w:szCs w:val="20"/>
          <w:color w:val="auto"/>
        </w:rPr>
      </w:pPr>
    </w:p>
    <w:p>
      <w:pPr>
        <w:ind w:right="520"/>
        <w:spacing w:after="0" w:line="248" w:lineRule="auto"/>
        <w:rPr>
          <w:sz w:val="20"/>
          <w:szCs w:val="20"/>
          <w:color w:val="auto"/>
        </w:rPr>
      </w:pPr>
      <w:r>
        <w:rPr>
          <w:rFonts w:ascii="Arial" w:cs="Arial" w:eastAsia="Arial" w:hAnsi="Arial"/>
          <w:sz w:val="14"/>
          <w:szCs w:val="14"/>
          <w:color w:val="auto"/>
        </w:rPr>
        <w:t>To date, we have launched multiple products across these large addressable markets. We performed approximately 508,000 smNGS-based tests in the last 12 months ended June 30, 2025, with significant room to further grow test volume in both markets.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Prenatal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78740</wp:posOffset>
            </wp:positionV>
            <wp:extent cx="4030980" cy="9328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30980" cy="93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Traditional prenatal screening focuses on assessing a fetus’ risk for larger chromosomal changes. However, many common and severe conditions are the result of much smaller genetic changes, in single base pairs. These recessively inherited conditions, including SCD, alpha thalassemia, beta-thalassemia, CF, and SMA, are collectively more common than aneuploidy conditions like Down syndrome. Yet these conditions cannot be directly tested with traditional NIPT since each condition requires the precise quantification of fetal cfDNA.</w:t>
      </w:r>
    </w:p>
    <w:p>
      <w:pPr>
        <w:spacing w:after="0" w:line="64"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Given the technical challenges of directly assessing the fetal risk for these conditions, current medical guidelines recommend that every pregnant patient is offered carrier screening, with father screening then required if the mother is found to be a carrier. However, studies estimate that fewer than half of fathers complete the recommended screening due to barriers related to cost, availability, and willingness. As a result, approximately 58% of pregnancies affected by these recessive conditions are undetected by traditional screening workflows.</w:t>
      </w:r>
      <w:r>
        <w:rPr>
          <w:rFonts w:ascii="Arial" w:cs="Arial" w:eastAsia="Arial" w:hAnsi="Arial"/>
          <w:sz w:val="20"/>
          <w:szCs w:val="20"/>
          <w:color w:val="auto"/>
          <w:vertAlign w:val="superscript"/>
        </w:rPr>
        <w:t>39</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Our UNITY Fetal Risk Screen directly addressed these challenges and is the first test that uses cfDNA to provide precise fetal risk assessments for recessive conditions without requiring a paternal sample. In addition, it reports fetal aneuploidy and 22q11.2 microdeletion, enabling complete genetic insights from a single maternal blood draw. We estimate the prenatal market represents an annual opportunity of over $2.5 billion in the United States.</w:t>
      </w:r>
      <w:r>
        <w:rPr>
          <w:rFonts w:ascii="Arial" w:cs="Arial" w:eastAsia="Arial" w:hAnsi="Arial"/>
          <w:sz w:val="20"/>
          <w:szCs w:val="20"/>
          <w:color w:val="auto"/>
          <w:vertAlign w:val="superscript"/>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8613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ind w:left="320" w:right="120" w:hanging="316"/>
        <w:spacing w:after="0" w:line="206" w:lineRule="auto"/>
        <w:tabs>
          <w:tab w:leader="none" w:pos="320" w:val="left"/>
        </w:tabs>
        <w:numPr>
          <w:ilvl w:val="0"/>
          <w:numId w:val="83"/>
        </w:numPr>
        <w:rPr>
          <w:rFonts w:ascii="Arial" w:cs="Arial" w:eastAsia="Arial" w:hAnsi="Arial"/>
          <w:sz w:val="16"/>
          <w:szCs w:val="16"/>
          <w:color w:val="auto"/>
          <w:vertAlign w:val="superscript"/>
        </w:rPr>
      </w:pPr>
      <w:r>
        <w:rPr>
          <w:rFonts w:ascii="Arial" w:cs="Arial" w:eastAsia="Arial" w:hAnsi="Arial"/>
          <w:sz w:val="10"/>
          <w:szCs w:val="10"/>
          <w:color w:val="auto"/>
        </w:rPr>
        <w:t>Each of our genetic tests is an LDT. The FDA had historically taken the position that it had the authority to regulate LDTs as medical devices under the Federal Food, Drug, and Cosmetic Act but exercised enforcement discretion until it recently rescinded LDT regulations indicating that it does not have the authority to require clearance, de novo classification, or approval of LDTs prior to market release. As a result, our molecular diagnostic products are not currently subject to FDA approval requirements. While LDT tests do not require FDA approval currently, they are subject to state regulatory requirements, such as under New York States CLEP, which reviewed LDTs for accuracy. See “Risk</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Factors—Risks related to legal and regulatory matters–Our tests are currently marketed as LDTs, and future changes in FDA enforcement of LDTs could subject our operations to much more significant regulatory requirements.” See also “Business—Government regulations—New York laboratory licensing.”</w:t>
      </w:r>
    </w:p>
    <w:p>
      <w:pPr>
        <w:ind w:left="320" w:hanging="316"/>
        <w:spacing w:after="0" w:line="186" w:lineRule="auto"/>
        <w:tabs>
          <w:tab w:leader="none" w:pos="320" w:val="left"/>
        </w:tabs>
        <w:numPr>
          <w:ilvl w:val="0"/>
          <w:numId w:val="84"/>
        </w:numPr>
        <w:rPr>
          <w:rFonts w:ascii="Arial" w:cs="Arial" w:eastAsia="Arial" w:hAnsi="Arial"/>
          <w:sz w:val="13"/>
          <w:szCs w:val="13"/>
          <w:color w:val="auto"/>
          <w:vertAlign w:val="superscript"/>
        </w:rPr>
      </w:pPr>
      <w:r>
        <w:rPr>
          <w:rFonts w:ascii="Arial" w:cs="Arial" w:eastAsia="Arial" w:hAnsi="Arial"/>
          <w:sz w:val="9"/>
          <w:szCs w:val="9"/>
          <w:color w:val="auto"/>
        </w:rPr>
        <w:t>While we have not yet started development in this area, the research work for MRD and our Select and Response tests is a necessary precursor to early detection development. We also believe that there is significant potential for our</w:t>
      </w:r>
    </w:p>
    <w:p>
      <w:pPr>
        <w:ind w:left="320"/>
        <w:spacing w:after="0"/>
        <w:rPr>
          <w:sz w:val="20"/>
          <w:szCs w:val="20"/>
          <w:color w:val="auto"/>
        </w:rPr>
      </w:pPr>
      <w:r>
        <w:rPr>
          <w:rFonts w:ascii="Arial" w:cs="Arial" w:eastAsia="Arial" w:hAnsi="Arial"/>
          <w:sz w:val="10"/>
          <w:szCs w:val="10"/>
          <w:color w:val="auto"/>
        </w:rPr>
        <w:t>smNGS platform to accommodate products in this area. We believe the molecular information provided by our tests can assist in predicting the diagnostic pathway that can confirm the presence and tissue of origin of cancer.</w:t>
      </w:r>
    </w:p>
    <w:p>
      <w:pPr>
        <w:ind w:left="320" w:hanging="316"/>
        <w:spacing w:after="0" w:line="202" w:lineRule="auto"/>
        <w:tabs>
          <w:tab w:leader="none" w:pos="320" w:val="left"/>
        </w:tabs>
        <w:numPr>
          <w:ilvl w:val="0"/>
          <w:numId w:val="85"/>
        </w:numPr>
        <w:rPr>
          <w:rFonts w:ascii="Arial" w:cs="Arial" w:eastAsia="Arial" w:hAnsi="Arial"/>
          <w:sz w:val="13"/>
          <w:szCs w:val="13"/>
          <w:color w:val="auto"/>
          <w:vertAlign w:val="superscript"/>
        </w:rPr>
      </w:pPr>
      <w:r>
        <w:rPr>
          <w:rFonts w:ascii="Arial" w:cs="Arial" w:eastAsia="Arial" w:hAnsi="Arial"/>
          <w:sz w:val="9"/>
          <w:szCs w:val="9"/>
          <w:color w:val="auto"/>
        </w:rPr>
        <w:t>Riku, S., Herman, M., et al. (2022). Reflex single-gene non-invasive prenatal testing is associated with markedly better detection of fetuses affected with single-gene recessive disorders at lower cost. Journal of Medical Economics.</w:t>
      </w:r>
    </w:p>
    <w:p>
      <w:pPr>
        <w:ind w:left="320" w:right="280" w:hanging="316"/>
        <w:spacing w:after="0" w:line="194" w:lineRule="auto"/>
        <w:tabs>
          <w:tab w:leader="none" w:pos="320" w:val="left"/>
        </w:tabs>
        <w:numPr>
          <w:ilvl w:val="0"/>
          <w:numId w:val="85"/>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60"/>
          </w:cols>
          <w:pgMar w:left="300" w:top="38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Oncology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78740</wp:posOffset>
            </wp:positionV>
            <wp:extent cx="4030980" cy="9728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30980" cy="97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Non-invasive liquid biopsy tests are a rapidly growing approach to detect and measure tumor DNA, driven by the increasing focus on molecular-targeted cancer treatments. However, current imaging and conventional liquid biopsy approaches present critical shortcomings, including missed actionable mutations and delays in detecting treatment response and progression.</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4"/>
          <w:szCs w:val="14"/>
          <w:color w:val="auto"/>
        </w:rPr>
        <w:t>In 2023, we entered the oncology market with two complementary products that leverage our smNGS platform to address these unmet needs. Northstar Select, our ultrasensitive liquid biopsy test, provides insights into appropriate therapies for stage III or IV cancer patients. In a head-to-head study presented at American Society of Clinical Oncology (ASCO) annual meeting in 2024, our test demonstrated superior performance by detecting 51% more pathogenic and actionable SNVs and 109% more CNVs than conventional liquid biopsies.</w:t>
      </w:r>
      <w:r>
        <w:rPr>
          <w:rFonts w:ascii="Arial" w:cs="Arial" w:eastAsia="Arial" w:hAnsi="Arial"/>
          <w:sz w:val="20"/>
          <w:szCs w:val="20"/>
          <w:color w:val="auto"/>
          <w:vertAlign w:val="superscript"/>
        </w:rPr>
        <w:t>41</w:t>
      </w:r>
      <w:r>
        <w:rPr>
          <w:rFonts w:ascii="Arial" w:cs="Arial" w:eastAsia="Arial" w:hAnsi="Arial"/>
          <w:sz w:val="14"/>
          <w:szCs w:val="14"/>
          <w:color w:val="auto"/>
        </w:rPr>
        <w:t xml:space="preserve"> Northstar Select targets the therapy selection cancer diagnostics market, which we estimate is an annual United States market opportunity of over $6 billion.</w:t>
      </w:r>
      <w:r>
        <w:rPr>
          <w:rFonts w:ascii="Arial" w:cs="Arial" w:eastAsia="Arial" w:hAnsi="Arial"/>
          <w:sz w:val="20"/>
          <w:szCs w:val="20"/>
          <w:color w:val="auto"/>
          <w:vertAlign w:val="superscript"/>
        </w:rPr>
        <w:t>42</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We simultaneously launched Northstar Response, the only tissue-free, pan-cancer, smNGS-based liquid biopsy test that precisely measures thousands of genomic loci uniquely methylated in cancer to provide insight into dynamic changes in therapy response. Validation studies showed Northstar Response’s consistent ability to detect changes in tumor fraction across more than 10 different cancer types, in some cases as much as six months earlier than indicated by imaging scans. Northstar Response targets the cancer therapy response diagnostics market, which we estimate is an annual United States market opportunity of over $15 billion.</w:t>
      </w:r>
      <w:r>
        <w:rPr>
          <w:rFonts w:ascii="Arial" w:cs="Arial" w:eastAsia="Arial" w:hAnsi="Arial"/>
          <w:sz w:val="20"/>
          <w:szCs w:val="20"/>
          <w:color w:val="auto"/>
          <w:vertAlign w:val="superscript"/>
        </w:rPr>
        <w:t>42</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The clinical value of our oncology portfolio is validated by physician adoption. More than 95% of oncologists who order our tests utilize both Northstar Select and Northstar Response in tandem, highlighting their complementarity in guiding cancer care.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opportunities in oncology</w:t>
      </w:r>
    </w:p>
    <w:p>
      <w:pPr>
        <w:spacing w:after="0" w:line="110"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We are actively developing additional diagnostic products to address critical needs across the cancer care continuum. Our current development efforts focus on MRD detection, leveraging our platform’s exceptional sensitivity to identify trace amounts of tumor DNA following curative-intent surgery in earlier stage cancers. We are developing a tissue-free, pan-cancer MRD test, which we expect to be commercially available in 2026. We estimate the annual United States market opportunity for MRD to be over $30 billion.</w:t>
      </w:r>
      <w:r>
        <w:rPr>
          <w:rFonts w:ascii="Arial" w:cs="Arial" w:eastAsia="Arial" w:hAnsi="Arial"/>
          <w:sz w:val="20"/>
          <w:szCs w:val="20"/>
          <w:color w:val="auto"/>
          <w:vertAlign w:val="superscript"/>
        </w:rPr>
        <w:t>42</w:t>
      </w:r>
      <w:r>
        <w:rPr>
          <w:rFonts w:ascii="Arial" w:cs="Arial" w:eastAsia="Arial" w:hAnsi="Arial"/>
          <w:sz w:val="14"/>
          <w:szCs w:val="14"/>
          <w:color w:val="auto"/>
        </w:rPr>
        <w:t xml:space="preserve"> Longer term, we believe that our smNGS-based technology could address the sensitivity challenges of early-stage cancer detection. While we have not yet started development in this area, the research work that we have done for Northstar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8613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6" w:lineRule="exact"/>
        <w:rPr>
          <w:sz w:val="20"/>
          <w:szCs w:val="20"/>
          <w:color w:val="auto"/>
        </w:rPr>
      </w:pPr>
    </w:p>
    <w:p>
      <w:pPr>
        <w:ind w:left="320" w:right="40" w:hanging="316"/>
        <w:spacing w:after="0" w:line="193"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ind w:left="320" w:right="300" w:hanging="316"/>
        <w:spacing w:after="0" w:line="194"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38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Response and MRD is a necessary precursor for early detection development. In particular, we believe that a sensitive tissue-free MRD test, which we have already de-risked by the recent launch of an ultra-sensitive response monitoring assay (Northstar Response v2), which can detect tumor DNA in blood down to a limit of detection (LOD) of 0.01%, can be technically equivalent to an early detection test for cancer.</w:t>
      </w:r>
      <w:r>
        <w:rPr>
          <w:rFonts w:ascii="Arial" w:cs="Arial" w:eastAsia="Arial" w:hAnsi="Arial"/>
          <w:sz w:val="20"/>
          <w:szCs w:val="20"/>
          <w:color w:val="auto"/>
          <w:vertAlign w:val="superscript"/>
        </w:rPr>
        <w:t>43</w:t>
      </w:r>
      <w:r>
        <w:rPr>
          <w:rFonts w:ascii="Arial" w:cs="Arial" w:eastAsia="Arial" w:hAnsi="Arial"/>
          <w:sz w:val="14"/>
          <w:szCs w:val="14"/>
          <w:color w:val="auto"/>
        </w:rPr>
        <w:t xml:space="preserve"> We estimate the annual United States market opportunity for early detection to be over $50 billion.</w:t>
      </w:r>
      <w:r>
        <w:rPr>
          <w:rFonts w:ascii="Arial" w:cs="Arial" w:eastAsia="Arial" w:hAnsi="Arial"/>
          <w:sz w:val="20"/>
          <w:szCs w:val="20"/>
          <w:color w:val="auto"/>
          <w:vertAlign w:val="superscript"/>
        </w:rPr>
        <w:t>42</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vision of powering AI-enabled personalized medicine for all</w:t>
      </w:r>
    </w:p>
    <w:p>
      <w:pPr>
        <w:spacing w:after="0" w:line="115" w:lineRule="exact"/>
        <w:rPr>
          <w:sz w:val="20"/>
          <w:szCs w:val="20"/>
          <w:color w:val="auto"/>
        </w:rPr>
      </w:pPr>
    </w:p>
    <w:p>
      <w:pPr>
        <w:ind w:right="20"/>
        <w:spacing w:after="0"/>
        <w:rPr>
          <w:sz w:val="20"/>
          <w:szCs w:val="20"/>
          <w:color w:val="auto"/>
        </w:rPr>
      </w:pPr>
      <w:r>
        <w:rPr>
          <w:rFonts w:ascii="Arial" w:cs="Arial" w:eastAsia="Arial" w:hAnsi="Arial"/>
          <w:sz w:val="14"/>
          <w:szCs w:val="14"/>
          <w:color w:val="auto"/>
        </w:rPr>
        <w:t>Healthcare today stands at an inflection point, poised for transformation through the convergence of unprecedented molecular insights and AI. Despite significant advances in precision medicine, particularly in oncology where treatments have evolved from being organ-based to increasingly being mutation-based, response rates for many marketed targeted therapies can be as low as single-digit percentages in their indicated patient populations. Similarly, pregnancy care follows one-size-fits-all standardized protocols despite unique patient biology. Even with broader technological advances, clinicians still cannot reliably predict or prevent major complications like preterm birth, preeclampsia, and gestational diabetes. This sobering reality underscores a fundamental challenge: many current approaches to precision medicine often rely on single biomarkers that fail to capture the full complexity of disease biology and individual patient variation. We believe that these important problems can be addressed in the future with the combination of AI and smNGS technology.</w:t>
      </w:r>
    </w:p>
    <w:p>
      <w:pPr>
        <w:spacing w:after="0" w:line="8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We believe AI-enabled personalized medicine can revolutionize healthcare delivery across all specialties. Truly personalized medicine requires the (i) characterization of the disease specific to each patient beyond the presence of the single mutation marker to quantification of disease biology of individuals at the single-molecule level, and (ii) integration of this characterization with multi-modal clinical history, powered by AI. We have already built products for this characterization, and we are starting to integrate our diagnostics with this multi-modal clinical history.</w:t>
      </w:r>
    </w:p>
    <w:p>
      <w:pPr>
        <w:spacing w:after="0" w:line="85" w:lineRule="exact"/>
        <w:rPr>
          <w:sz w:val="20"/>
          <w:szCs w:val="20"/>
          <w:color w:val="auto"/>
        </w:rPr>
      </w:pPr>
    </w:p>
    <w:p>
      <w:pPr>
        <w:ind w:right="160"/>
        <w:spacing w:after="0"/>
        <w:rPr>
          <w:sz w:val="20"/>
          <w:szCs w:val="20"/>
          <w:color w:val="auto"/>
        </w:rPr>
      </w:pPr>
      <w:r>
        <w:rPr>
          <w:rFonts w:ascii="Arial" w:cs="Arial" w:eastAsia="Arial" w:hAnsi="Arial"/>
          <w:sz w:val="14"/>
          <w:szCs w:val="14"/>
          <w:color w:val="auto"/>
        </w:rPr>
        <w:t>Our approach to building AI-enabled precision medicine will begin with our ability to generate extraordinarily precise molecular data. As we continue to generate unique data via our smNGS platform, we are building a differentiated and clinically actionable genomics dataset. Our advantage stems from two key factors: first, our biomarker measurements achieve single-molecule precision and sensitivity, capturing the key disease-causing molecular signatures in cfDNA; and second, our response monitoring assay provides an objective measurement of how a patient is responding to a therapy. AI has recently unlocked widespread access to and analysis of multimodal patient clinical history data. This powerful combination positions us to harness AI for identifying distinct patient subgroups based on their specific biomarker profiles and for predicting how each subgroup will respond to different therapeutic approaches. By mapping these response patterns with extraordinary granularity, we believe we will be able to deliver personalized treatment recommendations based on each person’s unique biology that maximize efficacy while minimizing adverse effects — moving precision medicine from aspiration to clinical reality.</w:t>
      </w:r>
    </w:p>
    <w:p>
      <w:pPr>
        <w:spacing w:after="0" w:line="8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While our AI-enabled vision represents the future of our platform, our commercial success today demonstrates the fundamental value of our existing products. Our existing products in prenatal and oncology have already demonstrated strong growth from zero to $266.3 million annualized revenue run-rate (ARR) in five years as of June 30, 2025. As we expand into new and larger markets, we believe that our foundational smNGS platform will position us to become a generational healthcare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8613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7" w:lineRule="exact"/>
        <w:rPr>
          <w:sz w:val="20"/>
          <w:szCs w:val="20"/>
          <w:color w:val="auto"/>
        </w:rPr>
      </w:pPr>
    </w:p>
    <w:p>
      <w:pPr>
        <w:ind w:left="320" w:right="60" w:hanging="316"/>
        <w:spacing w:after="0" w:line="202" w:lineRule="auto"/>
        <w:tabs>
          <w:tab w:leader="none" w:pos="320" w:val="left"/>
        </w:tabs>
        <w:numPr>
          <w:ilvl w:val="0"/>
          <w:numId w:val="87"/>
        </w:numPr>
        <w:rPr>
          <w:rFonts w:ascii="Arial" w:cs="Arial" w:eastAsia="Arial" w:hAnsi="Arial"/>
          <w:sz w:val="16"/>
          <w:szCs w:val="16"/>
          <w:color w:val="auto"/>
          <w:vertAlign w:val="superscript"/>
        </w:rPr>
      </w:pPr>
      <w:r>
        <w:rPr>
          <w:rFonts w:ascii="Arial" w:cs="Arial" w:eastAsia="Arial" w:hAnsi="Arial"/>
          <w:sz w:val="10"/>
          <w:szCs w:val="10"/>
          <w:color w:val="auto"/>
        </w:rPr>
        <w:t>Both MRD and early-detection assays are designed to detect minute amounts of cancer DNA in blood (e.g., at levels of 0.01% or even lower). Given the trade off between specificity and sensitivity (LOD), this higher specificity can be, in principle, achieved by changing the calling threshold. As a part of our five-year strategic plan, we have included the necessary R&amp;D funding for development of an early detection test that builds upon our earlier work.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60"/>
          </w:cols>
          <w:pgMar w:left="300" w:top="38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659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BillionToOne smNGS platform leverages proprietary and patent-protected technologies that allow us to detect previously undetectable diseases and support physicians developing and managing treatment plans for patients. Our platform integrates our patented QCTs, proprietary machine learning algorithms embedded in sophisticated bioinformatics systems, and a quantitative, iterative, engineering-oriented assay design. These complementary technologies achieve single-molecule precision with large scale multiplex capabilities, bypassing the tradeoff between precision and scale that limits traditional NGS methods.</w:t>
      </w:r>
    </w:p>
    <w:p>
      <w:pPr>
        <w:spacing w:after="0" w:line="74"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We developed our smNGS platform specifically to address the fundamental challenge of cfDNA scarcity. cfDNA is the extracellular DNA found in blood plasma that is released by all tissues as a part of both normal and pathological cellular processes. cfDNA offers non-invasive windows into the genetic make-up and disease status of different tissues throughout the body. However, the concentration of cfDNA is typically very low, and the amount of cfDNA from any given source, such as a fetus or a tumor, is even lower. For a pregnant patient, typically only 2% to 15% of the cfDNA in a standard blood draw is of fetal origin.</w:t>
      </w:r>
      <w:r>
        <w:rPr>
          <w:rFonts w:ascii="Arial" w:cs="Arial" w:eastAsia="Arial" w:hAnsi="Arial"/>
          <w:sz w:val="19"/>
          <w:szCs w:val="19"/>
          <w:color w:val="auto"/>
          <w:vertAlign w:val="superscript"/>
        </w:rPr>
        <w:t>44</w:t>
      </w:r>
      <w:r>
        <w:rPr>
          <w:rFonts w:ascii="Arial" w:cs="Arial" w:eastAsia="Arial" w:hAnsi="Arial"/>
          <w:sz w:val="13"/>
          <w:szCs w:val="13"/>
          <w:color w:val="auto"/>
        </w:rPr>
        <w:t xml:space="preserve"> For a cancer patient, approximately between 0.01% to 1% of the cfDNA is derived from a tumor, depending on cancer stage.</w:t>
      </w:r>
      <w:r>
        <w:rPr>
          <w:rFonts w:ascii="Arial" w:cs="Arial" w:eastAsia="Arial" w:hAnsi="Arial"/>
          <w:sz w:val="19"/>
          <w:szCs w:val="19"/>
          <w:color w:val="auto"/>
          <w:vertAlign w:val="superscript"/>
        </w:rPr>
        <w:t>45</w:t>
      </w:r>
      <w:r>
        <w:rPr>
          <w:rFonts w:ascii="Arial" w:cs="Arial" w:eastAsia="Arial" w:hAnsi="Arial"/>
          <w:sz w:val="13"/>
          <w:szCs w:val="13"/>
          <w:color w:val="auto"/>
        </w:rPr>
        <w:t xml:space="preserve"> Notably, there is often only one cfDNA molecule present at any given genomic location associated with disease, even in advanced cancer patients.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Breakthrough performance capabilities</w:t>
      </w:r>
    </w:p>
    <w:p>
      <w:pPr>
        <w:spacing w:after="0" w:line="10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Our smNGS platform performs absolute quantification of different DNA species down to the level of a single DNA molecule. In addition, smNGS can interrogate thousands of loci simultaneously on the same sample. The cumulative number of cfDNA molecules corresponding to disease can then be summed across all of these loci, thereby amplifying the scarce disease signal by thousands. This capability is especially important for applications such as tissue-free response monitoring or MRD. In contrast, traditional methods are only able to achieve modest relative quantification, far from single molecule level, precluding any applications that require precise quantification.</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In comparison to other DNA analysis methods, smNGS uniquely combines precise measurements with a high degree of multiplexing, as depicted in the figure below. ddPCR, the only other established method of performing absolute quantification, is limited to multiplexing no more than one to four probes, making it impractical for clinical testing that requires interrogating more than one hundred loci to cover even a few genes of interest.</w:t>
      </w:r>
    </w:p>
    <w:p>
      <w:pPr>
        <w:spacing w:after="0" w:line="80" w:lineRule="exact"/>
        <w:rPr>
          <w:sz w:val="20"/>
          <w:szCs w:val="20"/>
          <w:color w:val="auto"/>
        </w:rPr>
      </w:pPr>
    </w:p>
    <w:p>
      <w:pPr>
        <w:ind w:right="260"/>
        <w:spacing w:after="0" w:line="289" w:lineRule="auto"/>
        <w:rPr>
          <w:sz w:val="20"/>
          <w:szCs w:val="20"/>
          <w:color w:val="auto"/>
        </w:rPr>
      </w:pPr>
      <w:r>
        <w:rPr>
          <w:rFonts w:ascii="Arial" w:cs="Arial" w:eastAsia="Arial" w:hAnsi="Arial"/>
          <w:sz w:val="13"/>
          <w:szCs w:val="13"/>
          <w:color w:val="auto"/>
        </w:rPr>
        <w:t>Traditional NGS methods have transformed many areas of clinical testing due to their ability to multiplex across thousands of loci, such as enabling a single clinical test to cover multiple genes. However, these NGS methods face significant limitations when applied to cfDNA analysis. The scarcity of cfDNA necessitates amplification by a factor of millions before it can be sequenced.</w:t>
      </w:r>
      <w:r>
        <w:rPr>
          <w:rFonts w:ascii="Arial" w:cs="Arial" w:eastAsia="Arial" w:hAnsi="Arial"/>
          <w:sz w:val="19"/>
          <w:szCs w:val="19"/>
          <w:color w:val="auto"/>
          <w:vertAlign w:val="superscript"/>
        </w:rPr>
        <w:t>46</w:t>
      </w:r>
      <w:r>
        <w:rPr>
          <w:rFonts w:ascii="Arial" w:cs="Arial" w:eastAsia="Arial" w:hAnsi="Arial"/>
          <w:sz w:val="13"/>
          <w:szCs w:val="13"/>
          <w:color w:val="auto"/>
        </w:rPr>
        <w:t xml:space="preserve"> This amplification occurs at different rates across different genomic loci, which introduces significant biases that challenge traditional NGS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8613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ind w:left="320" w:hanging="316"/>
        <w:spacing w:after="0" w:line="189" w:lineRule="auto"/>
        <w:tabs>
          <w:tab w:leader="none" w:pos="320" w:val="left"/>
        </w:tabs>
        <w:numPr>
          <w:ilvl w:val="0"/>
          <w:numId w:val="88"/>
        </w:numPr>
        <w:rPr>
          <w:rFonts w:ascii="Arial" w:cs="Arial" w:eastAsia="Arial" w:hAnsi="Arial"/>
          <w:sz w:val="15"/>
          <w:szCs w:val="15"/>
          <w:color w:val="auto"/>
          <w:vertAlign w:val="superscript"/>
        </w:rPr>
      </w:pPr>
      <w:r>
        <w:rPr>
          <w:rFonts w:ascii="Arial" w:cs="Arial" w:eastAsia="Arial" w:hAnsi="Arial"/>
          <w:sz w:val="10"/>
          <w:szCs w:val="10"/>
          <w:color w:val="auto"/>
        </w:rPr>
        <w:t xml:space="preserve">Hou, Y., Yang, J., Qi, Y., et al. Factors affecting cell-free DNA fetal fraction: statistical analysis of 13,661 maternal plasmas for non-invasive prenatal screening. </w:t>
      </w:r>
      <w:r>
        <w:rPr>
          <w:rFonts w:ascii="Arial" w:cs="Arial" w:eastAsia="Arial" w:hAnsi="Arial"/>
          <w:sz w:val="10"/>
          <w:szCs w:val="10"/>
          <w:i w:val="1"/>
          <w:iCs w:val="1"/>
          <w:color w:val="auto"/>
        </w:rPr>
        <w:t>Hum Genomics</w:t>
      </w:r>
      <w:r>
        <w:rPr>
          <w:rFonts w:ascii="Arial" w:cs="Arial" w:eastAsia="Arial" w:hAnsi="Arial"/>
          <w:sz w:val="10"/>
          <w:szCs w:val="10"/>
          <w:color w:val="auto"/>
        </w:rPr>
        <w:t>. (2019);13(1):62.</w:t>
      </w:r>
    </w:p>
    <w:p>
      <w:pPr>
        <w:ind w:left="320" w:hanging="316"/>
        <w:spacing w:after="0" w:line="202" w:lineRule="auto"/>
        <w:tabs>
          <w:tab w:leader="none" w:pos="320" w:val="left"/>
        </w:tabs>
        <w:numPr>
          <w:ilvl w:val="0"/>
          <w:numId w:val="88"/>
        </w:numPr>
        <w:rPr>
          <w:rFonts w:ascii="Arial" w:cs="Arial" w:eastAsia="Arial" w:hAnsi="Arial"/>
          <w:sz w:val="13"/>
          <w:szCs w:val="13"/>
          <w:color w:val="auto"/>
          <w:vertAlign w:val="superscript"/>
        </w:rPr>
      </w:pPr>
      <w:r>
        <w:rPr>
          <w:rFonts w:ascii="Arial" w:cs="Arial" w:eastAsia="Arial" w:hAnsi="Arial"/>
          <w:sz w:val="9"/>
          <w:szCs w:val="9"/>
          <w:color w:val="auto"/>
        </w:rPr>
        <w:t>Dang, D. K., &amp; Park, B. H. (2022). Circulating tumor DNA: current challenges for clinical utility. Journal of Clinical Investigation, 132(12), e154941</w:t>
      </w:r>
    </w:p>
    <w:p>
      <w:pPr>
        <w:ind w:left="320" w:hanging="316"/>
        <w:spacing w:after="0" w:line="203" w:lineRule="auto"/>
        <w:tabs>
          <w:tab w:leader="none" w:pos="320" w:val="left"/>
        </w:tabs>
        <w:numPr>
          <w:ilvl w:val="0"/>
          <w:numId w:val="88"/>
        </w:numPr>
        <w:rPr>
          <w:rFonts w:ascii="Arial" w:cs="Arial" w:eastAsia="Arial" w:hAnsi="Arial"/>
          <w:sz w:val="13"/>
          <w:szCs w:val="13"/>
          <w:color w:val="auto"/>
          <w:vertAlign w:val="superscript"/>
        </w:rPr>
      </w:pPr>
      <w:r>
        <w:rPr>
          <w:rFonts w:ascii="Arial" w:cs="Arial" w:eastAsia="Arial" w:hAnsi="Arial"/>
          <w:sz w:val="9"/>
          <w:szCs w:val="9"/>
          <w:color w:val="auto"/>
        </w:rPr>
        <w:t>Bronkhorst, A. J., &amp; Holdenrieder, S. (2023). The changing face of circulating tumor DNA (ctDNA) profiling: Factors that shape the landscape of methodologies, technologies, and commercialization. Medizinische Genetik, 35(4), 201-235.</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60"/>
          </w:cols>
          <w:pgMar w:left="300" w:top="38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even for relative quantification. Moreover, these NGS methods struggle with the easiest copy number analyses, such as the ability to distinguish one copy of a gene versus two copies, as may be needed for a standard germline or carrier testing. Consequently, the gold standard for clinical testing of copy number analysis is pre-NGS technologies, such as microarray and multiplex ligation-dependent probe amplification. The identification of these copy number changes in cfDNA requires detecting a change that is more than 100 times smaller, since the fraction of cfDNA that is derived from the fetus or the tumor can constitute less than 1% of the total cfDNA. Only our smNGS platform can detect CNVs in cfDNA at these levels today. Similarly, smNGS is needed for determining fetal risk in single-gene recessive conditions and precisely quantifying response to therapy, as these problems require absolute quantification of a low cfDNA signal against a high background originating from other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66675</wp:posOffset>
            </wp:positionV>
            <wp:extent cx="4044315" cy="1958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44315"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00"/>
          </w:cols>
          <w:pgMar w:left="300" w:top="385" w:right="3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components of our platform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Our smNGS platform seamlessly integrates several tools and patented technologies, as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80010</wp:posOffset>
            </wp:positionV>
            <wp:extent cx="4030980" cy="21120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30980" cy="211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Quantitative Counting Templates (QCTs)</w:t>
      </w: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QCTs are the foundation of our smNGS technology. They are artificial DNA fragments that we design and synthesize to mimic the properties of the human DNA loci that are being interrogated in an assay. A specific identifier is embedded into the sequence that flags the QCTs as synthetic controls, and a randomized embedded sequence ensures that each QCT is unique. QCTs are added to the biological sample at the start of the testing process so that they are subject to the same laboratory processes, including amplification and sequencing, as the disease-associated genetic molecules that the assay targets. Importantly, QCTs amplify at the same rate as the genetic targets. We can then precisely calculate the amplification and sequencing biases that were introduced during the sample processing and remove their effects from the data to absolutely quantify the number of cfDNA molecules that are present in the sample. The precise number of QCT molecules added to each specimen is calculated bioinformatically through the counting of the number of diversity regions in the sequencing data. This method is therefore “calibration-free” and does not require the exact measurement and titration of spike-in DNA concentrations, a feature that is particularly advantageous for quantitative assessments across multiple timepoints in longitudinal monitoring contexts.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385"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QCTs are compatible with almost all NGS library preparation methods and can be used to measure both genetic and epigenetic changes, such as methylation. Our ability to absolutely quantify methylation across genomic loci allows us to combine signals from thousands of genomic loci to reduce the amplification and sample processing noise to negligible levels, thereby converting a 0.01% signal to the equivalent of a 10+% signal.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60325</wp:posOffset>
            </wp:positionV>
            <wp:extent cx="4030980" cy="20853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30980"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QCTs are used in our testing workflow with the following steps:</w:t>
      </w:r>
    </w:p>
    <w:p>
      <w:pPr>
        <w:spacing w:after="0" w:line="112" w:lineRule="exact"/>
        <w:rPr>
          <w:sz w:val="20"/>
          <w:szCs w:val="20"/>
          <w:color w:val="auto"/>
        </w:rPr>
      </w:pPr>
    </w:p>
    <w:p>
      <w:pPr>
        <w:ind w:left="1020" w:right="180" w:hanging="565"/>
        <w:spacing w:after="0" w:line="269" w:lineRule="auto"/>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Add </w:t>
      </w:r>
      <w:r>
        <w:rPr>
          <w:rFonts w:ascii="Arial" w:cs="Arial" w:eastAsia="Arial" w:hAnsi="Arial"/>
          <w:sz w:val="14"/>
          <w:szCs w:val="14"/>
          <w:color w:val="auto"/>
        </w:rPr>
        <w:t>an aliquot of traceable and specific QCTs into the patient’s blood sample, which contains an unknown number of DNA fragments of interest (m1) among a vast</w:t>
      </w:r>
      <w:r>
        <w:rPr>
          <w:rFonts w:ascii="Arial" w:cs="Arial" w:eastAsia="Arial" w:hAnsi="Arial"/>
          <w:sz w:val="14"/>
          <w:szCs w:val="14"/>
          <w:b w:val="1"/>
          <w:bCs w:val="1"/>
          <w:color w:val="auto"/>
        </w:rPr>
        <w:t xml:space="preserve"> </w:t>
      </w:r>
      <w:r>
        <w:rPr>
          <w:rFonts w:ascii="Arial" w:cs="Arial" w:eastAsia="Arial" w:hAnsi="Arial"/>
          <w:sz w:val="14"/>
          <w:szCs w:val="14"/>
          <w:color w:val="auto"/>
        </w:rPr>
        <w:t>background of the patient’s genome. The precise number of QCT molecules (n1) is also unknown at this stage but is determined in a subsequent step.</w:t>
      </w:r>
    </w:p>
    <w:p>
      <w:pPr>
        <w:spacing w:after="0" w:line="69" w:lineRule="exact"/>
        <w:rPr>
          <w:rFonts w:ascii="Arial" w:cs="Arial" w:eastAsia="Arial" w:hAnsi="Arial"/>
          <w:sz w:val="14"/>
          <w:szCs w:val="14"/>
          <w:color w:val="auto"/>
        </w:rPr>
      </w:pPr>
    </w:p>
    <w:p>
      <w:pPr>
        <w:ind w:left="1020" w:hanging="565"/>
        <w:spacing w:after="0"/>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Amplify </w:t>
      </w:r>
      <w:r>
        <w:rPr>
          <w:rFonts w:ascii="Arial" w:cs="Arial" w:eastAsia="Arial" w:hAnsi="Arial"/>
          <w:sz w:val="14"/>
          <w:szCs w:val="14"/>
          <w:color w:val="auto"/>
        </w:rPr>
        <w:t>the cfDNA fragments of interest using PCR at the same, unknown amplification rate as QCTs.</w:t>
      </w:r>
    </w:p>
    <w:p>
      <w:pPr>
        <w:spacing w:after="0" w:line="111" w:lineRule="exact"/>
        <w:rPr>
          <w:rFonts w:ascii="Arial" w:cs="Arial" w:eastAsia="Arial" w:hAnsi="Arial"/>
          <w:sz w:val="14"/>
          <w:szCs w:val="14"/>
          <w:color w:val="auto"/>
        </w:rPr>
      </w:pPr>
    </w:p>
    <w:p>
      <w:pPr>
        <w:ind w:left="1020" w:right="20" w:hanging="565"/>
        <w:spacing w:after="0" w:line="269" w:lineRule="auto"/>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Count </w:t>
      </w:r>
      <w:r>
        <w:rPr>
          <w:rFonts w:ascii="Arial" w:cs="Arial" w:eastAsia="Arial" w:hAnsi="Arial"/>
          <w:sz w:val="14"/>
          <w:szCs w:val="14"/>
          <w:color w:val="auto"/>
        </w:rPr>
        <w:t>the number of clusters of sequences with identifier tags (i.e., the number of distinct QCTs with different diversity regions), which is equal to the number of QCTs</w:t>
      </w:r>
      <w:r>
        <w:rPr>
          <w:rFonts w:ascii="Arial" w:cs="Arial" w:eastAsia="Arial" w:hAnsi="Arial"/>
          <w:sz w:val="14"/>
          <w:szCs w:val="14"/>
          <w:b w:val="1"/>
          <w:bCs w:val="1"/>
          <w:color w:val="auto"/>
        </w:rPr>
        <w:t xml:space="preserve"> </w:t>
      </w:r>
      <w:r>
        <w:rPr>
          <w:rFonts w:ascii="Arial" w:cs="Arial" w:eastAsia="Arial" w:hAnsi="Arial"/>
          <w:sz w:val="14"/>
          <w:szCs w:val="14"/>
          <w:color w:val="auto"/>
        </w:rPr>
        <w:t>that were added to the sample (n1).</w:t>
      </w:r>
    </w:p>
    <w:p>
      <w:pPr>
        <w:spacing w:after="0" w:line="69" w:lineRule="exact"/>
        <w:rPr>
          <w:rFonts w:ascii="Arial" w:cs="Arial" w:eastAsia="Arial" w:hAnsi="Arial"/>
          <w:sz w:val="14"/>
          <w:szCs w:val="14"/>
          <w:color w:val="auto"/>
        </w:rPr>
      </w:pPr>
    </w:p>
    <w:p>
      <w:pPr>
        <w:ind w:left="1020" w:hanging="565"/>
        <w:spacing w:after="0"/>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Determine </w:t>
      </w:r>
      <w:r>
        <w:rPr>
          <w:rFonts w:ascii="Arial" w:cs="Arial" w:eastAsia="Arial" w:hAnsi="Arial"/>
          <w:sz w:val="14"/>
          <w:szCs w:val="14"/>
          <w:color w:val="auto"/>
        </w:rPr>
        <w:t>the amplification multiplier (x) by dividing the number of total sequencing reads that map to QCTs by the number of QCTs (n1).</w:t>
      </w:r>
    </w:p>
    <w:p>
      <w:pPr>
        <w:spacing w:after="0" w:line="111" w:lineRule="exact"/>
        <w:rPr>
          <w:rFonts w:ascii="Arial" w:cs="Arial" w:eastAsia="Arial" w:hAnsi="Arial"/>
          <w:sz w:val="14"/>
          <w:szCs w:val="14"/>
          <w:color w:val="auto"/>
        </w:rPr>
      </w:pPr>
    </w:p>
    <w:p>
      <w:pPr>
        <w:ind w:left="1020" w:right="180" w:hanging="565"/>
        <w:spacing w:after="0" w:line="269" w:lineRule="auto"/>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Remove bias </w:t>
      </w:r>
      <w:r>
        <w:rPr>
          <w:rFonts w:ascii="Arial" w:cs="Arial" w:eastAsia="Arial" w:hAnsi="Arial"/>
          <w:sz w:val="14"/>
          <w:szCs w:val="14"/>
          <w:color w:val="auto"/>
        </w:rPr>
        <w:t>by dividing the total number of sequencing reads that map to cfDNA fragments of interest by x to find the absolute number of molecules in the cfDNA</w:t>
      </w:r>
      <w:r>
        <w:rPr>
          <w:rFonts w:ascii="Arial" w:cs="Arial" w:eastAsia="Arial" w:hAnsi="Arial"/>
          <w:sz w:val="14"/>
          <w:szCs w:val="14"/>
          <w:b w:val="1"/>
          <w:bCs w:val="1"/>
          <w:color w:val="auto"/>
        </w:rPr>
        <w:t xml:space="preserve"> </w:t>
      </w:r>
      <w:r>
        <w:rPr>
          <w:rFonts w:ascii="Arial" w:cs="Arial" w:eastAsia="Arial" w:hAnsi="Arial"/>
          <w:sz w:val="14"/>
          <w:szCs w:val="14"/>
          <w:color w:val="auto"/>
        </w:rPr>
        <w:t>sample (m1).</w:t>
      </w:r>
    </w:p>
    <w:p>
      <w:pPr>
        <w:spacing w:after="0" w:line="69" w:lineRule="exact"/>
        <w:rPr>
          <w:sz w:val="20"/>
          <w:szCs w:val="20"/>
          <w:color w:val="auto"/>
        </w:rPr>
      </w:pPr>
    </w:p>
    <w:p>
      <w:pPr>
        <w:jc w:val="both"/>
        <w:ind w:right="440"/>
        <w:spacing w:after="0" w:line="252" w:lineRule="auto"/>
        <w:rPr>
          <w:sz w:val="20"/>
          <w:szCs w:val="20"/>
          <w:color w:val="auto"/>
        </w:rPr>
      </w:pPr>
      <w:r>
        <w:rPr>
          <w:rFonts w:ascii="Arial" w:cs="Arial" w:eastAsia="Arial" w:hAnsi="Arial"/>
          <w:sz w:val="14"/>
          <w:szCs w:val="14"/>
          <w:color w:val="auto"/>
        </w:rPr>
        <w:t>We believe that QCTs provide unprecedented insight into disease biology across the human genome. We have developed custom machine learning models to analyze the tiny, individualized variations across hundreds of thousands of patients, uncovering novel patterns of disease biology. These insights are incorporated into our assays to significantly improve performance. We continuously refine our understanding of disease biology to support existing and future diagnostic products.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 bioinformatics with machine learning</w:t>
      </w:r>
    </w:p>
    <w:p>
      <w:pPr>
        <w:spacing w:after="0" w:line="110"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Due to the vast amounts of data generated by genetic sequencing, robust bioinformatics are required to analyze the data and identify mutations of interest. Our smNGS platform requires the use of proprietary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386"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bioinformatics to further analyze the data generated by the genetic sample and QCTs to accurately quantify the presence of disease. A selection of proprietary bioinformatic tools enabling the single-molecule sensitivity of smNGS includes the following:</w:t>
      </w:r>
    </w:p>
    <w:p>
      <w:pPr>
        <w:spacing w:after="0" w:line="69" w:lineRule="exact"/>
        <w:rPr>
          <w:sz w:val="20"/>
          <w:szCs w:val="20"/>
          <w:color w:val="auto"/>
        </w:rPr>
      </w:pPr>
    </w:p>
    <w:p>
      <w:pPr>
        <w:ind w:left="220" w:right="180" w:hanging="216"/>
        <w:spacing w:after="0" w:line="269"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Our bioinformatic tools implement numerous quality control metrics that enable single molecule sensitivity, for instance, the QCTs’ ability to identify cross-contamination between samples down to a 0.001% level.</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Our bioinformatic models enable us to effectively combine signals across thousands of loci, enabling unprecedented sensitivity.</w:t>
      </w:r>
    </w:p>
    <w:p>
      <w:pPr>
        <w:spacing w:after="0" w:line="111" w:lineRule="exact"/>
        <w:rPr>
          <w:rFonts w:ascii="Arial" w:cs="Arial" w:eastAsia="Arial" w:hAnsi="Arial"/>
          <w:sz w:val="14"/>
          <w:szCs w:val="14"/>
          <w:color w:val="auto"/>
        </w:rPr>
      </w:pPr>
    </w:p>
    <w:p>
      <w:pPr>
        <w:ind w:left="220" w:right="20" w:hanging="216"/>
        <w:spacing w:after="0" w:line="269"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close collaboration between our clinical and bioinformatics teams enables us to curate personalized reports for patients. For example, there are more than 500 types of results that our fetal risk screen can provide with a vast repertoire of risk assessment.</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Our custom bioinformatic tools enable design-based approaches to assay development, significantly reducing the time and cost of building a novel assay.</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Specialized and scalable infrastructure</w:t>
      </w:r>
    </w:p>
    <w:p>
      <w:pPr>
        <w:spacing w:after="0" w:line="110"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Our smNGS platform leverages specialized and scalable infrastructure that we have spent years building and refining. Our laboratory infrastructure has been custom designed from the ground up to support the single molecule sensitivity of our assays. The scalability of our tests has been built over time through automation, which has enabled us to maintain single molecule sensitivity while driving down COGS. While the vast majority of our laboratory processes are now fully automated, it was accomplished through a deliberate step-by-step approach of continuous implementation. In addition to the smNGS technology that we have developed, we believe that the current scalability of our assays also gives us a multi-year advantage. For example, it took an entire year to automate one single step of our sgNIPT assay, automated cfDNA extraction with the same yield as manual column-based extraction, to maintain the same single molecule sensitivity.</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Once a sample is received at one of our facilities, it is processed through a single-directional workflow across four separate labs, each with strictly separated and segregated airflows and air filtration systems. Every step in the laboratory process is designed to optimize yields and support a high-quality testing process. By leveraging smNGS techniques and strictly controlling the workflow and environment, we can detect sample cross-contamination at the single molecule level and even determine the exact point in the process where the contamination occurred, including potentially at the clinic where the sample was collected. Even if QCTs were deployed in a traditional NGS lab, post-PCR contamination that is typically found in such labs would preclude the single molecule sensitivity, absent a complete redesign of not only the assays and bioinformatics, but of the entire laboratory infrastructure.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have also utilized automation and AI throughout our infrastructure to reduce errors and increase laboratory throughput. By automating our labs, we are able to build uniformity into sample processing and can rapidly identify and triage problems as they occur. Each individual lab contains specialized equipment with bespoke programming to drive specific processes and to progress the sample through the testing workflow. In addition, we also integrate third-party large language models and AI to improve our laboratory workflows. For example, we completely redesigned and automated our biological sample accessioning process by incorporating AI and computer vision that automates labor-intensive clerical tasks. This allowed us to redeploy our laboratory personnel to higher impact areas. As a technology-forward organization, we have decreased our Overall Cost Per Test by more than 21% in the 24 months ended June 30, 2025, in part by deploying automation and AI. While our current laboratory space is already sufficient for at least four times more growth, our process engineering and automation teams continue to work on creative solutions to further scale our laboratory capacity and decrease our COGS.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38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IP and know-how</w:t>
      </w:r>
    </w:p>
    <w:p>
      <w:pPr>
        <w:spacing w:after="0" w:line="99"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Our smNGS platform is protected by a suite of over 50 patents and proprietary technological know-how. Our patented technologies differentiate us from our competitors and support improved quality controls, enable nimble product iteration, and drive rational assay design that allow us to build novel products with attractive gross margin. We have multiple issued patents for our core technologies and our ancillary technology in the United States and internationally. Our core patents cover various approaches to using synthetic molecules to provide accurate counting of target molecules, which is our QCT technology, as well as protecting the following technologies:</w:t>
      </w:r>
    </w:p>
    <w:p>
      <w:pPr>
        <w:spacing w:after="0" w:line="85" w:lineRule="exact"/>
        <w:rPr>
          <w:sz w:val="20"/>
          <w:szCs w:val="20"/>
          <w:color w:val="auto"/>
        </w:rPr>
      </w:pPr>
    </w:p>
    <w:p>
      <w:pPr>
        <w:ind w:left="1020" w:right="160" w:hanging="565"/>
        <w:spacing w:after="0" w:line="252" w:lineRule="auto"/>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Dilution tagging </w:t>
      </w:r>
      <w:r>
        <w:rPr>
          <w:rFonts w:ascii="Arial" w:cs="Arial" w:eastAsia="Arial" w:hAnsi="Arial"/>
          <w:sz w:val="14"/>
          <w:szCs w:val="14"/>
          <w:color w:val="auto"/>
        </w:rPr>
        <w:t>is a novel method to quantify the abundance of targeted DNA molecules across a dynamic range of many orders of magnitude. This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enables low-cost sequencing of cfDNA samples with rare sequences without the loss of quantitative information. For example, this can reduce sequencing costs by 10-50x for sequencing intensive applications, such as immune receptor repertoire profiling and single cell RNA sequencing.</w:t>
      </w:r>
    </w:p>
    <w:p>
      <w:pPr>
        <w:spacing w:after="0" w:line="80" w:lineRule="exact"/>
        <w:rPr>
          <w:rFonts w:ascii="Arial" w:cs="Arial" w:eastAsia="Arial" w:hAnsi="Arial"/>
          <w:sz w:val="14"/>
          <w:szCs w:val="14"/>
          <w:color w:val="auto"/>
        </w:rPr>
      </w:pPr>
    </w:p>
    <w:p>
      <w:pPr>
        <w:ind w:left="1020" w:hanging="565"/>
        <w:spacing w:after="0" w:line="269" w:lineRule="auto"/>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Spike-in technology </w:t>
      </w:r>
      <w:r>
        <w:rPr>
          <w:rFonts w:ascii="Arial" w:cs="Arial" w:eastAsia="Arial" w:hAnsi="Arial"/>
          <w:sz w:val="14"/>
          <w:szCs w:val="14"/>
          <w:color w:val="auto"/>
        </w:rPr>
        <w:t>refers to synthetic DNA controls custom-made for each assay and added to every patient sample. These DNA controls enable the calculation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relative abundance of targeted DNA molecules at a low cost.</w:t>
      </w:r>
    </w:p>
    <w:p>
      <w:pPr>
        <w:spacing w:after="0" w:line="69" w:lineRule="exact"/>
        <w:rPr>
          <w:rFonts w:ascii="Arial" w:cs="Arial" w:eastAsia="Arial" w:hAnsi="Arial"/>
          <w:sz w:val="14"/>
          <w:szCs w:val="14"/>
          <w:color w:val="auto"/>
        </w:rPr>
      </w:pPr>
    </w:p>
    <w:p>
      <w:pPr>
        <w:ind w:left="1020" w:right="120" w:hanging="565"/>
        <w:spacing w:after="0" w:line="252" w:lineRule="auto"/>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qSanger technology </w:t>
      </w:r>
      <w:r>
        <w:rPr>
          <w:rFonts w:ascii="Arial" w:cs="Arial" w:eastAsia="Arial" w:hAnsi="Arial"/>
          <w:sz w:val="14"/>
          <w:szCs w:val="14"/>
          <w:color w:val="auto"/>
        </w:rPr>
        <w:t>combines spike-in technology with custom-built, proprietary signal processing and applies it to Sanger sequencing and capillary</w:t>
      </w:r>
      <w:r>
        <w:rPr>
          <w:rFonts w:ascii="Arial" w:cs="Arial" w:eastAsia="Arial" w:hAnsi="Arial"/>
          <w:sz w:val="14"/>
          <w:szCs w:val="14"/>
          <w:b w:val="1"/>
          <w:bCs w:val="1"/>
          <w:color w:val="auto"/>
        </w:rPr>
        <w:t xml:space="preserve"> </w:t>
      </w:r>
      <w:r>
        <w:rPr>
          <w:rFonts w:ascii="Arial" w:cs="Arial" w:eastAsia="Arial" w:hAnsi="Arial"/>
          <w:sz w:val="14"/>
          <w:szCs w:val="14"/>
          <w:color w:val="auto"/>
        </w:rPr>
        <w:t>electrophoresis, bringing the power of quantification to previously qualitative technologies. This approach brings NGS-level precision to easy-to-deploy technologies and enables their use as low-cost and high-throughput diagnostic tools.</w:t>
      </w:r>
    </w:p>
    <w:p>
      <w:pPr>
        <w:spacing w:after="0" w:line="80" w:lineRule="exact"/>
        <w:rPr>
          <w:sz w:val="20"/>
          <w:szCs w:val="20"/>
          <w:color w:val="auto"/>
        </w:rPr>
      </w:pPr>
    </w:p>
    <w:p>
      <w:pPr>
        <w:jc w:val="both"/>
        <w:ind w:right="100"/>
        <w:spacing w:after="0" w:line="252" w:lineRule="auto"/>
        <w:rPr>
          <w:sz w:val="20"/>
          <w:szCs w:val="20"/>
          <w:color w:val="auto"/>
        </w:rPr>
      </w:pPr>
      <w:r>
        <w:rPr>
          <w:rFonts w:ascii="Arial" w:cs="Arial" w:eastAsia="Arial" w:hAnsi="Arial"/>
          <w:sz w:val="14"/>
          <w:szCs w:val="14"/>
          <w:color w:val="auto"/>
        </w:rPr>
        <w:t>Beyond these patented technologies, we have developed substantial proprietary techniques and know-how throughout our organization that are critical to our R&amp;D and commercial success. We protect our IP through a comprehensive strategy including patents, trademarks, copyrights, trade secrets, confidentiality agreements, and other contractual protections. For further details on our IP portfolio, including issued and pending patents, see the section titled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Engineering biology approach</w:t>
      </w:r>
    </w:p>
    <w:p>
      <w:pPr>
        <w:spacing w:after="0" w:line="11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Our focus on quantification fundamentally transforms our R&amp;D approach. We believe, by leveraging the precise molecular measurements enabled by our smNGS platform, we significantly reduce biological and clinical risks in our diagnostic pipeline. When designing new assays, we build mechanistic models that mathematically predict clinical performance with high confidence, transforming diagnostic development from a biology-driven trial-and-error process with inherent uncertainties into an engineering challenge with clear, solvable parameters.</w:t>
      </w:r>
    </w:p>
    <w:p>
      <w:pPr>
        <w:spacing w:after="0" w:line="74"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We believe this engineering biology framework delivers exceptional capital efficiency. While many competitors invest heavily in exploratory biological research with uncertain outcomes, our quantification-first approach enables us to predict diagnostic performance based on biomarker measurability rather than speculative biology. We believe this targeted strategy accelerates time-to-market and significantly improves our success rate in developing category-defining products, creating substantial value for patients and shareholders alike.</w:t>
      </w:r>
    </w:p>
    <w:p>
      <w:pPr>
        <w:spacing w:after="0" w:line="8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have complemented these technological advantages with an innovative organizational structure inspired by Bell Laboratories, Inc. Our R&amp;D model organizes core scientists into focused teams reporting directly to our CEO and CTO, eliminating bureaucratic layers and accelerating decision-making. Each scientist has end-to-end responsibility across the biochemistry and bioinformatics technology stack and is empowered to drive new products from conception through commercialization. This structure enables rapid iteration with minimal resources. We believe this combination of technological foundation and organizational design will create compounding advantages that widen the gap between BillionToOne and our competitors over time.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40"/>
          </w:cols>
          <w:pgMar w:left="300" w:top="385"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uses of artificial intelligence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Productivity improvements</w:t>
      </w:r>
    </w:p>
    <w:p>
      <w:pPr>
        <w:spacing w:after="0" w:line="110"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have already begun to harness the transformative potential of AI to drive productivity improvements across our operations. For example, AI has significantly reduced the time required on sample accessioning, reimbursement, and healthcare operations, while substantially improving software programming productivity. These early applications represent just the beginning of our AI integration strategy. We envision an organization where AI augments virtually every functional area, creating a continuous cycle of productivity enhancement and financial performance improvement. By progressively automating routine tasks, we expect to increasingly redirect our exceptional talent toward high-value, creative activities that drive innovation and competitive differentiation. We believe this will further strengthen our differentiated financial profile by continuously improving the ratio of revenue to operating expense.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Personalized medicine</w:t>
      </w:r>
    </w:p>
    <w:p>
      <w:pPr>
        <w:spacing w:after="0" w:line="110"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We believe that our smNGS platform is building a uniquely valuable genetics dataset due to its ability to detect single molecules at scale. We have processed over one million tests to date and our dataset continues to grow rapidly. AI can reduce medical chart extraction costs by over 90%, enabling the synthesis of smNGS molecular data and AI-extracted longitudinal clinical data for each patient.</w:t>
      </w:r>
      <w:r>
        <w:rPr>
          <w:rFonts w:ascii="Arial" w:cs="Arial" w:eastAsia="Arial" w:hAnsi="Arial"/>
          <w:sz w:val="20"/>
          <w:szCs w:val="20"/>
          <w:color w:val="auto"/>
          <w:vertAlign w:val="superscript"/>
        </w:rPr>
        <w:t>47</w:t>
      </w:r>
      <w:r>
        <w:rPr>
          <w:rFonts w:ascii="Arial" w:cs="Arial" w:eastAsia="Arial" w:hAnsi="Arial"/>
          <w:sz w:val="14"/>
          <w:szCs w:val="14"/>
          <w:color w:val="auto"/>
        </w:rPr>
        <w:t xml:space="preserve"> This powerful combination creates the potential for us to increasingly provide more actionable and personalized clinical reports of treatment strategies while minimizing adverse effects for patients, making our products increasingly more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65405</wp:posOffset>
            </wp:positionV>
            <wp:extent cx="4030980" cy="666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30980" cy="66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strengths and challenges of precision-based diagnostic solutions</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Precision diagnostics has emerged as one of the most critical components of healthcare in improving patient outcomes across multiple therapeutic areas. Through the identification of actionable unique biomarkers, diagnostic tests can offer critical information for the diagnosis and treatment of diseases. Historically, directly obtaining a sample from the fetus or the tumor for analysis has been the standard of care for prenatal and oncology diagnostics, but such procedures are highly invasive and can lead to inconclusive results. More recently, many areas of care, including prenatal and oncology, have been transformed by cfDNA diagnostics. Both genetic and epigenetic properties of cfDNA reflect the originating tissue and can be used to diagnose and monitor disease. However, while powerful, the extremely limited availability of cfDNA in blood poses significant challenges to traditional diagnostics. The fraction of cfDNA that is of fetal or tumor origin can be as low as 0.01% to 1.0% of the total cfDNA, and often there is only a single molecule that corresponds to the particular mutation of interest within a tube of blood. To address this challenge, the DNA sample must be amplified during laboratory processing by a factor of millions, which adds significant errors and biases that are then difficult to differentiate from the actual targeted mutations. It also makes quantification extremely challenging, as the original signal can be orders of magnitude smaller than these errors and biases.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8613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5" w:lineRule="exact"/>
        <w:rPr>
          <w:sz w:val="20"/>
          <w:szCs w:val="20"/>
          <w:color w:val="auto"/>
        </w:rPr>
      </w:pPr>
    </w:p>
    <w:p>
      <w:pPr>
        <w:ind w:left="320" w:right="100" w:hanging="316"/>
        <w:spacing w:after="0" w:line="213" w:lineRule="auto"/>
        <w:tabs>
          <w:tab w:leader="none" w:pos="320" w:val="left"/>
        </w:tabs>
        <w:numPr>
          <w:ilvl w:val="0"/>
          <w:numId w:val="92"/>
        </w:numPr>
        <w:rPr>
          <w:rFonts w:ascii="Arial" w:cs="Arial" w:eastAsia="Arial" w:hAnsi="Arial"/>
          <w:sz w:val="16"/>
          <w:szCs w:val="16"/>
          <w:color w:val="auto"/>
          <w:vertAlign w:val="superscript"/>
        </w:rPr>
      </w:pPr>
      <w:r>
        <w:rPr>
          <w:rFonts w:ascii="Arial" w:cs="Arial" w:eastAsia="Arial" w:hAnsi="Arial"/>
          <w:sz w:val="10"/>
          <w:szCs w:val="10"/>
          <w:color w:val="auto"/>
        </w:rPr>
        <w:t>Carrell, D. S., Halgrim, S., Tran, D., Buist, D. S. M., Chubak, J., Chapman, W. W., &amp; Savova, G. (2014). Using natural language processing to improve efficiency of manual chart abstraction in research: The case of breast cancer recurrence. American Journal of Epidemiology, 179(6), 749–758 “[Natural language processing] could reduce by 90% the number of [electronic health records] charts abstracted to identify confirmed breast cancer recurrence cases at a rate comparable to traditional abstraction.”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38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entry strategy and journey</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Prior to our entry, the non-invasive prenatal testing market (NIPT) almost exclusively focused on chromosomal abnormalities called aneuploidies. Other conditions such as cystic fibrosis or sickle-cell disease could only be detected by invasive methods such as amniocentesis following carrier testing of the parents. By first focusing our smNGS platform on directly assessing fetal risk for these conditions, we expanded the indication of NIPT from more than one million base pair aneuploidies to single base pair conditions. Currently, we are the second largest prenatal genetics laboratory in the United States by revenue, achieving a 83% revenue growth rate to $209 million in the 12-month period ended June 30, 2025 from the preceding 12-month period. We estimate the market opportunity for our prenatal products to be over $2.5 billion annually in the United States.</w:t>
      </w:r>
      <w:r>
        <w:rPr>
          <w:rFonts w:ascii="Arial" w:cs="Arial" w:eastAsia="Arial" w:hAnsi="Arial"/>
          <w:sz w:val="20"/>
          <w:szCs w:val="20"/>
          <w:color w:val="auto"/>
          <w:vertAlign w:val="superscript"/>
        </w:rPr>
        <w:t>48</w:t>
      </w:r>
    </w:p>
    <w:p>
      <w:pPr>
        <w:spacing w:after="0" w:line="3" w:lineRule="exact"/>
        <w:rPr>
          <w:sz w:val="20"/>
          <w:szCs w:val="20"/>
          <w:color w:val="auto"/>
        </w:rPr>
      </w:pPr>
    </w:p>
    <w:p>
      <w:pPr>
        <w:ind w:right="40"/>
        <w:spacing w:after="0" w:line="214" w:lineRule="auto"/>
        <w:rPr>
          <w:sz w:val="20"/>
          <w:szCs w:val="20"/>
          <w:color w:val="auto"/>
        </w:rPr>
      </w:pPr>
      <w:r>
        <w:rPr>
          <w:rFonts w:ascii="Arial" w:cs="Arial" w:eastAsia="Arial" w:hAnsi="Arial"/>
          <w:sz w:val="14"/>
          <w:szCs w:val="14"/>
          <w:color w:val="auto"/>
        </w:rPr>
        <w:t>Building on our success in the prenatal market, we have applied our smNGS platform to solve similar technical challenges in the oncology market – specifically focusing on late-stage cancer. In 2023, we launched offerings in oncology specifically related to therapy selection (Northstar Select) and response monitoring (Northstar Response). We estimate the annual market opportunity for these two products to be more than $20 billion, and critically, we estimate that the market is less than 20% penetrated today by all molecular diagnostics companies.</w:t>
      </w:r>
      <w:r>
        <w:rPr>
          <w:rFonts w:ascii="Arial" w:cs="Arial" w:eastAsia="Arial" w:hAnsi="Arial"/>
          <w:sz w:val="20"/>
          <w:szCs w:val="20"/>
          <w:color w:val="auto"/>
          <w:vertAlign w:val="superscript"/>
        </w:rPr>
        <w:t>49</w:t>
      </w:r>
      <w:r>
        <w:rPr>
          <w:rFonts w:ascii="Arial" w:cs="Arial" w:eastAsia="Arial" w:hAnsi="Arial"/>
          <w:sz w:val="14"/>
          <w:szCs w:val="14"/>
          <w:color w:val="auto"/>
        </w:rPr>
        <w:t xml:space="preserve"> We also plan to expand our product portfolio and are developing a tissue-free, pan-cancer MRD test, which we expect to be commercially available in 2026. We estimate the annual United States market opportunity for MRD to be over $30 billion.</w:t>
      </w:r>
      <w:r>
        <w:rPr>
          <w:rFonts w:ascii="Arial" w:cs="Arial" w:eastAsia="Arial" w:hAnsi="Arial"/>
          <w:sz w:val="20"/>
          <w:szCs w:val="20"/>
          <w:color w:val="auto"/>
          <w:vertAlign w:val="superscript"/>
        </w:rPr>
        <w:t>48</w:t>
      </w:r>
      <w:r>
        <w:rPr>
          <w:rFonts w:ascii="Arial" w:cs="Arial" w:eastAsia="Arial" w:hAnsi="Arial"/>
          <w:sz w:val="14"/>
          <w:szCs w:val="14"/>
          <w:color w:val="auto"/>
        </w:rPr>
        <w:t xml:space="preserve"> Longer term, we believe that our smNGS-based technology could address the sensitivity challenges of early-stage cancer detection. While we have not yet started development in this area, the research work that we have done for Northstar Response and MRD is a necessary precursor for early detection development. In particular, we believe that a sensitive tissue-free MRD test, which we have already de-risked by the recent launch of an ultra-sensitive response monitoring assay (Northstar Response v2), which can detect tumor DNA in blood down to a limit of detection (LOD) of 0.01%, can be technically equivalent to an early detection test for cancer.</w:t>
      </w:r>
      <w:r>
        <w:rPr>
          <w:rFonts w:ascii="Arial" w:cs="Arial" w:eastAsia="Arial" w:hAnsi="Arial"/>
          <w:sz w:val="20"/>
          <w:szCs w:val="20"/>
          <w:color w:val="auto"/>
          <w:vertAlign w:val="superscript"/>
        </w:rPr>
        <w:t>50</w:t>
      </w:r>
      <w:r>
        <w:rPr>
          <w:rFonts w:ascii="Arial" w:cs="Arial" w:eastAsia="Arial" w:hAnsi="Arial"/>
          <w:sz w:val="14"/>
          <w:szCs w:val="14"/>
          <w:color w:val="auto"/>
        </w:rPr>
        <w:t xml:space="preserve"> We estimate the annual United States market opportunity for early detection to be over $50 billion. Collectively, we estimate these addressable oncology markets represent over $100 billion annually.</w:t>
      </w:r>
      <w:r>
        <w:rPr>
          <w:rFonts w:ascii="Arial" w:cs="Arial" w:eastAsia="Arial" w:hAnsi="Arial"/>
          <w:sz w:val="20"/>
          <w:szCs w:val="20"/>
          <w:color w:val="auto"/>
          <w:vertAlign w:val="superscript"/>
        </w:rPr>
        <w:t>48</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need for comprehensive prenatal testing solutions</w:t>
      </w:r>
    </w:p>
    <w:p>
      <w:pPr>
        <w:spacing w:after="0" w:line="11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2023, the U.S. Center for Disease Control and Prevention (CDC) reported approximately 3.7 million births in the United States, with about one in every 33 infants affected by congenital anomalies. These anomalies can be due to chromosomal abnormalities or single gene inherited disorders. While commonly-used cfDNA prenatal tests can detect chromosomal abnormalities, they are unable to screen for these inherited single gene conditions, such as sickle cell disease, cystic fibrosis, alpha-thalassemia, beta-thalassemia and spinal muscular atrophy (SMA). These five recessive conditions are common, clinically actionable, and recommended for universal screening by ACOG, with one in six pregnant individuals in the United States being a carrier for recessive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861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3" w:lineRule="exact"/>
        <w:rPr>
          <w:sz w:val="20"/>
          <w:szCs w:val="20"/>
          <w:color w:val="auto"/>
        </w:rPr>
      </w:pPr>
    </w:p>
    <w:p>
      <w:pPr>
        <w:ind w:left="320" w:right="280" w:hanging="316"/>
        <w:spacing w:after="0" w:line="193" w:lineRule="auto"/>
        <w:tabs>
          <w:tab w:leader="none" w:pos="320" w:val="left"/>
        </w:tabs>
        <w:numPr>
          <w:ilvl w:val="0"/>
          <w:numId w:val="93"/>
        </w:numPr>
        <w:rPr>
          <w:rFonts w:ascii="Arial" w:cs="Arial" w:eastAsia="Arial" w:hAnsi="Arial"/>
          <w:sz w:val="16"/>
          <w:szCs w:val="16"/>
          <w:color w:val="auto"/>
          <w:vertAlign w:val="superscript"/>
        </w:rPr>
      </w:pPr>
      <w:r>
        <w:rPr>
          <w:rFonts w:ascii="Arial" w:cs="Arial" w:eastAsia="Arial" w:hAnsi="Arial"/>
          <w:sz w:val="10"/>
          <w:szCs w:val="10"/>
          <w:color w:val="auto"/>
        </w:rPr>
        <w:t>See “Management’s discussion and analysis of financial condition and results of operations—Key factors affecting our results of operations and performance” for more information regarding how these total addressable markets are calculated, including material assumptions.</w:t>
      </w:r>
    </w:p>
    <w:p>
      <w:pPr>
        <w:ind w:left="320" w:right="60" w:hanging="316"/>
        <w:spacing w:after="0"/>
        <w:tabs>
          <w:tab w:leader="none" w:pos="320" w:val="left"/>
        </w:tabs>
        <w:numPr>
          <w:ilvl w:val="0"/>
          <w:numId w:val="93"/>
        </w:numPr>
        <w:rPr>
          <w:rFonts w:ascii="Arial" w:cs="Arial" w:eastAsia="Arial" w:hAnsi="Arial"/>
          <w:sz w:val="16"/>
          <w:szCs w:val="16"/>
          <w:color w:val="auto"/>
          <w:vertAlign w:val="superscript"/>
        </w:rPr>
      </w:pPr>
      <w:r>
        <w:rPr>
          <w:rFonts w:ascii="Arial" w:cs="Arial" w:eastAsia="Arial" w:hAnsi="Arial"/>
          <w:sz w:val="10"/>
          <w:szCs w:val="10"/>
          <w:color w:val="auto"/>
        </w:rPr>
        <w:t>This estimate includes the most recently reported annual oncology revenue generated by our public company competitors, compared to our estimated $20 billion annual United States market opportunity. For competitors that do not disaggregate oncology revenue, this estimate is over-inclusive. The competitors included in this estimate are: Bio-Techne, Ltd., Caris, Exact Sciences Corp., Foundation Medicine, Inc., Guardant, Natera and NeoGenomics Laboratories, Inc.</w:t>
      </w:r>
    </w:p>
    <w:p>
      <w:pPr>
        <w:spacing w:after="0" w:line="47" w:lineRule="exact"/>
        <w:rPr>
          <w:rFonts w:ascii="Arial" w:cs="Arial" w:eastAsia="Arial" w:hAnsi="Arial"/>
          <w:sz w:val="16"/>
          <w:szCs w:val="16"/>
          <w:color w:val="auto"/>
          <w:vertAlign w:val="superscript"/>
        </w:rPr>
      </w:pPr>
    </w:p>
    <w:p>
      <w:pPr>
        <w:ind w:left="320" w:right="60" w:hanging="316"/>
        <w:spacing w:after="0" w:line="207" w:lineRule="auto"/>
        <w:tabs>
          <w:tab w:leader="none" w:pos="320" w:val="left"/>
        </w:tabs>
        <w:numPr>
          <w:ilvl w:val="0"/>
          <w:numId w:val="93"/>
        </w:numPr>
        <w:rPr>
          <w:rFonts w:ascii="Arial" w:cs="Arial" w:eastAsia="Arial" w:hAnsi="Arial"/>
          <w:sz w:val="16"/>
          <w:szCs w:val="16"/>
          <w:color w:val="auto"/>
          <w:vertAlign w:val="superscript"/>
        </w:rPr>
      </w:pPr>
      <w:r>
        <w:rPr>
          <w:rFonts w:ascii="Arial" w:cs="Arial" w:eastAsia="Arial" w:hAnsi="Arial"/>
          <w:sz w:val="10"/>
          <w:szCs w:val="10"/>
          <w:color w:val="auto"/>
        </w:rPr>
        <w:t>Both MRD and early-detection assays are designed to detect minute amounts of cancer DNA in blood (e.g., at levels of 0.01% or even lower). As a part of our five-year strategic plan, we have included the necessary R&amp;D funding for development of an early detection test that builds upon our earlier work. We also believe that there is significant potential for our smNGS platform to accommodate products in this area. We believe the molecular information provided by our tests can assist in predicting the diagnostic pathway that can confirm the presence and tissue of origin of cancer.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60"/>
          </w:cols>
          <w:pgMar w:left="300" w:top="38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Inherited single gene conditions can be identified through carrier screening of the parents, followed by invasive diagnostic procedures such as amniocentesis. One of the most significant problems with traditional carrier screening is the requirement for both maternal and paternal blood draws. Obtaining the paternal blood sample is logistically challenging in an obstetricians-gynecologists (OB-GYN) setting. As reported in studies by independent publications, in at least 58% of cases when the mother is identified as a carrier, the father’s carrier test is not performed, resulting in the majority of affected pregnancies to be undetected.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63500</wp:posOffset>
            </wp:positionV>
            <wp:extent cx="4030980" cy="1712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030980" cy="171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The significant prevalence of genetic disorders underscores the critical need for safe and effective prenatal screening methods. By identifying these disorders prenatally, we can significantly improve patient outcomes through earlier therapeutic interventions. For instance, SMA is a progressive and debilitating disorder that causes irreversible damage to affected newborns every day following birth. Administering therapy within the first six weeks of life can be the difference between lifelong physical disability and meeting age-appropriate physical milestones. Prenatal detection of SMA is critical when considering the timelines for newborn screening, confirmatory molecular diagnostics and insurance authorization for expensive therapies. Similarly, there are an increasing number of case reports where specialists prescribe therapeutics to carrier pregnant mothers with affected CF fetuses, which significantly improved newborn outcomes. In addition, novel diagnostics enable the development and use of novel therapies. We have a global exclusive partnership with Johnson &amp; Johnson in which a therapy for preventing HDFN is administered only to those at-risk pregnancies that we identify through our non-invasive fetal testing.</w:t>
      </w:r>
    </w:p>
    <w:p>
      <w:pPr>
        <w:spacing w:after="0" w:line="9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We have two strategic partnerships with Johnson &amp; Johnson. The first is an agreement dated January 6, 2023, which was subsequently amended on July 14, 2023 and August 11, 2023 (collectively, the First J&amp;J Agreement). The First J&amp;J Agreement provides our UNITY fetal antigen clinical trial assay in Johnson &amp; Johnson’s AZALEA Phase 3 clinical trial of nipocalimab in HDFN. Under the First J&amp;J Agreement, Johnson &amp; Johnson made an initial payment to us, with subsequent payments due upon achievement of specific milestones, including receipt of approval of the trial, which was achieved in 2023, various patient enrollment milestones, and subsequent full trial completion. Under the First J&amp;J Agreement, Johnson &amp; Johnson is required to pay us up to $9.4 million in upfront fees and milestone payments, as well as payments related to patient testing activities and other costs. Revenue from this agreement was immaterial to our financial results in 2024.</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also entered into a development and commercialization agreement with Johnson &amp; Johnson on July 11, 2025 (the Commercialization Agreement), which governs our collaboration on a companion diagnostic product for nipocalimab. The Commercialization Agreement sets forth the roles and responsibilities, including development activities, to be performed by each party; the timelines for development activities and associated milestone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38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payments; and target specifications for the companion diagnostic product. Under the Commercialization Agreement, Johnson &amp; Johnson is required to make an initial payment to us, with subsequent payments due upon achievement of specific milestones, including submission of the companion diagnostic product to the FDA for marketing approval by January 2028, and FDA approval of the companion diagnostic product, by the later of (i) December 2029 and (ii) one year after Johnson &amp; Johnson obtains regulatory approval for nipocalimab. The cumulative amount of upfront fees, milestone payments, expenses and costs payable to us under the Commercialization Agreement will not exceed $13 million. The Commercialization Agreement will remain in effect until such time as Johnson &amp; Johnson ceases the development and commercialization of nipocalimab. While we expect to make the FDA submission of the companion diagnostic product by January 2028, the exact timing of FDA approval will depend on the approval timeline of the associated Phase 3 clinical trial of nipcalimab. The timing and conduct of the Phase 3 clinical trial, including submissions to the FDA, are the responsibility of Johnson &amp; Johnson and its affiliates, as the sponsor of the trial.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demand for more sensitive and precise oncology tests</w:t>
      </w:r>
    </w:p>
    <w:p>
      <w:pPr>
        <w:spacing w:after="0" w:line="11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Cancer is the second leading cause of death according to the CDC. There are over 300 commercially available cancer treatments today, with more than 60 new therapies approved by the FDA in 2024 alone. Despite the breadth of therapeutic options, treatment response rates can be as low as single-digit percentages due to differences in genetic and epigenetic patient profiles. Enabling more personalized cancer treatments and better outcomes requires more sensitive and precise tests to (i) select the best therapy regimen and (ii) monitor the patient’s response to that treatment.</w:t>
      </w:r>
    </w:p>
    <w:p>
      <w:pPr>
        <w:spacing w:after="0" w:line="7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gold standard for cancer therapy selection has been a tissue biopsy, which can be sequenced to determine the tumor profile. However, tissue biopsies can be invasive, challenging to obtain, and can lead to inconclusive results and quality control failures from the extracted DNA. They may also miss mutations due to tumor heterogeneity. In addition to tissue biopsies, non-invasive liquid biopsy tests are a rapidly growing approach to analyze tumor DNA. Faster and more convenient blood-based tests may allow earlier treatment; however, they also have lower sensitivity due to very low amounts of circulating tumor DNA (ctDNA) shed by tumors. This challenge has meant traditional liquid biopsies often miss targetable tumor mutations at lower ctDNA fractions.</w:t>
      </w:r>
    </w:p>
    <w:p>
      <w:pPr>
        <w:spacing w:after="0" w:line="87"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Our Northstar Select test addresses these challenges by capturing tumor-specific variants with high sensitivity at low variant allele frequencies (VAF). In essence, our test enables physicians to detect mutations in cancers that other diagnostic tests might miss. The detection of these mutations can enable better, more targeted therapies that their patients would otherwise not receive. We have demonstrated the analytical and clinical validity,</w:t>
      </w:r>
      <w:r>
        <w:rPr>
          <w:rFonts w:ascii="Arial" w:cs="Arial" w:eastAsia="Arial" w:hAnsi="Arial"/>
          <w:sz w:val="20"/>
          <w:szCs w:val="20"/>
          <w:color w:val="auto"/>
          <w:vertAlign w:val="superscript"/>
        </w:rPr>
        <w:t>51</w:t>
      </w:r>
      <w:r>
        <w:rPr>
          <w:rFonts w:ascii="Arial" w:cs="Arial" w:eastAsia="Arial" w:hAnsi="Arial"/>
          <w:sz w:val="14"/>
          <w:szCs w:val="14"/>
          <w:color w:val="auto"/>
        </w:rPr>
        <w:t xml:space="preserve"> as well as the clinical utility,</w:t>
      </w:r>
      <w:r>
        <w:rPr>
          <w:rFonts w:ascii="Arial" w:cs="Arial" w:eastAsia="Arial" w:hAnsi="Arial"/>
          <w:sz w:val="20"/>
          <w:szCs w:val="20"/>
          <w:color w:val="auto"/>
          <w:vertAlign w:val="superscript"/>
        </w:rPr>
        <w:t>52</w:t>
      </w:r>
      <w:r>
        <w:rPr>
          <w:rFonts w:ascii="Arial" w:cs="Arial" w:eastAsia="Arial" w:hAnsi="Arial"/>
          <w:sz w:val="14"/>
          <w:szCs w:val="14"/>
          <w:color w:val="auto"/>
        </w:rPr>
        <w:t xml:space="preserve"> of our Northstar Select test through rigorous reviews. In February beneficiaries with advanced solid tumors who meet the Molecular Diagnostics Services program (MolDX) coverage criteria. The clinical validation data submitted as part of the MolDX evaluation included a head-to-head concordance study, directly comparing the utility of our test to that of our leading competitors. The results demonstrated the superior sensitivity of Northstar Select by identifying 51% more SNVs and 109% more CNVs, most of which were found below the comparator assays’ 95% limit of detection. All references to clinical validity and clinical utility are distinct from claims of safety and efficacy relating to each of our LDTs.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8613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7" w:lineRule="exact"/>
        <w:rPr>
          <w:sz w:val="20"/>
          <w:szCs w:val="20"/>
          <w:color w:val="auto"/>
        </w:rPr>
      </w:pPr>
    </w:p>
    <w:p>
      <w:pPr>
        <w:ind w:left="320" w:right="220" w:hanging="316"/>
        <w:spacing w:after="0" w:line="214" w:lineRule="auto"/>
        <w:tabs>
          <w:tab w:leader="none" w:pos="320" w:val="left"/>
        </w:tabs>
        <w:numPr>
          <w:ilvl w:val="0"/>
          <w:numId w:val="94"/>
        </w:numPr>
        <w:rPr>
          <w:rFonts w:ascii="Arial" w:cs="Arial" w:eastAsia="Arial" w:hAnsi="Arial"/>
          <w:sz w:val="16"/>
          <w:szCs w:val="16"/>
          <w:color w:val="auto"/>
          <w:vertAlign w:val="superscript"/>
        </w:rPr>
      </w:pPr>
      <w:r>
        <w:rPr>
          <w:rFonts w:ascii="Arial" w:cs="Arial" w:eastAsia="Arial" w:hAnsi="Arial"/>
          <w:sz w:val="10"/>
          <w:szCs w:val="10"/>
          <w:color w:val="auto"/>
        </w:rPr>
        <w:t>Analytical validity refers to how accurately and reliably the molecular diagnostic test measures the specific DNA, RNA, protein, or other molecular target it is designed to detect. Clinical validity refers to the accuracy with which a molecular diagnostic test correctly identifies the presence or absence of a specific genetic variant, biomarker, or molecular target associated with a disease or condition in the intended patient population. It measures how well the test performs in distinguishing between patients with a condition or not in clinical practice. Together, these demonstrate whether the molecular test can reliably detect the genetic or molecular changes it’s designed to identify and whether those changes are truly associated with the clinical condition being tested for.</w:t>
      </w:r>
    </w:p>
    <w:p>
      <w:pPr>
        <w:ind w:left="320" w:right="140" w:hanging="316"/>
        <w:spacing w:after="0" w:line="194" w:lineRule="auto"/>
        <w:tabs>
          <w:tab w:leader="none" w:pos="320" w:val="left"/>
        </w:tabs>
        <w:numPr>
          <w:ilvl w:val="0"/>
          <w:numId w:val="94"/>
        </w:numPr>
        <w:rPr>
          <w:rFonts w:ascii="Arial" w:cs="Arial" w:eastAsia="Arial" w:hAnsi="Arial"/>
          <w:sz w:val="16"/>
          <w:szCs w:val="16"/>
          <w:color w:val="auto"/>
          <w:vertAlign w:val="superscript"/>
        </w:rPr>
      </w:pPr>
      <w:r>
        <w:rPr>
          <w:rFonts w:ascii="Arial" w:cs="Arial" w:eastAsia="Arial" w:hAnsi="Arial"/>
          <w:sz w:val="10"/>
          <w:szCs w:val="10"/>
          <w:color w:val="auto"/>
        </w:rPr>
        <w:t>Clinical utility refers to the likelihood that a test will, by prompting an intervention, result in an improved health outcome. The clinical utility of a genetic test is based on the health benefits related to the interventions offered to individuals with positive test results (or improvements in health benefits for avoiding interventions for individuals with negative results).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38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0"/>
        <w:spacing w:after="0"/>
        <w:rPr>
          <w:sz w:val="20"/>
          <w:szCs w:val="20"/>
          <w:color w:val="auto"/>
        </w:rPr>
      </w:pPr>
      <w:r>
        <w:rPr>
          <w:rFonts w:ascii="Arial" w:cs="Arial" w:eastAsia="Arial" w:hAnsi="Arial"/>
          <w:sz w:val="14"/>
          <w:szCs w:val="14"/>
          <w:color w:val="auto"/>
        </w:rPr>
        <w:t>While the number of cancer treatment options continues to expand, determining whether a specific treatment is working for an individual patient remains a significant challenge that relies too heavily on subjective assessments. Currently, doctors use medical imaging (e.g., computed tomography (CT) scans, magnetic resonance imaging (MRIs), and positron emission tomography (PET) scans) as the primary tool to evaluate a patient’s cancer status. However, this approach has important limitations affecting both accuracy and reliability. Tumors often contain diverse cell populations that respond differently to treatment, making overall assessment difficult. Some patients receiving immunotherapy experience “pseudoprogression,” where imaging temporarily shows growth even though the treatment is working. Scar tissue forming around tumors can be hard to distinguish from active cancer. Certain areas of the body, like bones and the abdominal cavity lining, naturally provide poor contrast on imaging, making cancer changes difficult to see. Lastly, interpreting scans involves significant human judgment, introducing inconsistency between different radiologists’ assessments.</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practical limitations of imaging also create problems. Most patients undergo scans only every few months, leading to critical delays in determining whether a treatment is effective. These delays can result in patients continuing ineffective therapies longer than necessary or missing opportunities to begin alternative treatments sooner. While increasing scan frequency might seem like a solution, patients face real-world barriers including limited availability of imaging equipment (especially in rural areas), the physical and financial burden of traveling to specialized imaging centers, and substantial costs that might not be fully covered by insurance. These limitations create an urgent need for better tools that can assess treatment response more accurately, consistently, and frequently to help doctors make timely and informed decisions about patient care.</w:t>
      </w:r>
    </w:p>
    <w:p>
      <w:pPr>
        <w:spacing w:after="0" w:line="87"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Northstar Response is designed to solve these problems. Northstar Response is a tissue-free, pan-cancer, smNGS-based liquid biopsy test that precisely measures more than 2,200 genomic loci uniquely methylated in cancer. Based on our knowledge of all widely available tests, Northstar Response is the only methylation-based assay that quantifies tumor burden with single molecule precision and provides insight into dynamic changes in a patient’s response to therapy. In validation studies, Northstar Response showed a consistent ability to detect quantitative changes in tumor fraction across more than 10 different cancer types, in some cases as much as six months earlier than indicated by imaging scans. Northstar Response has been analytically and clinically validated in three peer-reviewed publications, including in collaborations with the University of California, San Diego and the University of Florida.</w:t>
      </w:r>
    </w:p>
    <w:p>
      <w:pPr>
        <w:spacing w:after="0" w:line="90"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Northstar Response is now undergoing further validation through our large flagship study: NORTH (Northstar Oncology Response Monitoring Test Hallmark). NORTH is a multi-site study with over 500 Stage III and IV solid tumor cancer patients undergoing systemic therapies. Enrollment of the study was completed in early 2025 and we expect to complete sample and data collection by the end of 2025, with results available in 2026. The NORTH study, along with other ongoing clinical studies, have the potential to generate sufficient clinical validity evidence for our MolDX submissions for Medicare coverage.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Beyond late-stage cancer testing, we recognize there is a significant need for more powerful early-stage cancer testing. We are developing additional oncology products for these cancer patients, including MRD testing. Current standard of care for early-stage cancer is the surgical removal of the tumor. However, a small number of cancer cells may remain and can lead to future metastasis. MRD testing post-surgery enables healthcare providers to administer adjuvant therapy when needed and can also be used to monitor cancer recurrence over time. There are two approaches to MRD testing today, tumor-informed and tumor-naive. Tumor-informed approaches involve sequencing the cancer tissue to identify mutations which can then be tracked in blood at subsequent points in time. Tumor-informed approaches can have up to 40% failure rates due to the limited amount of tissue that can be obtained in early-stage cancers or tissue sequencing failing to identify a sufficient number of variants that can be used for MRD tracking. Moreover, the mutations that are tracked may not represent the evolution of the tumor, resulting in false negatives. Tumor-naïve approaches measure the levels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38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of ctDNA in a patient’s blood and do not require an upfront tissue sample, but to date, their lower sensitivity has been a limiting factor in their adoption. We believe that our smNGS platform will allow our planned MRD test to address the sensitivity challenges of existing tumor-naïve 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53340</wp:posOffset>
            </wp:positionV>
            <wp:extent cx="4030980" cy="659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Our proprietary smNGS platform enables us to create differentiated, ultrasensitive tests that approach the physical limit of detection (LOD). Our product portfolio touches everyone from the beginning of life, with prenatal genetic testing, to the end of life, with cancer therapy selection and response monitoring testing.</w:t>
      </w:r>
    </w:p>
    <w:p>
      <w:pPr>
        <w:spacing w:after="0" w:line="69"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To date, we have launched multiple differentiated products across these large addressable markets. We performed approximately 508,000 smNGS-based tests in the last 12 months ended June 30, 2025, with significant room to further grow test volume in both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53340</wp:posOffset>
            </wp:positionV>
            <wp:extent cx="4030980" cy="2432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30980" cy="243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Prenatal products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Traditional non-invasive prenatal screening focuses on assessing a fetus’ risk for larger chromosomal changes, such as Down syndrome. However, several common and severe conditions are the result of much smaller genetic changes. Identifying these tiny changes within cfDNA is technically challenging and requires precise quantification to separate the contribution of relatively sparse fetal signal from the significant maternal background DNA, especially for recessive conditions such as SCD, alpha thalassemia, beta-thalassemia, CF, and SMA. Since traditional non-invasive prenatal tests (NIPTs) are unable to screen for these recessively-inherited, single-gene conditions, diagnosing these disorders in the fetus requires invasive methods such as amniocentesis or chorionic</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20"/>
          </w:cols>
          <w:pgMar w:left="300" w:top="385" w:right="3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193" w:lineRule="auto"/>
        <w:rPr>
          <w:sz w:val="20"/>
          <w:szCs w:val="20"/>
          <w:color w:val="auto"/>
        </w:rPr>
      </w:pPr>
      <w:r>
        <w:rPr>
          <w:rFonts w:ascii="Arial" w:cs="Arial" w:eastAsia="Arial" w:hAnsi="Arial"/>
          <w:sz w:val="14"/>
          <w:szCs w:val="14"/>
          <w:color w:val="auto"/>
        </w:rPr>
        <w:t>villus sampling.</w:t>
      </w:r>
      <w:r>
        <w:rPr>
          <w:rFonts w:ascii="Arial" w:cs="Arial" w:eastAsia="Arial" w:hAnsi="Arial"/>
          <w:sz w:val="20"/>
          <w:szCs w:val="20"/>
          <w:color w:val="auto"/>
          <w:vertAlign w:val="superscript"/>
        </w:rPr>
        <w:t>53</w:t>
      </w:r>
      <w:r>
        <w:rPr>
          <w:rFonts w:ascii="Arial" w:cs="Arial" w:eastAsia="Arial" w:hAnsi="Arial"/>
          <w:sz w:val="14"/>
          <w:szCs w:val="14"/>
          <w:color w:val="auto"/>
        </w:rPr>
        <w:t xml:space="preserve"> Prior to such invasive testing, conventional carrier screening has to be completed and requires a paternal sample. Third party studies estimate that fewer than half of the fathers complete the recommended screening due to barriers related to cost, availability, and willingness.</w:t>
      </w:r>
      <w:r>
        <w:rPr>
          <w:rFonts w:ascii="Arial" w:cs="Arial" w:eastAsia="Arial" w:hAnsi="Arial"/>
          <w:sz w:val="20"/>
          <w:szCs w:val="20"/>
          <w:color w:val="auto"/>
          <w:vertAlign w:val="superscript"/>
        </w:rPr>
        <w:t>54</w:t>
      </w:r>
      <w:r>
        <w:rPr>
          <w:rFonts w:ascii="Arial" w:cs="Arial" w:eastAsia="Arial" w:hAnsi="Arial"/>
          <w:sz w:val="14"/>
          <w:szCs w:val="14"/>
          <w:color w:val="auto"/>
        </w:rPr>
        <w:t xml:space="preserve"> As a result, at least 58% of pregnancies affected by these conditions are undetected. Our smNGS-based tests offer the level of precision and quantification necessary to overcome these challenges and provide a solution to this problem.</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UNITY Complete portfolio</w:t>
      </w:r>
    </w:p>
    <w:p>
      <w:pPr>
        <w:spacing w:after="0" w:line="110" w:lineRule="exact"/>
        <w:rPr>
          <w:sz w:val="20"/>
          <w:szCs w:val="20"/>
          <w:color w:val="auto"/>
        </w:rPr>
      </w:pPr>
    </w:p>
    <w:p>
      <w:pPr>
        <w:ind w:right="380"/>
        <w:spacing w:after="0" w:line="243" w:lineRule="auto"/>
        <w:rPr>
          <w:sz w:val="20"/>
          <w:szCs w:val="20"/>
          <w:color w:val="auto"/>
        </w:rPr>
      </w:pPr>
      <w:r>
        <w:rPr>
          <w:rFonts w:ascii="Arial" w:cs="Arial" w:eastAsia="Arial" w:hAnsi="Arial"/>
          <w:sz w:val="14"/>
          <w:szCs w:val="14"/>
          <w:color w:val="auto"/>
        </w:rPr>
        <w:t>Our UNITY prenatal testing portfolio includes the first sgNIPT that uses cfDNA to achieve precise fetal risk analysis without requiring a paternal sample – a breakthrough that enhances accessibility, ease of use, and adoption across patient populations. In 2020, we added Aneuploidy and RhD NIPT to create our UNITY Complete offering. In 2022, we added other fetal red blood cell antigens for alloimmunized pregnancies at risk for HDFN without requiring a paternal sample or invasive procedures such as amniocentesis. Our portfolio delivers unmatched clinical insights through the screening for recessive conditions, aneuploidies, and fetal antigens using a single maternal blood draw. We believe our offering provides the most comprehensive view of fetal health available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8613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3" w:lineRule="exact"/>
        <w:rPr>
          <w:sz w:val="20"/>
          <w:szCs w:val="20"/>
          <w:color w:val="auto"/>
        </w:rPr>
      </w:pPr>
    </w:p>
    <w:p>
      <w:pPr>
        <w:ind w:left="320" w:right="240" w:hanging="316"/>
        <w:spacing w:after="0"/>
        <w:tabs>
          <w:tab w:leader="none" w:pos="320" w:val="left"/>
        </w:tabs>
        <w:numPr>
          <w:ilvl w:val="0"/>
          <w:numId w:val="95"/>
        </w:numPr>
        <w:rPr>
          <w:rFonts w:ascii="Arial" w:cs="Arial" w:eastAsia="Arial" w:hAnsi="Arial"/>
          <w:sz w:val="16"/>
          <w:szCs w:val="16"/>
          <w:color w:val="auto"/>
          <w:vertAlign w:val="superscript"/>
        </w:rPr>
      </w:pPr>
      <w:r>
        <w:rPr>
          <w:rFonts w:ascii="Arial" w:cs="Arial" w:eastAsia="Arial" w:hAnsi="Arial"/>
          <w:sz w:val="10"/>
          <w:szCs w:val="10"/>
          <w:color w:val="auto"/>
        </w:rPr>
        <w:t>Hsieh, V., Sherer, D. M., Davydovych, K., Kheyman, M., &amp; Dalloul, M. (2025). The art (and science) of Individualized Selection of Non-Invasive Prenatal Screening (NIPS). International Journal of Women S Health, Volume 17, 1271– 1283,</w:t>
      </w:r>
    </w:p>
    <w:p>
      <w:pPr>
        <w:spacing w:after="0" w:line="56" w:lineRule="exact"/>
        <w:rPr>
          <w:rFonts w:ascii="Arial" w:cs="Arial" w:eastAsia="Arial" w:hAnsi="Arial"/>
          <w:sz w:val="16"/>
          <w:szCs w:val="16"/>
          <w:color w:val="auto"/>
          <w:vertAlign w:val="superscript"/>
        </w:rPr>
      </w:pPr>
    </w:p>
    <w:p>
      <w:pPr>
        <w:ind w:left="320" w:right="280" w:hanging="316"/>
        <w:spacing w:after="0" w:line="194" w:lineRule="auto"/>
        <w:tabs>
          <w:tab w:leader="none" w:pos="320" w:val="left"/>
        </w:tabs>
        <w:numPr>
          <w:ilvl w:val="0"/>
          <w:numId w:val="95"/>
        </w:numPr>
        <w:rPr>
          <w:rFonts w:ascii="Arial" w:cs="Arial" w:eastAsia="Arial" w:hAnsi="Arial"/>
          <w:sz w:val="16"/>
          <w:szCs w:val="16"/>
          <w:color w:val="auto"/>
          <w:vertAlign w:val="superscript"/>
        </w:rPr>
      </w:pPr>
      <w:r>
        <w:rPr>
          <w:rFonts w:ascii="Arial" w:cs="Arial" w:eastAsia="Arial" w:hAnsi="Arial"/>
          <w:sz w:val="10"/>
          <w:szCs w:val="10"/>
          <w:color w:val="auto"/>
        </w:rPr>
        <w:t>Strauss, T. S., Schneider, E., Boniferro, E., Brockhoff, E., Johnson, A., Stoffels, G., Feldman, K., Grubman, O., Cole, D., Hussain, F., Ashmead, G., Al-Ibraheemi, Z., &amp; Brustman, L. (2023). Barriers to completion of expanded carrier screening in an inner city population. Genetics in Medicine, 25(7), 100858.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385"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UNITY Fetal Risk Screen</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 2019, we launched UNITY Fetal Risk Screen as the first sgNIPT that uses cfDNA to provide fetal risk assessments for recessive conditions. This breakthrough approach addresses a major gap in traditional carrier screening and enhances accessibility, speed, and accuracy for all pregnant patients. In May 2025, we expanded UNITY Fetal Risk Screen’s testing menu to include up to 14 conditions, as shown in the below figure, further enhancing its clinical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60325</wp:posOffset>
            </wp:positionV>
            <wp:extent cx="4030980" cy="24053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030980" cy="240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The first step of the UNITY Fetal Risk Screen involves determining the maternal carrier status. If the mother is identified as a carrier, cfDNA analysis is performed on the same blood sample to assess fetal risk. We believe directly measuring fetal risk through a single maternal blood draw is only possible with the precision and sensitivity provided by our smNGS technology. Within two weeks, the information provided to the clinician and patient includes:</w:t>
      </w:r>
    </w:p>
    <w:p>
      <w:pPr>
        <w:spacing w:after="0" w:line="80" w:lineRule="exact"/>
        <w:rPr>
          <w:sz w:val="20"/>
          <w:szCs w:val="20"/>
          <w:color w:val="auto"/>
        </w:rPr>
      </w:pPr>
    </w:p>
    <w:p>
      <w:pPr>
        <w:ind w:left="220" w:hanging="216"/>
        <w:spacing w:after="0"/>
        <w:tabs>
          <w:tab w:leader="none" w:pos="2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Maternal carrier status and any information about the specific variant that may be identified;</w:t>
      </w:r>
    </w:p>
    <w:p>
      <w:pPr>
        <w:spacing w:after="0" w:line="111" w:lineRule="exact"/>
        <w:rPr>
          <w:rFonts w:ascii="Arial" w:cs="Arial" w:eastAsia="Arial" w:hAnsi="Arial"/>
          <w:sz w:val="14"/>
          <w:szCs w:val="14"/>
          <w:color w:val="auto"/>
        </w:rPr>
      </w:pPr>
    </w:p>
    <w:p>
      <w:pPr>
        <w:ind w:left="220" w:right="20" w:hanging="216"/>
        <w:spacing w:after="0" w:line="269" w:lineRule="auto"/>
        <w:tabs>
          <w:tab w:leader="none" w:pos="2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 personalized fetal risk score on each condition for which the pregnant mother is a carrier, ranging from &lt;1 in 5,000 to 9 in 10, providing clear, actionable information for clinicians and patients; and</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Whether the risk is classified as low or high risk.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60"/>
          </w:cols>
          <w:pgMar w:left="300" w:top="38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18389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30980" cy="183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 xml:space="preserve">UNITY Fetal Risk Screen’s accuracy has been validated in multiple peer-reviewed studies. A 2023 study published in </w:t>
      </w:r>
      <w:r>
        <w:rPr>
          <w:rFonts w:ascii="Arial" w:cs="Arial" w:eastAsia="Arial" w:hAnsi="Arial"/>
          <w:sz w:val="14"/>
          <w:szCs w:val="14"/>
          <w:i w:val="1"/>
          <w:iCs w:val="1"/>
          <w:color w:val="auto"/>
        </w:rPr>
        <w:t>Prenatal Diagnosis</w:t>
      </w:r>
      <w:r>
        <w:rPr>
          <w:rFonts w:ascii="Arial" w:cs="Arial" w:eastAsia="Arial" w:hAnsi="Arial"/>
          <w:sz w:val="14"/>
          <w:szCs w:val="14"/>
          <w:color w:val="auto"/>
        </w:rPr>
        <w:t xml:space="preserve"> demonstrated 100% of “9 in 10” risk pregnancies were confirmed to be affected pregnancies.</w:t>
      </w:r>
      <w:r>
        <w:rPr>
          <w:rFonts w:ascii="Arial" w:cs="Arial" w:eastAsia="Arial" w:hAnsi="Arial"/>
          <w:sz w:val="20"/>
          <w:szCs w:val="20"/>
          <w:color w:val="auto"/>
          <w:vertAlign w:val="superscript"/>
        </w:rPr>
        <w:t>55</w:t>
      </w:r>
      <w:r>
        <w:rPr>
          <w:rFonts w:ascii="Arial" w:cs="Arial" w:eastAsia="Arial" w:hAnsi="Arial"/>
          <w:sz w:val="14"/>
          <w:szCs w:val="14"/>
          <w:color w:val="auto"/>
        </w:rPr>
        <w:t xml:space="preserve"> Because UNITY Fetal Risk Screen does not rely on paternal testing, which is often not completed, it detects up to three times as many affected pregnancies for these recessive conditions compared to traditional carrier screening.</w:t>
      </w:r>
      <w:r>
        <w:rPr>
          <w:rFonts w:ascii="Arial" w:cs="Arial" w:eastAsia="Arial" w:hAnsi="Arial"/>
          <w:sz w:val="20"/>
          <w:szCs w:val="20"/>
          <w:color w:val="auto"/>
          <w:vertAlign w:val="super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3175</wp:posOffset>
            </wp:positionV>
            <wp:extent cx="4030980" cy="15989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030980" cy="159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UNITY Aneuploidy Screen</w:t>
      </w:r>
    </w:p>
    <w:p>
      <w:pPr>
        <w:spacing w:after="0" w:line="110"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In 2020, we launched our UNITY Aneuploidy Screen, which we believe has become the most performant assay for aneuploidies. Compared to many competing tests, our test overcomes the significant challenge of low fetal cfDNA levels in the mother’s blood, which often produces inconclusive results. This issue can be particularly pronounced for single nucleotide polymorphism-based NIPTs, which tend to have a higher fetal fraction cutoff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 provide conclusive results. Our smNGS platform provides a critical signal boost that is especially noticeable at lower fetal fractions, significantly reducing inconclusive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8613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13" w:lineRule="exact"/>
        <w:rPr>
          <w:sz w:val="20"/>
          <w:szCs w:val="20"/>
          <w:color w:val="auto"/>
        </w:rPr>
      </w:pPr>
    </w:p>
    <w:p>
      <w:pPr>
        <w:ind w:left="320" w:hanging="316"/>
        <w:spacing w:after="0" w:line="219" w:lineRule="auto"/>
        <w:tabs>
          <w:tab w:leader="none" w:pos="320" w:val="left"/>
        </w:tabs>
        <w:numPr>
          <w:ilvl w:val="0"/>
          <w:numId w:val="97"/>
        </w:numPr>
        <w:rPr>
          <w:rFonts w:ascii="Arial" w:cs="Arial" w:eastAsia="Arial" w:hAnsi="Arial"/>
          <w:sz w:val="16"/>
          <w:szCs w:val="16"/>
          <w:color w:val="auto"/>
          <w:vertAlign w:val="superscript"/>
        </w:rPr>
      </w:pPr>
      <w:r>
        <w:rPr>
          <w:rFonts w:ascii="Arial" w:cs="Arial" w:eastAsia="Arial" w:hAnsi="Arial"/>
          <w:sz w:val="10"/>
          <w:szCs w:val="10"/>
          <w:color w:val="auto"/>
        </w:rPr>
        <w:t xml:space="preserve">Wynn, J., Hoskovec, J., Carter, R., et al. (2023). “Performance of single-gene noninvasive prenatal testing for autosomal recessive conditions in a general population setting.” </w:t>
      </w:r>
      <w:r>
        <w:rPr>
          <w:rFonts w:ascii="Arial" w:cs="Arial" w:eastAsia="Arial" w:hAnsi="Arial"/>
          <w:sz w:val="10"/>
          <w:szCs w:val="10"/>
          <w:i w:val="1"/>
          <w:iCs w:val="1"/>
          <w:color w:val="auto"/>
        </w:rPr>
        <w:t>Prenatal Diagnosis</w:t>
      </w:r>
      <w:r>
        <w:rPr>
          <w:rFonts w:ascii="Arial" w:cs="Arial" w:eastAsia="Arial" w:hAnsi="Arial"/>
          <w:sz w:val="10"/>
          <w:szCs w:val="10"/>
          <w:color w:val="auto"/>
        </w:rPr>
        <w:t>, 43(10), 1344-1354. The study included 42,067 pregnant individuals, with 7,538 carriers undergoing reflex single-gene (sg) NIPT. Fetal or neonatal outcomes were gathered for 528 cases, revealing 25 affected pregnancies. Notably, all pregnancies identified with a 9 in 10 personalized fetal risk were confirmed as affected, showing a 100% positive predictive value for this specific high-risk group. The researchers concluded that carrier testing followed by reflex sgNIPT is highly accurate for general population screening and, is a viable option for most pregnant individuals.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140"/>
          </w:cols>
          <w:pgMar w:left="300" w:top="38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In addition to robust performance above 99.7% sensitivity and 99.9% specificity for common trisomies, UNITY Aneuploidy NIPT uniquely leverages smNGS technology to enhance 22q11.2 Microdeletion Analysis, addressing a critical gap in competing prenatal screening tests.</w:t>
      </w:r>
      <w:r>
        <w:rPr>
          <w:rFonts w:ascii="Arial" w:cs="Arial" w:eastAsia="Arial" w:hAnsi="Arial"/>
          <w:sz w:val="19"/>
          <w:szCs w:val="19"/>
          <w:color w:val="auto"/>
          <w:vertAlign w:val="superscript"/>
        </w:rPr>
        <w:t>56</w:t>
      </w:r>
      <w:r>
        <w:rPr>
          <w:rFonts w:ascii="Arial" w:cs="Arial" w:eastAsia="Arial" w:hAnsi="Arial"/>
          <w:sz w:val="13"/>
          <w:szCs w:val="13"/>
          <w:color w:val="auto"/>
        </w:rPr>
        <w:t xml:space="preserve"> As the most common microdeletion disorder, 22q11.2 deletion syndrome (DiGeorge Syndrome) has historically resulted in low positive predictive values (PPV), reducing clinical confidence and resulting in patient anxiety. smNGS enables &gt;95% sensitivity and &gt;99.9% specificity, which results in an industry-leading PPV of 80% in average risk pregnancies.</w:t>
      </w:r>
      <w:r>
        <w:rPr>
          <w:rFonts w:ascii="Arial" w:cs="Arial" w:eastAsia="Arial" w:hAnsi="Arial"/>
          <w:sz w:val="19"/>
          <w:szCs w:val="19"/>
          <w:color w:val="auto"/>
          <w:vertAlign w:val="superscript"/>
        </w:rPr>
        <w:t>57</w:t>
      </w:r>
      <w:r>
        <w:rPr>
          <w:rFonts w:ascii="Arial" w:cs="Arial" w:eastAsia="Arial" w:hAnsi="Arial"/>
          <w:sz w:val="13"/>
          <w:szCs w:val="13"/>
          <w:color w:val="auto"/>
        </w:rPr>
        <w:t xml:space="preserve"> More than 70% of UNITY Aneuploidy orders now include 22q11.2 optional add-on testing.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UNITY Fetal RhD NIPT</w:t>
      </w:r>
    </w:p>
    <w:p>
      <w:pPr>
        <w:spacing w:after="0" w:line="11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Approximately 15% of pregnant individuals in the United States are RhD-negative, putting them at risk of RhD alloimmunization if they are carrying an RhD-positive fetus. To prevent this, the standard of care has been the administration of Rho(D) immune globulin (RhIG) (e.g., RhoGAM) at 28 weeks’ gestation and postpartum. However, this approach lacks precision, as 40% of RhD-negative pregnancies do not require RhIG because the fetus is also RhD-negative. Administering RhIG to these pregnancies is unnecessary, costly, and limits supply availability for those who need it most. This is because RhIG availability can be limited given it is a blood product derived from human donors.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 xml:space="preserve">To address this issue, we launched UNITY Fetal RhD NIPT in 2020 to detect fetal D antigen. While other tests for fetal RhD detection were launched in 2024, UNITY Fetal RhD NIPT remains the only test that can accurately detect fetal RhD status when the pregnant individual has </w:t>
      </w:r>
      <w:r>
        <w:rPr>
          <w:rFonts w:ascii="Arial" w:cs="Arial" w:eastAsia="Arial" w:hAnsi="Arial"/>
          <w:sz w:val="14"/>
          <w:szCs w:val="14"/>
          <w:i w:val="1"/>
          <w:iCs w:val="1"/>
          <w:color w:val="auto"/>
        </w:rPr>
        <w:t>RhD</w:t>
      </w:r>
      <w:r>
        <w:rPr>
          <w:rFonts w:ascii="Times New Roman" w:cs="Times New Roman" w:eastAsia="Times New Roman" w:hAnsi="Times New Roman"/>
          <w:sz w:val="10"/>
          <w:szCs w:val="10"/>
          <w:color w:val="auto"/>
        </w:rPr>
        <w:t>y</w:t>
      </w:r>
      <w:r>
        <w:rPr>
          <w:rFonts w:ascii="Arial" w:cs="Arial" w:eastAsia="Arial" w:hAnsi="Arial"/>
          <w:sz w:val="14"/>
          <w:szCs w:val="14"/>
          <w:color w:val="auto"/>
        </w:rPr>
        <w:t xml:space="preserve"> and RhD-CE-D hybrid genes, which are prevalent in Black (45%) and Asian (&gt;10%) populations. Other fetal RhD NIPTs are limited in their ability to detect these genetic complexities. UNITY Fetal RhD NIPT addresses these limitations through our revolutionary smNGS platform. Since launching, UNITY Fetal RhD NIPT has been ordered for over 150,000 patients, with data published in peer-reviewed studies demonstrating 100% concordance with neonatal outcomes and sensitivity/specificity of &gt;99.9%.</w:t>
      </w:r>
      <w:r>
        <w:rPr>
          <w:rFonts w:ascii="Arial" w:cs="Arial" w:eastAsia="Arial" w:hAnsi="Arial"/>
          <w:sz w:val="20"/>
          <w:szCs w:val="20"/>
          <w:color w:val="auto"/>
          <w:vertAlign w:val="superscript"/>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-1905</wp:posOffset>
            </wp:positionV>
            <wp:extent cx="2405380" cy="1212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05380"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UNITY Fetal Antigen NIPT</w:t>
      </w:r>
    </w:p>
    <w:p>
      <w:pPr>
        <w:spacing w:after="0" w:line="110" w:lineRule="exact"/>
        <w:rPr>
          <w:sz w:val="20"/>
          <w:szCs w:val="20"/>
          <w:color w:val="auto"/>
        </w:rPr>
      </w:pPr>
    </w:p>
    <w:p>
      <w:pPr>
        <w:jc w:val="both"/>
        <w:ind w:right="420"/>
        <w:spacing w:after="0" w:line="252" w:lineRule="auto"/>
        <w:rPr>
          <w:sz w:val="20"/>
          <w:szCs w:val="20"/>
          <w:color w:val="auto"/>
        </w:rPr>
      </w:pPr>
      <w:r>
        <w:rPr>
          <w:rFonts w:ascii="Arial" w:cs="Arial" w:eastAsia="Arial" w:hAnsi="Arial"/>
          <w:sz w:val="14"/>
          <w:szCs w:val="14"/>
          <w:color w:val="auto"/>
        </w:rPr>
        <w:t>Alloimmunization occurs when a pregnant individual’s immune system produces antibodies against fetal red blood cell (RBC) antigens. This can happen when a RhD negative pregnant mother carrying an RhD positive fetus does not receive RhIG. This can also happen with other rare RBC antigens are present, such as Kell, especially due to a blood transfusion prior to the pregnancy. This can lead to HDFN, a condition that can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8613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96" w:lineRule="exact"/>
        <w:rPr>
          <w:sz w:val="20"/>
          <w:szCs w:val="20"/>
          <w:color w:val="auto"/>
        </w:rPr>
      </w:pPr>
    </w:p>
    <w:p>
      <w:pPr>
        <w:ind w:left="320" w:right="460" w:hanging="316"/>
        <w:spacing w:after="0" w:line="193" w:lineRule="auto"/>
        <w:tabs>
          <w:tab w:leader="none" w:pos="320" w:val="left"/>
        </w:tabs>
        <w:numPr>
          <w:ilvl w:val="0"/>
          <w:numId w:val="98"/>
        </w:numPr>
        <w:rPr>
          <w:rFonts w:ascii="Arial" w:cs="Arial" w:eastAsia="Arial" w:hAnsi="Arial"/>
          <w:sz w:val="16"/>
          <w:szCs w:val="16"/>
          <w:color w:val="auto"/>
          <w:vertAlign w:val="superscript"/>
        </w:rPr>
      </w:pPr>
      <w:r>
        <w:rPr>
          <w:rFonts w:ascii="Arial" w:cs="Arial" w:eastAsia="Arial" w:hAnsi="Arial"/>
          <w:sz w:val="10"/>
          <w:szCs w:val="10"/>
          <w:color w:val="auto"/>
        </w:rPr>
        <w:t>Wynn, J., Rego, S., Fang, J., Alford, B., Carter, R., &amp; Hoskovec, J. (2024). Performance Characteristics of a Next Generation Sequencing-Based cfDNA Assay for Common Aneuploidies in a General Risk Population. Annals of Gynecology and Obstetrics Research, 7(1), 1027.</w:t>
      </w:r>
    </w:p>
    <w:p>
      <w:pPr>
        <w:ind w:left="320" w:hanging="316"/>
        <w:spacing w:after="0" w:line="202" w:lineRule="auto"/>
        <w:tabs>
          <w:tab w:leader="none" w:pos="320" w:val="left"/>
        </w:tabs>
        <w:numPr>
          <w:ilvl w:val="0"/>
          <w:numId w:val="98"/>
        </w:numPr>
        <w:rPr>
          <w:rFonts w:ascii="Arial" w:cs="Arial" w:eastAsia="Arial" w:hAnsi="Arial"/>
          <w:sz w:val="13"/>
          <w:szCs w:val="13"/>
          <w:color w:val="auto"/>
          <w:vertAlign w:val="superscript"/>
        </w:rPr>
      </w:pPr>
      <w:r>
        <w:rPr>
          <w:rFonts w:ascii="Arial" w:cs="Arial" w:eastAsia="Arial" w:hAnsi="Arial"/>
          <w:sz w:val="9"/>
          <w:szCs w:val="9"/>
          <w:color w:val="auto"/>
        </w:rPr>
        <w:t>Percentage based on an internal validation report we issued in January 2025 conducted by an independent third party lab.</w:t>
      </w:r>
    </w:p>
    <w:p>
      <w:pPr>
        <w:ind w:left="320" w:right="80" w:hanging="316"/>
        <w:spacing w:after="0" w:line="194" w:lineRule="auto"/>
        <w:tabs>
          <w:tab w:leader="none" w:pos="320" w:val="left"/>
        </w:tabs>
        <w:numPr>
          <w:ilvl w:val="0"/>
          <w:numId w:val="98"/>
        </w:numPr>
        <w:rPr>
          <w:rFonts w:ascii="Arial" w:cs="Arial" w:eastAsia="Arial" w:hAnsi="Arial"/>
          <w:sz w:val="16"/>
          <w:szCs w:val="16"/>
          <w:color w:val="auto"/>
          <w:vertAlign w:val="superscript"/>
        </w:rPr>
      </w:pPr>
      <w:r>
        <w:rPr>
          <w:rFonts w:ascii="Arial" w:cs="Arial" w:eastAsia="Arial" w:hAnsi="Arial"/>
          <w:sz w:val="10"/>
          <w:szCs w:val="10"/>
          <w:color w:val="auto"/>
        </w:rPr>
        <w:t>Rego, S., Balogun, O. A., Emanuel, K., Overcash, R., Gonzalez, J. M., Denomme, G. A., Hoskovec, J., King, H., Wilson, A., Wynn, J., &amp; Moise, K. J. Jr. (2024). Cell-free DNA analysis for the determination of fetal red blood cell antigen genotype in individuals with alloimmunized pregnancies. Obstetrics &amp; Gynecology, 144(4), 436-443.</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20"/>
          </w:cols>
          <w:pgMar w:left="300" w:top="385" w:right="3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severe anemia, hydrops fetalis, or fetal demise. Managing these pregnancies is challenging. The current methods to determine fetal antigen status, such as amniocentesis, are often invasive. These invasive procedures could cause maternal and fetal blood to mix, which would exacerbate HDFN. As a result, many patients experience undue anxiety, unnecessary and expensive weekly monitoring, frequent antibody titer checks, and intensive surveillance. In approximately 65% of these pregnancies, the fetus is negative for the antigen and therefore there is no fetal risk.</w:t>
      </w:r>
      <w:r>
        <w:rPr>
          <w:rFonts w:ascii="Arial" w:cs="Arial" w:eastAsia="Arial" w:hAnsi="Arial"/>
          <w:sz w:val="20"/>
          <w:szCs w:val="20"/>
          <w:color w:val="auto"/>
          <w:vertAlign w:val="superscript"/>
        </w:rPr>
        <w:t>59</w:t>
      </w:r>
    </w:p>
    <w:p>
      <w:pPr>
        <w:spacing w:after="0" w:line="3"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To address this issue, we launched UNITY Fetal Antigen NIPT in 2022. Our UNITY Fetal Antigen NIPT addresses a critical gap in managing alloimmunized pregnancies and detects key fetal RBC antigens, including D, C, c, E, K (Kell), and Fya (Duffy), helping to guide clinical decisions and reduce unnecessary monitoring. As the only commercially available test for fetal antigen screening in the United States, UNITY Fetal Antigen NIPT not only solves a previously unmet clinical need but has deepened our relationships with Maternal-Fetal Medicine (MFM) specialists.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66040</wp:posOffset>
            </wp:positionV>
            <wp:extent cx="4030980" cy="1558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030980" cy="155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UNITY Fetal Antigen NIPT’s clinical accuracy has been validated in multiple peer-reviewed publications, including a Scientific Reports study demonstrating 100% concordance between test results and neonatal antigen status. UNITY Fetal Antigen NIPT offers 100% sensitivity and specificity while maintaining a no-call rate of &lt;0.1%, ensuring highly reliable results.</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2024, ACOG issued two clinical guideline updates, referencing UNITY Fetal RhD NIPT and UNITY Fetal Antigen NIPT data: (i) acknowledging the role of fetal RhD NIPT in triaging anti-D immunoglobulin (e.g., RhoGAM) use, particularly amid shortages, and (ii) endorsing UNITY Fetal RhD NIPT as a reasonable alternative for guiding management of alloimmunized patients who decline invasive testing. These clinical guideline updates recognized comparable performance of our assay to invasive diagnostic testing while avoiding complications. They not only validated the clinical utility of our UNITY Fetal RhD NIPT and UNITY Fetal Antigen NIPT but also further highlighted their critical role in enhancing patient care and ensuring effective management of patients across diverse populations.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UNITY Fetal Antigen CTA NIPT</w:t>
      </w:r>
    </w:p>
    <w:p>
      <w:pPr>
        <w:spacing w:after="0" w:line="110"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In December 2023, we announced a global partnership with Johnson &amp; Johnson to provide our UNITY Fetal Antigen clinical trial assay (CTA) in their AZALEA Phase 3 clinical trial of nipocalimab in pregnancies at risk for severe HDFN. In April 2023, the FDA granted an Investigational Device Exemption (IDE) for the assay’s use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8613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38" w:lineRule="exact"/>
        <w:rPr>
          <w:sz w:val="20"/>
          <w:szCs w:val="20"/>
          <w:color w:val="auto"/>
        </w:rPr>
      </w:pPr>
    </w:p>
    <w:p>
      <w:pPr>
        <w:ind w:left="320" w:hanging="316"/>
        <w:spacing w:after="0"/>
        <w:tabs>
          <w:tab w:leader="none" w:pos="320" w:val="left"/>
        </w:tabs>
        <w:numPr>
          <w:ilvl w:val="0"/>
          <w:numId w:val="99"/>
        </w:numPr>
        <w:rPr>
          <w:rFonts w:ascii="Arial" w:cs="Arial" w:eastAsia="Arial" w:hAnsi="Arial"/>
          <w:sz w:val="16"/>
          <w:szCs w:val="16"/>
          <w:color w:val="auto"/>
          <w:vertAlign w:val="superscript"/>
        </w:rPr>
      </w:pPr>
      <w:r>
        <w:rPr>
          <w:rFonts w:ascii="Arial" w:cs="Arial" w:eastAsia="Arial" w:hAnsi="Arial"/>
          <w:sz w:val="10"/>
          <w:szCs w:val="10"/>
          <w:color w:val="auto"/>
        </w:rPr>
        <w:t xml:space="preserve">Wynn, J., Hoskovec, J., Carter, R., et al. (2023). “Performance of single-gene noninvasive prenatal testing for autosomal recessive conditions in a general population setting.” </w:t>
      </w:r>
      <w:r>
        <w:rPr>
          <w:rFonts w:ascii="Arial" w:cs="Arial" w:eastAsia="Arial" w:hAnsi="Arial"/>
          <w:sz w:val="10"/>
          <w:szCs w:val="10"/>
          <w:i w:val="1"/>
          <w:iCs w:val="1"/>
          <w:color w:val="auto"/>
        </w:rPr>
        <w:t>Prenatal Diagnosis</w:t>
      </w:r>
      <w:r>
        <w:rPr>
          <w:rFonts w:ascii="Arial" w:cs="Arial" w:eastAsia="Arial" w:hAnsi="Arial"/>
          <w:sz w:val="10"/>
          <w:szCs w:val="10"/>
          <w:color w:val="auto"/>
        </w:rPr>
        <w:t>, 43(10), 1344-1354.</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40"/>
          </w:cols>
          <w:pgMar w:left="300" w:top="38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40"/>
        <w:spacing w:after="0" w:line="252" w:lineRule="auto"/>
        <w:rPr>
          <w:sz w:val="20"/>
          <w:szCs w:val="20"/>
          <w:color w:val="auto"/>
        </w:rPr>
      </w:pPr>
      <w:r>
        <w:rPr>
          <w:rFonts w:ascii="Arial" w:cs="Arial" w:eastAsia="Arial" w:hAnsi="Arial"/>
          <w:sz w:val="14"/>
          <w:szCs w:val="14"/>
          <w:color w:val="auto"/>
        </w:rPr>
        <w:t>the trial. Final FDA approval of the companion diagnostics indication is dependent on the success of the Johnson &amp; Johnson AZALEA Phase 3 clinical trial. We have also received regulatory clearances from health authorities in certain European and Latin American countries for the use of the assay in a global clinical trial. We believe that a successful completion of this Phase 3 trial may enable our test to be the first NIPT that is granted a companion diagnostics indication.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comprehensive customer experience and commitment to quality and innovation beyond our tests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UNITY Complete is more than just a test, it is a fully integrated, end-to-end experience that delivers a seamless workflow for both patients and providers. Over the years, we have developed various software tools to support the entire testing workflow for providers and patients, which has fueled the rapid growth of the UNITY Complete portfolio. We continuously refine our workflow to address the evolving needs of obstetric providers, in an effort to maximize efficiency, accessibility, and ease of adoption for both patients and providers. By combining unique clinical testing with workflow enhancements, we believe UNITY Complete has established a highly scalable infrastructure that streamlines every step of the journey, further solidifying that UNITY Complete is becoming the new standard in prenatal care.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Oncology products</w:t>
      </w:r>
    </w:p>
    <w:p>
      <w:pPr>
        <w:spacing w:after="0" w:line="110"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Precision oncology continues to be a focus in the global fight to cure cancer. However, despite significant advancements and growth in the field, cancer continues to rank as the second leading cause of death worldwide, with persistently high mortality rates.</w:t>
      </w:r>
      <w:r>
        <w:rPr>
          <w:rFonts w:ascii="Arial" w:cs="Arial" w:eastAsia="Arial" w:hAnsi="Arial"/>
          <w:sz w:val="20"/>
          <w:szCs w:val="20"/>
          <w:color w:val="auto"/>
          <w:vertAlign w:val="superscript"/>
        </w:rPr>
        <w:t>60</w:t>
      </w:r>
      <w:r>
        <w:rPr>
          <w:rFonts w:ascii="Arial" w:cs="Arial" w:eastAsia="Arial" w:hAnsi="Arial"/>
          <w:sz w:val="14"/>
          <w:szCs w:val="14"/>
          <w:color w:val="auto"/>
        </w:rPr>
        <w:t xml:space="preserve"> Liquid biopsies, or blood-based tests that interrogate ctDNA, cfDNA released from a tumor cell, for therapy selection or disease monitoring have recently become available for clinical practice as non-invasive, rapid and readily available alternatives to traditional tissue-based biopsies. Despite the increase in uptake, current liquid biopsies developed using standard NGS methods present shortcomings, including undetected actionable mutations and delays in detection of response and progression. In a head-to-head study presented at ASCO in 2024, we have shown that more than one-third of actionable mutations are undetected by other liquid biopsies due to lower sensitivities at lower variant allele fractions. Moreover, current products are also limited in their ability to quickly, precisely, and sensitively quantify trends in tumor progression over the course of treatment.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Northstar portfolio</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Our Northstar portfolio for oncology consists of smNGS-based pan-cancer liquid biopsy tests that provide comprehensive therapy selection (Northstar Select) and therapy monitoring (Northstar Response) for late-stage, solid tumor cancer patients. Using a blood-only approach with a focus on sensitivity and precision, we are committed to pushing the limits of cfDNA testing to ensure patients are getting the most advanced profiling and monitoring tools available, while maintaining the convenience of a single blood draw.</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Select</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January 2023, we launched Northstar Select, which is an ultrasensitive liquid biopsy test using smNGS. Northstar Select can provide insight into what therapies may be appropriate for a patient with stage III or IV cancer. Our Northstar Select test has demonstrated industry-leading performance, including two to five times lower LOD, which results in more than 50% more actionable mutations identified than comparator products.</w:t>
      </w:r>
      <w:r>
        <w:rPr>
          <w:rFonts w:ascii="Arial" w:cs="Arial" w:eastAsia="Arial" w:hAnsi="Arial"/>
          <w:sz w:val="20"/>
          <w:szCs w:val="20"/>
          <w:color w:val="auto"/>
          <w:vertAlign w:val="superscript"/>
        </w:rPr>
        <w:t>61, 62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8613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ind w:left="320" w:hanging="316"/>
        <w:spacing w:after="0" w:line="199" w:lineRule="auto"/>
        <w:tabs>
          <w:tab w:leader="none" w:pos="320" w:val="left"/>
        </w:tabs>
        <w:numPr>
          <w:ilvl w:val="0"/>
          <w:numId w:val="100"/>
        </w:numPr>
        <w:rPr>
          <w:rFonts w:ascii="Arial" w:cs="Arial" w:eastAsia="Arial" w:hAnsi="Arial"/>
          <w:sz w:val="16"/>
          <w:szCs w:val="16"/>
          <w:color w:val="auto"/>
          <w:vertAlign w:val="superscript"/>
        </w:rPr>
      </w:pPr>
      <w:r>
        <w:rPr>
          <w:rFonts w:ascii="Arial" w:cs="Arial" w:eastAsia="Arial" w:hAnsi="Arial"/>
          <w:sz w:val="10"/>
          <w:szCs w:val="10"/>
          <w:color w:val="auto"/>
        </w:rPr>
        <w:t>GBD 2021 Cancer Collaboration. Global burden of cancer and associated risk factors in 204 countries and territories, 1980-2021: a systematic analysis for the Global Burden of Disease Study 2021. Lancet Oncol.</w:t>
      </w:r>
    </w:p>
    <w:p>
      <w:pPr>
        <w:ind w:left="320" w:right="20" w:hanging="316"/>
        <w:spacing w:after="0" w:line="185" w:lineRule="auto"/>
        <w:tabs>
          <w:tab w:leader="none" w:pos="320" w:val="left"/>
        </w:tabs>
        <w:numPr>
          <w:ilvl w:val="0"/>
          <w:numId w:val="100"/>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ind w:left="320" w:hanging="316"/>
        <w:spacing w:after="0" w:line="203" w:lineRule="auto"/>
        <w:tabs>
          <w:tab w:leader="none" w:pos="320" w:val="left"/>
        </w:tabs>
        <w:numPr>
          <w:ilvl w:val="0"/>
          <w:numId w:val="100"/>
        </w:numPr>
        <w:rPr>
          <w:rFonts w:ascii="Arial" w:cs="Arial" w:eastAsia="Arial" w:hAnsi="Arial"/>
          <w:sz w:val="13"/>
          <w:szCs w:val="13"/>
          <w:color w:val="auto"/>
          <w:vertAlign w:val="superscript"/>
        </w:rPr>
      </w:pPr>
      <w:r>
        <w:rPr>
          <w:rFonts w:ascii="Arial" w:cs="Arial" w:eastAsia="Arial" w:hAnsi="Arial"/>
          <w:sz w:val="9"/>
          <w:szCs w:val="9"/>
          <w:color w:val="auto"/>
        </w:rPr>
        <w:t>More than 50% more actionable mutations when compared to the comparator products in the aggregate. Actual percentages may vary depending on the individual comparator test.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60"/>
          </w:cols>
          <w:pgMar w:left="300" w:top="38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2025, the MolDX Program, which is administered by Palmetto GBA, a Medicare administrative contractor, determined Northstar Select meets the coverage requirements under LCD L38043. The MolDX Program’s thorough review process confirms Northstar Select’s clinical validity and utility and enables reimbursement for Medicare and Medicare Advantage beneficiaries who are receiving the test. In the future we may seek FDA approval for certain of our tests, in particular, Northstar Select, which could provide us with competitive advantages such as including enhanced reimbursement through Advanced Laboratory Diagnostic Test (ALDT) pricing; however, it would also subject us to additional regulatory requirements, which can be costly.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Select achieves a significantly lower limit of detection than other liquid biopsy products</w:t>
      </w:r>
    </w:p>
    <w:p>
      <w:pPr>
        <w:spacing w:after="0" w:line="110"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Liquid biopsy tests are dependent on finding tumor molecules circulating in blood that are shed from tumor cells. The tumor shedding rate is highly variable, with many cancers shedding very little ctDNA. This poses a sensitivity challenge for liquid biopsies, especially for variants at low levels, and can lead to potential false-negative results and missed treatment opportunities. The amount of a particular SNV or alteration compared to normal DNA detected by liquid biopsy tests are measured as a variant allele fraction (VAF), with over half of all treatable alterations occurring at a VAF &lt;0.5%, and approximately one fourth occurring at &lt;0.2%. The ability to reliably detect more alterations at a lower VAF is a significant area of unmet clinical need for ctDNA-based testing and an opportunity for technological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64770</wp:posOffset>
            </wp:positionV>
            <wp:extent cx="4030980" cy="1306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30980"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The limit of detection (LOD) is the lower bound limit of an assay’s ability to reliably detect alterations at a specific VAF, at a 95% sensitivity. First generation liquid biopsy tests have an LOD that ranges between 0.25%—0.50%, whereas Northstar Select has demonstrated an LOD of 0.15%, representing a 2-fold higher sensitivity than these other assays.</w:t>
      </w:r>
      <w:r>
        <w:rPr>
          <w:rFonts w:ascii="Arial" w:cs="Arial" w:eastAsia="Arial" w:hAnsi="Arial"/>
          <w:sz w:val="20"/>
          <w:szCs w:val="20"/>
          <w:color w:val="auto"/>
          <w:vertAlign w:val="superscript"/>
        </w:rPr>
        <w:t>63</w:t>
      </w:r>
      <w:r>
        <w:rPr>
          <w:rFonts w:ascii="Arial" w:cs="Arial" w:eastAsia="Arial" w:hAnsi="Arial"/>
          <w:sz w:val="14"/>
          <w:szCs w:val="14"/>
          <w:color w:val="auto"/>
        </w:rPr>
        <w:t xml:space="preserve"> Since most treatable mutations occur at very low VAFs and studies have shown that even mutations found at &lt;0.20% VAF respond to therapy, Northstar Select uncovers more treatment options for patients.</w:t>
      </w:r>
    </w:p>
    <w:p>
      <w:pPr>
        <w:spacing w:after="0" w:line="88"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sensitivity of other liquid biopsies is even more problematic for copy number variants (CNVs). During a cancer’s development and evolution, certain genes may replicate in number, driving uncontrollable growth. CNVs are increasingly recognized as hallmarks of cancer. While there are therapies that target these CNVs, CNVs are very difficult to detect in plasma due to amplification bias inherent in standard NGS approaches. smNGS-based Northstar Select solves this problem and achieves an LOD that is approximately five to eight times lower than other liquid biopsies.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8613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79" w:lineRule="exact"/>
        <w:rPr>
          <w:sz w:val="20"/>
          <w:szCs w:val="20"/>
          <w:color w:val="auto"/>
        </w:rPr>
      </w:pPr>
    </w:p>
    <w:p>
      <w:pPr>
        <w:ind w:left="320" w:hanging="316"/>
        <w:spacing w:after="0"/>
        <w:tabs>
          <w:tab w:leader="none" w:pos="320" w:val="left"/>
        </w:tabs>
        <w:numPr>
          <w:ilvl w:val="0"/>
          <w:numId w:val="101"/>
        </w:numPr>
        <w:rPr>
          <w:rFonts w:ascii="Arial" w:cs="Arial" w:eastAsia="Arial" w:hAnsi="Arial"/>
          <w:sz w:val="16"/>
          <w:szCs w:val="16"/>
          <w:color w:val="auto"/>
          <w:vertAlign w:val="superscript"/>
        </w:rPr>
      </w:pPr>
      <w:r>
        <w:rPr>
          <w:rFonts w:ascii="Arial" w:cs="Arial" w:eastAsia="Arial" w:hAnsi="Arial"/>
          <w:sz w:val="10"/>
          <w:szCs w:val="10"/>
          <w:color w:val="auto"/>
        </w:rPr>
        <w:t>Deveson, I.W., Gong, B., Lai, K. et al. (2021). Evaluating the analytical validity of circulating tumor DNA sequencing assays for precision oncology. Nature Biotechnology, 39(9), 1115–1128.</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38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168275</wp:posOffset>
            </wp:positionV>
            <wp:extent cx="4044315" cy="21189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044315" cy="211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Select detects &gt;50% more actionable mutations than comparator assays</w:t>
      </w:r>
      <w:r>
        <w:rPr>
          <w:rFonts w:ascii="Arial" w:cs="Arial" w:eastAsia="Arial" w:hAnsi="Arial"/>
          <w:sz w:val="20"/>
          <w:szCs w:val="20"/>
          <w:i w:val="1"/>
          <w:iCs w:val="1"/>
          <w:color w:val="auto"/>
          <w:vertAlign w:val="superscript"/>
        </w:rPr>
        <w:t>64</w:t>
      </w:r>
    </w:p>
    <w:p>
      <w:pPr>
        <w:spacing w:after="0" w:line="44" w:lineRule="exact"/>
        <w:rPr>
          <w:sz w:val="20"/>
          <w:szCs w:val="20"/>
          <w:color w:val="auto"/>
        </w:rPr>
      </w:pPr>
    </w:p>
    <w:p>
      <w:pPr>
        <w:spacing w:after="0" w:line="216" w:lineRule="auto"/>
        <w:rPr>
          <w:sz w:val="20"/>
          <w:szCs w:val="20"/>
          <w:color w:val="auto"/>
        </w:rPr>
      </w:pPr>
      <w:r>
        <w:rPr>
          <w:rFonts w:ascii="Arial" w:cs="Arial" w:eastAsia="Arial" w:hAnsi="Arial"/>
          <w:sz w:val="14"/>
          <w:szCs w:val="14"/>
          <w:color w:val="auto"/>
        </w:rPr>
        <w:t>In a head-to-head clinical validation study, we compared the performance of Northstar Select against commonly used first-generation ctDNA comprehensive genomic profiling assays. Northstar Select found superior detection rates with 51% more actionable SNVs and Indels, and 109% more CNVs than conventional liquid biopsies.</w:t>
      </w:r>
      <w:r>
        <w:rPr>
          <w:rFonts w:ascii="Arial" w:cs="Arial" w:eastAsia="Arial" w:hAnsi="Arial"/>
          <w:sz w:val="20"/>
          <w:szCs w:val="20"/>
          <w:color w:val="auto"/>
          <w:vertAlign w:val="superscript"/>
        </w:rPr>
        <w:t>65</w:t>
      </w:r>
      <w:r>
        <w:rPr>
          <w:rFonts w:ascii="Arial" w:cs="Arial" w:eastAsia="Arial" w:hAnsi="Arial"/>
          <w:sz w:val="14"/>
          <w:szCs w:val="14"/>
          <w:color w:val="auto"/>
        </w:rPr>
        <w:t xml:space="preserve"> Moreover, the study results showed that variants detected at VAF below 0.20% were overwhelmingly detected by Northstar Select only, demonstrating Northstar’s superior sensitivity. In practice, finding more actionable variants can help oncologists more effectively plan treatment for their patients, improving overall patient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596890" cy="19989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96890"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hanging="316"/>
        <w:spacing w:after="0"/>
        <w:tabs>
          <w:tab w:leader="none" w:pos="320" w:val="left"/>
        </w:tabs>
        <w:numPr>
          <w:ilvl w:val="0"/>
          <w:numId w:val="102"/>
        </w:numPr>
        <w:rPr>
          <w:rFonts w:ascii="Arial" w:cs="Arial" w:eastAsia="Arial" w:hAnsi="Arial"/>
          <w:sz w:val="16"/>
          <w:szCs w:val="16"/>
          <w:color w:val="auto"/>
          <w:vertAlign w:val="superscript"/>
        </w:rPr>
      </w:pPr>
      <w:r>
        <w:rPr>
          <w:rFonts w:ascii="Arial" w:cs="Arial" w:eastAsia="Arial" w:hAnsi="Arial"/>
          <w:sz w:val="10"/>
          <w:szCs w:val="10"/>
          <w:color w:val="auto"/>
        </w:rPr>
        <w:t>More than 50% more actionable mutations when compared to the comparator products in the aggregate. Actual percentages may vary depending on the individual comparator test.</w:t>
      </w:r>
    </w:p>
    <w:p>
      <w:pPr>
        <w:ind w:left="320" w:hanging="316"/>
        <w:spacing w:after="0" w:line="194" w:lineRule="auto"/>
        <w:tabs>
          <w:tab w:leader="none" w:pos="320" w:val="left"/>
        </w:tabs>
        <w:numPr>
          <w:ilvl w:val="0"/>
          <w:numId w:val="102"/>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40"/>
          </w:cols>
          <w:pgMar w:left="300" w:top="385"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Response</w:t>
      </w:r>
    </w:p>
    <w:p>
      <w:pPr>
        <w:spacing w:after="0" w:line="99"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In January 2023, we launched Northstar Response, a pan-cancer smNGS-based liquid biopsy test that precisely measured more than 500 genomic loci uniquely methylated in cancer, achieving single-molecule level quantification, without the need for an upfront tissue-sample.</w:t>
      </w:r>
      <w:r>
        <w:rPr>
          <w:rFonts w:ascii="Arial" w:cs="Arial" w:eastAsia="Arial" w:hAnsi="Arial"/>
          <w:sz w:val="20"/>
          <w:szCs w:val="20"/>
          <w:color w:val="auto"/>
          <w:vertAlign w:val="superscript"/>
        </w:rPr>
        <w:t>66</w:t>
      </w:r>
      <w:r>
        <w:rPr>
          <w:rFonts w:ascii="Arial" w:cs="Arial" w:eastAsia="Arial" w:hAnsi="Arial"/>
          <w:sz w:val="14"/>
          <w:szCs w:val="14"/>
          <w:color w:val="auto"/>
        </w:rPr>
        <w:t xml:space="preserve"> In May 2025, along with other improvements, we updated the assay to include more than 2,200 genomic loci. The new version of the assay has a significantly lower LOD, achieving 0.01% LOD. Northstar Response provides epigenomic insight into dynamic changes in a patient’s response to therapy and, based on our knowledge of all widely available tests, is the only tissue-free methylation-based assay that quantifies tumor burden with single molecule precision. We believe Northstar Response offers a convenient and more precise method to accurately monitor the molecular changes occurring during a patient’s treatment course, which can enable real-time treatment decisions for physicians and patients.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Response is complementary to standard of care radiographic imaging</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3"/>
          <w:szCs w:val="13"/>
          <w:color w:val="auto"/>
        </w:rPr>
        <w:t>The ability to monitor a tumor’s response to therapy and rapidly adjust treatment strategy when necessary is pivotal to improving patient outcomes, especially in late-stage cancers. Today, the most common and accepted method to assess treatment response is by measuring changes in tumor size through radiographic imaging (e.g., CT, MRI, and PET scans). Radiation exposure, infrequent scans, pseudo-progression with immuno-oncology therapy, and inability to precisely quantify changes, highlight some of the limitations of an anatomic-only based approach in treatment monitoring. Our Northstar Response test is complementary to traditional imaging and introduces real-time, single-molecule quantification to treatment monitoring with a Tumor Methylation Score (TMS). TMS is a quantitative metric that measures the extent of cancer-specific DNA methylation signal that is present in blood and reflects whether the tumor is growing or shrinking in a cancer patient when measured longitudinally. Using a DNA methylation-based approach in conjunction with our smNGS platform, we bring a new level of precision that can help determine molecular progression or therapy response at multiple time-points over the course of a patient’s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56515</wp:posOffset>
            </wp:positionV>
            <wp:extent cx="4030980" cy="1172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030980" cy="117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Northstar Response is highly accurate at measuring changes in tumor burden across cancer types</w:t>
      </w:r>
    </w:p>
    <w:p>
      <w:pPr>
        <w:spacing w:after="0" w:line="11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Our pan-cancer Northstar Response assay has been analytically validated across more than 10 tumor types and has been evaluated in several clinical studies. In one study, we demonstrated that our assay could detect minute changes in cfDNA burden as small as 0.02% (e.g., an elevation of tumor fraction from 0.02% to 0.04%) demonstrating high sensitivity for a tissue-free, blood only test. The assay also achieves a coefficient of variation (CV) of less than 10% for a typical sample with 1% tumor fraction, which is at least two times lower than conventional tumor-naive, targeted-panel methods that measure VAF. It has demonstrated a strong correlation with clinical outcomes in patients with lung, colorectal, and pancreatic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78613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56" w:lineRule="exact"/>
        <w:rPr>
          <w:sz w:val="20"/>
          <w:szCs w:val="20"/>
          <w:color w:val="auto"/>
        </w:rPr>
      </w:pPr>
    </w:p>
    <w:p>
      <w:pPr>
        <w:ind w:left="320" w:hanging="316"/>
        <w:spacing w:after="0"/>
        <w:tabs>
          <w:tab w:leader="none" w:pos="320" w:val="left"/>
        </w:tabs>
        <w:numPr>
          <w:ilvl w:val="0"/>
          <w:numId w:val="103"/>
        </w:numPr>
        <w:rPr>
          <w:rFonts w:ascii="Arial" w:cs="Arial" w:eastAsia="Arial" w:hAnsi="Arial"/>
          <w:sz w:val="16"/>
          <w:szCs w:val="16"/>
          <w:color w:val="auto"/>
          <w:vertAlign w:val="superscript"/>
        </w:rPr>
      </w:pPr>
      <w:r>
        <w:rPr>
          <w:rFonts w:ascii="Arial" w:cs="Arial" w:eastAsia="Arial" w:hAnsi="Arial"/>
          <w:sz w:val="10"/>
          <w:szCs w:val="10"/>
          <w:color w:val="auto"/>
        </w:rPr>
        <w:t>Ye, P. P., Viens, R., Shelburne, K. E., Langpap, et al. (2025). Molecular counting enables accurate and precise quantification of methylated ctDNA for tumor-naive cancer therapy response monitoring. Scientific Reports, 15(1).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385"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31451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30980" cy="314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0159"/>
          </w:cols>
          <w:pgMar w:left="300" w:top="385"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0"/>
        <w:spacing w:after="0" w:line="225" w:lineRule="auto"/>
        <w:rPr>
          <w:sz w:val="20"/>
          <w:szCs w:val="20"/>
          <w:color w:val="auto"/>
        </w:rPr>
      </w:pPr>
      <w:r>
        <w:rPr>
          <w:rFonts w:ascii="Arial" w:cs="Arial" w:eastAsia="Arial" w:hAnsi="Arial"/>
          <w:sz w:val="14"/>
          <w:szCs w:val="14"/>
          <w:color w:val="auto"/>
        </w:rPr>
        <w:t>We also collaborated with University of California, San Diego on a study involving immunotherapy and immuno-chemotherapy treated advanced non-small cell lung cancer patients.</w:t>
      </w:r>
      <w:r>
        <w:rPr>
          <w:rFonts w:ascii="Arial" w:cs="Arial" w:eastAsia="Arial" w:hAnsi="Arial"/>
          <w:sz w:val="20"/>
          <w:szCs w:val="20"/>
          <w:color w:val="auto"/>
          <w:vertAlign w:val="superscript"/>
        </w:rPr>
        <w:t>67</w:t>
      </w:r>
      <w:r>
        <w:rPr>
          <w:rFonts w:ascii="Arial" w:cs="Arial" w:eastAsia="Arial" w:hAnsi="Arial"/>
          <w:sz w:val="14"/>
          <w:szCs w:val="14"/>
          <w:color w:val="auto"/>
        </w:rPr>
        <w:t xml:space="preserve"> In that study, which involved 60 samples from 51 patients, Northstar Response’s changes in TMS measured four to ten weeks after starting treatment significantly predicted real-world progression free survival (rwPFS, p &lt; 0.0001), compared to standard imaging assessments which did not reach statistical significance (p = 0.55). The p-value is used to determine the probability as to whether the difference between two data sets is due to chance. The smaller the p-value, the more likely the differences are not due to chance alone. In general, if the p-value is less than or equal to 0.05, the outcome is considered statistically significant. The study also showed that the test often detected treatment response and progression earlier than standard of care CT scans, with high concordance between TMS and clinical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66040</wp:posOffset>
            </wp:positionV>
            <wp:extent cx="4030980" cy="1319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030980"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collaboration with Allegheny Health Network (AHN), a separate pan-cancer validation cohort of 54 advanced stage cancer patients (lung, melanoma, and six other solid-tumor cancers) treated with immunotherapy regimens, TMS-based molecular responders had significantly better progression free survival (PFS) (HR=0.26) and OS (HR=0.18) than molecular non-responders. This was particularly remarkable given that the separation between responder and non-responder was made within the first 90 days from baseline and was predictive of durable outcomes years in advance. Molecular responders at day 90 had a significantly improved median overall survival of over two years longer compared to patients who were found to be molecular non-responders.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64770</wp:posOffset>
            </wp:positionV>
            <wp:extent cx="4030980" cy="131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030980" cy="131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0"/>
        <w:spacing w:after="0" w:line="252" w:lineRule="auto"/>
        <w:rPr>
          <w:sz w:val="20"/>
          <w:szCs w:val="20"/>
          <w:color w:val="auto"/>
        </w:rPr>
      </w:pPr>
      <w:r>
        <w:rPr>
          <w:rFonts w:ascii="Arial" w:cs="Arial" w:eastAsia="Arial" w:hAnsi="Arial"/>
          <w:sz w:val="14"/>
          <w:szCs w:val="14"/>
          <w:color w:val="auto"/>
        </w:rPr>
        <w:t>In addition to the aforementioned studies, we are further engaged in multiple prospective clinical validation studies spanning all solid tumor and therapy types. Our flagship NORTH study is a multi-site study with over 500 late-stage (stage III/IV) solid tumor cancer patients undergoing systemic therapies. We completed enrollment of the study in early 2025 and expect to complete sample and data collection by the end of 2025.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8613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60" w:lineRule="exact"/>
        <w:rPr>
          <w:sz w:val="20"/>
          <w:szCs w:val="20"/>
          <w:color w:val="auto"/>
        </w:rPr>
      </w:pPr>
    </w:p>
    <w:p>
      <w:pPr>
        <w:ind w:left="320" w:hanging="316"/>
        <w:spacing w:after="0"/>
        <w:tabs>
          <w:tab w:leader="none" w:pos="32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 xml:space="preserve">Ye, P. P., Viens, R., Shelburne, K. E., Langpap, et al. (2025). Molecular counting enables accurate and precise quantification of methylated ctDNA for tumor-naive cancer therapy response monitoring. </w:t>
      </w:r>
      <w:r>
        <w:rPr>
          <w:rFonts w:ascii="Arial" w:cs="Arial" w:eastAsia="Arial" w:hAnsi="Arial"/>
          <w:sz w:val="10"/>
          <w:szCs w:val="10"/>
          <w:i w:val="1"/>
          <w:iCs w:val="1"/>
          <w:color w:val="auto"/>
        </w:rPr>
        <w:t>Scientific Reports, 15(1).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385"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rPr>
          <w:sz w:val="20"/>
          <w:szCs w:val="20"/>
          <w:color w:val="auto"/>
        </w:rPr>
      </w:pPr>
      <w:r>
        <w:rPr>
          <w:rFonts w:ascii="Arial" w:cs="Arial" w:eastAsia="Arial" w:hAnsi="Arial"/>
          <w:sz w:val="14"/>
          <w:szCs w:val="14"/>
          <w:color w:val="auto"/>
        </w:rPr>
        <w:t>expect the initial results to be available in 2026. The NORTH study, along with other ongoing clinical studies, has the potential to generate sufficient clinical validity evidence for our MolDX submissions for Medicare coverage. We have also engaged with academic key opinion leaders in specific disease areas to provide more insights into the validity and utility of Northstar Response. In collaboration with University of Florida, we are conducting a 100-patient prospective study examining the clinical validity of Northstar Response focusing specifically on advanced gastrointestinal tumors. The study completed enrollment in March 2025. In collaboration with University of Miami, we are engaging in a clinical utility study to identify metastatic pancreatic ductal adenocarcinoma (mPDAC) patients who may benefit from ctDNA informed switching to second line chemotherapy based on early measures of response at four weeks following first line treatment initiation. We have also sponsored an investigator-initiated study at the Fred Hutch cancer center to assess the clinical validity of Northstar Response in quantifying therapy response in appendiceal and metastatic peritoneal tumors, which are more difficult to assess by imaging modalities.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opportunities in oncology</w:t>
      </w:r>
    </w:p>
    <w:p>
      <w:pPr>
        <w:spacing w:after="0" w:line="110"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Beyond our two complementary therapy selection and monitoring tests, we are actively advancing our efforts in developing additional oncology products in MRD testing. Our Northstar Response test already achieves 0.01% LOD, which is in line with the first-generation tissue-informed MRD assays. We are making further improvements to the Northstar Response assay designed to achieve superior clinical performance than existing assays using the tumor-naive (blood only) approach. We believe there is a significant market opportunity for tumor-naive MRD assays, especially in certain cancer types such as lung, where the QC failure rates for tissue testing can exceed 40%.</w:t>
      </w:r>
      <w:r>
        <w:rPr>
          <w:rFonts w:ascii="Arial" w:cs="Arial" w:eastAsia="Arial" w:hAnsi="Arial"/>
          <w:sz w:val="20"/>
          <w:szCs w:val="20"/>
          <w:color w:val="auto"/>
          <w:vertAlign w:val="superscript"/>
        </w:rPr>
        <w:t>68</w:t>
      </w:r>
      <w:r>
        <w:rPr>
          <w:rFonts w:ascii="Arial" w:cs="Arial" w:eastAsia="Arial" w:hAnsi="Arial"/>
          <w:sz w:val="14"/>
          <w:szCs w:val="14"/>
          <w:color w:val="auto"/>
        </w:rPr>
        <w:t xml:space="preserve"> Longer term, we believe that our smNGS-based technology could address the sensitivity challenges of early-stage cancer detection. We have leveraged our existing relationship with Allegheny Health Network to collaborate on procuring a retrospective sample set to begin assessment of our MRD assay across multiple tumor types including CRC and endometrial cancers.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Publications and collaborations</w:t>
      </w:r>
    </w:p>
    <w:p>
      <w:pPr>
        <w:spacing w:after="0" w:line="110"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We have extensive publications on our smNGS platform and products. Our UNITY Fetal Risk Screen clinical publication in Genetics in Medicine was selected for the Top 10 publications in Genomic medicine year in review 2023 by AJHG. Our hallmark publications in the Obstetrics &amp; Gynecology journal (the Green Journal) demonstrated 100% sensitivity and specificity in approximately 860 patients for fetal RhD and other fetal RBC antigen detection, ultimately leading to the ACOG practice guideline changes.</w:t>
      </w:r>
    </w:p>
    <w:p>
      <w:pPr>
        <w:spacing w:after="0" w:line="70"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 xml:space="preserve">The analytical and clinical validity of our Northstar products have also been demonstrated in peer-reviewed publications. The analytical validation of Northstar Response was published in January 2025 in Scientific Reports while additional clinical studies of the assay performance in lung and liver cancer cohorts were published in </w:t>
      </w:r>
      <w:r>
        <w:rPr>
          <w:rFonts w:ascii="Arial" w:cs="Arial" w:eastAsia="Arial" w:hAnsi="Arial"/>
          <w:sz w:val="14"/>
          <w:szCs w:val="14"/>
          <w:i w:val="1"/>
          <w:iCs w:val="1"/>
          <w:color w:val="auto"/>
        </w:rPr>
        <w:t>Clinical Lung Cancer</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Journal of American College of Surgeons,</w:t>
      </w:r>
      <w:r>
        <w:rPr>
          <w:rFonts w:ascii="Arial" w:cs="Arial" w:eastAsia="Arial" w:hAnsi="Arial"/>
          <w:sz w:val="14"/>
          <w:szCs w:val="14"/>
          <w:color w:val="auto"/>
        </w:rPr>
        <w:t xml:space="preserve"> respectively. The analytical and clinical validation of Northstar Select, including the head-to-head comparison against other on-market assays published in August 2025 which demonstrated Northstar Selects superiority in detection of SNV and CNVs as relative to commercially available competitors.</w:t>
      </w:r>
      <w:r>
        <w:rPr>
          <w:rFonts w:ascii="Arial" w:cs="Arial" w:eastAsia="Arial" w:hAnsi="Arial"/>
          <w:sz w:val="20"/>
          <w:szCs w:val="20"/>
          <w:color w:val="auto"/>
          <w:vertAlign w:val="superscript"/>
        </w:rPr>
        <w:t>69</w:t>
      </w:r>
      <w:r>
        <w:rPr>
          <w:rFonts w:ascii="Arial" w:cs="Arial" w:eastAsia="Arial" w:hAnsi="Arial"/>
          <w:sz w:val="14"/>
          <w:szCs w:val="14"/>
          <w:color w:val="auto"/>
        </w:rPr>
        <w:t xml:space="preserve"> Beyond the peer-reviewed journal publications below, we have published posters and abstracts at various medical conferences including AACR, AACR LBx, ASCO, and the International Society of Liquid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78613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05" w:lineRule="exact"/>
        <w:rPr>
          <w:sz w:val="20"/>
          <w:szCs w:val="20"/>
          <w:color w:val="auto"/>
        </w:rPr>
      </w:pPr>
    </w:p>
    <w:p>
      <w:pPr>
        <w:ind w:left="320" w:right="380" w:hanging="316"/>
        <w:spacing w:after="0" w:line="193" w:lineRule="auto"/>
        <w:tabs>
          <w:tab w:leader="none" w:pos="320" w:val="left"/>
        </w:tabs>
        <w:numPr>
          <w:ilvl w:val="0"/>
          <w:numId w:val="105"/>
        </w:numPr>
        <w:rPr>
          <w:rFonts w:ascii="Arial" w:cs="Arial" w:eastAsia="Arial" w:hAnsi="Arial"/>
          <w:sz w:val="16"/>
          <w:szCs w:val="16"/>
          <w:color w:val="auto"/>
          <w:vertAlign w:val="superscript"/>
        </w:rPr>
      </w:pPr>
      <w:r>
        <w:rPr>
          <w:rFonts w:ascii="Arial" w:cs="Arial" w:eastAsia="Arial" w:hAnsi="Arial"/>
          <w:sz w:val="10"/>
          <w:szCs w:val="10"/>
          <w:color w:val="auto"/>
        </w:rPr>
        <w:t xml:space="preserve">Choudhury, Y., Tan, M.-H., Shi, J. L., Tee, A., Ngeow, K. C., Poh, J., Goh, R. R., &amp; Mong, J. (2022). Complementing tissue testing with plasma mutation profiling improves therapeutic decision-making for patients with lung cancer. </w:t>
      </w:r>
      <w:r>
        <w:rPr>
          <w:rFonts w:ascii="Arial" w:cs="Arial" w:eastAsia="Arial" w:hAnsi="Arial"/>
          <w:sz w:val="10"/>
          <w:szCs w:val="10"/>
          <w:i w:val="1"/>
          <w:iCs w:val="1"/>
          <w:color w:val="auto"/>
        </w:rPr>
        <w:t>Frontiers in Medicine</w:t>
      </w:r>
      <w:r>
        <w:rPr>
          <w:rFonts w:ascii="Arial" w:cs="Arial" w:eastAsia="Arial" w:hAnsi="Arial"/>
          <w:sz w:val="10"/>
          <w:szCs w:val="10"/>
          <w:color w:val="auto"/>
        </w:rPr>
        <w:t>, 9, 758464.</w:t>
      </w:r>
    </w:p>
    <w:p>
      <w:pPr>
        <w:ind w:left="320" w:right="20" w:hanging="316"/>
        <w:spacing w:after="0" w:line="194" w:lineRule="auto"/>
        <w:tabs>
          <w:tab w:leader="none" w:pos="320" w:val="left"/>
        </w:tabs>
        <w:numPr>
          <w:ilvl w:val="0"/>
          <w:numId w:val="105"/>
        </w:numPr>
        <w:rPr>
          <w:rFonts w:ascii="Arial" w:cs="Arial" w:eastAsia="Arial" w:hAnsi="Arial"/>
          <w:sz w:val="16"/>
          <w:szCs w:val="16"/>
          <w:color w:val="auto"/>
          <w:vertAlign w:val="superscript"/>
        </w:rPr>
      </w:pPr>
      <w:r>
        <w:rPr>
          <w:rFonts w:ascii="Arial" w:cs="Arial" w:eastAsia="Arial" w:hAnsi="Arial"/>
          <w:sz w:val="10"/>
          <w:szCs w:val="10"/>
          <w:color w:val="auto"/>
        </w:rPr>
        <w:t>Bower, X., Wignall, J., Varga, M. G., Zhu, J., O’Sullivan, M., Searle, N. E., Hong, L. K., Dogruluk, T., Li, Z., Farmer, T. E., Rosas-Linhard, E., Luong, J., Lin, E., Simon, M. E., Tsao, D. S., Bosch, J. R. T., Palmer, G., Gajra, A., Huynh, C., &amp; Zhou, W. (2025). Validation of a liquid biopsy assay with increased sensitivity for clinical comprehensive genomic profiling. The Journal of Liquid Biopsy, 100322.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60"/>
          </w:cols>
          <w:pgMar w:left="300" w:top="38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168275</wp:posOffset>
            </wp:positionV>
            <wp:extent cx="4017645" cy="17722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017645" cy="177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20"/>
        <w:spacing w:after="0" w:line="260" w:lineRule="auto"/>
        <w:rPr>
          <w:sz w:val="20"/>
          <w:szCs w:val="20"/>
          <w:color w:val="auto"/>
        </w:rPr>
      </w:pPr>
      <w:r>
        <w:rPr>
          <w:rFonts w:ascii="Arial" w:cs="Arial" w:eastAsia="Arial" w:hAnsi="Arial"/>
          <w:sz w:val="14"/>
          <w:szCs w:val="14"/>
          <w:color w:val="auto"/>
        </w:rPr>
        <w:t xml:space="preserve">Through the clinical studies described below, we have demonstrated strategic validation data for our liquid biopsy tests. Leveraging both internally designed prospective studies, as well as partnering with well-known and respected oncology research organizations, provides both the efficiency and impact that is needed for validation of novel precision oncology tools. </w:t>
      </w:r>
      <w:r>
        <w:rPr>
          <w:rFonts w:ascii="Arial" w:cs="Arial" w:eastAsia="Arial" w:hAnsi="Arial"/>
          <w:sz w:val="20"/>
          <w:szCs w:val="20"/>
          <w:color w:val="auto"/>
          <w:vertAlign w:val="superscript"/>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162800" cy="13392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2800" cy="13392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auto"/>
        </w:rPr>
        <w:t>Summary of publications for BillionToOne</w:t>
      </w:r>
    </w:p>
    <w:tbl>
      <w:tblPr>
        <w:tblLayout w:type="fixed"/>
        <w:tblInd w:w="0" w:type="dxa"/>
        <w:tblCellMar>
          <w:top w:w="0" w:type="dxa"/>
          <w:left w:w="0" w:type="dxa"/>
          <w:bottom w:w="0" w:type="dxa"/>
          <w:right w:w="0" w:type="dxa"/>
        </w:tblCellMar>
      </w:tblPr>
      <w:tr>
        <w:trPr>
          <w:trHeight w:val="169"/>
        </w:trPr>
        <w:tc>
          <w:tcPr>
            <w:tcW w:w="25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8"/>
              </w:rPr>
              <w:t>Study information</w:t>
            </w:r>
          </w:p>
        </w:tc>
        <w:tc>
          <w:tcPr>
            <w:tcW w:w="660" w:type="dxa"/>
            <w:vAlign w:val="bottom"/>
            <w:tcBorders>
              <w:top w:val="single" w:sz="8" w:color="auto"/>
            </w:tcBorders>
          </w:tcPr>
          <w:p>
            <w:pPr>
              <w:spacing w:after="0"/>
              <w:rPr>
                <w:sz w:val="14"/>
                <w:szCs w:val="14"/>
                <w:color w:val="auto"/>
              </w:rPr>
            </w:pPr>
          </w:p>
        </w:tc>
        <w:tc>
          <w:tcPr>
            <w:tcW w:w="174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3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Study description</w:t>
            </w:r>
          </w:p>
        </w:tc>
      </w:tr>
      <w:tr>
        <w:trPr>
          <w:trHeight w:val="20"/>
        </w:trPr>
        <w:tc>
          <w:tcPr>
            <w:tcW w:w="2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0" w:type="dxa"/>
            <w:vAlign w:val="bottom"/>
            <w:tcBorders>
              <w:right w:val="single" w:sz="8" w:color="auto"/>
            </w:tcBorders>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r>
      <w:tr>
        <w:trPr>
          <w:trHeight w:val="232"/>
        </w:trPr>
        <w:tc>
          <w:tcPr>
            <w:tcW w:w="6120" w:type="dxa"/>
            <w:vAlign w:val="bottom"/>
            <w:tcBorders>
              <w:right w:val="single" w:sz="8" w:color="auto"/>
            </w:tcBorders>
            <w:gridSpan w:val="4"/>
          </w:tcPr>
          <w:p>
            <w:pPr>
              <w:ind w:left="120"/>
              <w:spacing w:after="0"/>
              <w:rPr>
                <w:sz w:val="20"/>
                <w:szCs w:val="20"/>
                <w:color w:val="auto"/>
              </w:rPr>
            </w:pPr>
            <w:r>
              <w:rPr>
                <w:rFonts w:ascii="Arial" w:cs="Arial" w:eastAsia="Arial" w:hAnsi="Arial"/>
                <w:sz w:val="10"/>
                <w:szCs w:val="10"/>
                <w:color w:val="auto"/>
              </w:rPr>
              <w:t>*     The URLs citing the studies in the following table are inactive textual references only and the studies are not incorporated by</w:t>
            </w:r>
          </w:p>
        </w:tc>
        <w:tc>
          <w:tcPr>
            <w:tcW w:w="2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r>
      <w:tr>
        <w:trPr>
          <w:trHeight w:val="136"/>
        </w:trPr>
        <w:tc>
          <w:tcPr>
            <w:tcW w:w="438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color w:val="auto"/>
              </w:rPr>
              <w:t>reference into this prospectus.</w:t>
            </w:r>
          </w:p>
        </w:tc>
        <w:tc>
          <w:tcPr>
            <w:tcW w:w="174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980" w:type="dxa"/>
            <w:vAlign w:val="bottom"/>
            <w:tcBorders>
              <w:bottom w:val="single" w:sz="8" w:color="auto"/>
              <w:right w:val="single" w:sz="8" w:color="auto"/>
            </w:tcBorders>
          </w:tcPr>
          <w:p>
            <w:pPr>
              <w:spacing w:after="0"/>
              <w:rPr>
                <w:sz w:val="11"/>
                <w:szCs w:val="11"/>
                <w:color w:val="auto"/>
              </w:rPr>
            </w:pPr>
          </w:p>
        </w:tc>
      </w:tr>
      <w:tr>
        <w:trPr>
          <w:trHeight w:val="158"/>
        </w:trPr>
        <w:tc>
          <w:tcPr>
            <w:tcW w:w="2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920" w:type="dxa"/>
            <w:vAlign w:val="bottom"/>
            <w:tcBorders>
              <w:bottom w:val="single" w:sz="8" w:color="auto"/>
              <w:right w:val="single" w:sz="8" w:color="auto"/>
            </w:tcBorders>
            <w:gridSpan w:val="4"/>
          </w:tcPr>
          <w:p>
            <w:pPr>
              <w:ind w:left="620"/>
              <w:spacing w:after="0" w:line="159" w:lineRule="exact"/>
              <w:rPr>
                <w:sz w:val="20"/>
                <w:szCs w:val="20"/>
                <w:color w:val="auto"/>
              </w:rPr>
            </w:pPr>
            <w:r>
              <w:rPr>
                <w:rFonts w:ascii="Arial" w:cs="Arial" w:eastAsia="Arial" w:hAnsi="Arial"/>
                <w:sz w:val="14"/>
                <w:szCs w:val="14"/>
                <w:b w:val="1"/>
                <w:bCs w:val="1"/>
                <w:color w:val="auto"/>
              </w:rPr>
              <w:t>PRENATAL STUDIES</w:t>
            </w:r>
          </w:p>
        </w:tc>
      </w:tr>
      <w:tr>
        <w:trPr>
          <w:trHeight w:val="175"/>
        </w:trPr>
        <w:tc>
          <w:tcPr>
            <w:tcW w:w="43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UNITY Analytical Validation Study</w:t>
            </w:r>
          </w:p>
        </w:tc>
        <w:tc>
          <w:tcPr>
            <w:tcW w:w="174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This foundational study presents the first technical publication of BillionToOne’s</w:t>
            </w:r>
          </w:p>
        </w:tc>
      </w:tr>
      <w:tr>
        <w:trPr>
          <w:trHeight w:val="157"/>
        </w:trPr>
        <w:tc>
          <w:tcPr>
            <w:tcW w:w="4380" w:type="dxa"/>
            <w:vAlign w:val="bottom"/>
            <w:gridSpan w:val="3"/>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Scientific Reports</w:t>
            </w:r>
            <w:r>
              <w:rPr>
                <w:rFonts w:ascii="Arial" w:cs="Arial" w:eastAsia="Arial" w:hAnsi="Arial"/>
                <w:sz w:val="14"/>
                <w:szCs w:val="14"/>
                <w:b w:val="1"/>
                <w:bCs w:val="1"/>
                <w:color w:val="auto"/>
              </w:rPr>
              <w:t xml:space="preserve"> </w:t>
            </w:r>
            <w:r>
              <w:rPr>
                <w:rFonts w:ascii="Arial" w:cs="Arial" w:eastAsia="Arial" w:hAnsi="Arial"/>
                <w:sz w:val="14"/>
                <w:szCs w:val="14"/>
                <w:color w:val="auto"/>
              </w:rPr>
              <w:t>(Nature Publishing Group)</w:t>
            </w:r>
          </w:p>
        </w:tc>
        <w:tc>
          <w:tcPr>
            <w:tcW w:w="174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tcPr>
          <w:p>
            <w:pPr>
              <w:ind w:left="100"/>
              <w:spacing w:after="0" w:line="157" w:lineRule="exact"/>
              <w:rPr>
                <w:sz w:val="20"/>
                <w:szCs w:val="20"/>
                <w:color w:val="auto"/>
              </w:rPr>
            </w:pPr>
            <w:r>
              <w:rPr>
                <w:rFonts w:ascii="Arial" w:cs="Arial" w:eastAsia="Arial" w:hAnsi="Arial"/>
                <w:sz w:val="14"/>
                <w:szCs w:val="14"/>
                <w:color w:val="auto"/>
              </w:rPr>
              <w:t>patent-pending QCT molecular counting method. The research demonstrates</w:t>
            </w:r>
          </w:p>
        </w:tc>
      </w:tr>
      <w:tr>
        <w:trPr>
          <w:trHeight w:val="157"/>
        </w:trPr>
        <w:tc>
          <w:tcPr>
            <w:tcW w:w="4380" w:type="dxa"/>
            <w:vAlign w:val="bottom"/>
            <w:gridSpan w:val="3"/>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A novel high-throughput molecular counting method</w:t>
            </w:r>
          </w:p>
        </w:tc>
        <w:tc>
          <w:tcPr>
            <w:tcW w:w="174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tcPr>
          <w:p>
            <w:pPr>
              <w:ind w:left="100"/>
              <w:spacing w:after="0" w:line="157" w:lineRule="exact"/>
              <w:rPr>
                <w:sz w:val="20"/>
                <w:szCs w:val="20"/>
                <w:color w:val="auto"/>
              </w:rPr>
            </w:pPr>
            <w:r>
              <w:rPr>
                <w:rFonts w:ascii="Arial" w:cs="Arial" w:eastAsia="Arial" w:hAnsi="Arial"/>
                <w:sz w:val="14"/>
                <w:szCs w:val="14"/>
                <w:color w:val="auto"/>
              </w:rPr>
              <w:t>that QCT technology can accurately count single DNA molecules, enabling ultra-</w:t>
            </w:r>
          </w:p>
        </w:tc>
      </w:tr>
      <w:tr>
        <w:trPr>
          <w:trHeight w:val="157"/>
        </w:trPr>
        <w:tc>
          <w:tcPr>
            <w:tcW w:w="4380" w:type="dxa"/>
            <w:vAlign w:val="bottom"/>
            <w:gridSpan w:val="3"/>
          </w:tcPr>
          <w:p>
            <w:pPr>
              <w:ind w:left="120"/>
              <w:spacing w:after="0" w:line="157" w:lineRule="exact"/>
              <w:rPr>
                <w:sz w:val="20"/>
                <w:szCs w:val="20"/>
                <w:color w:val="auto"/>
              </w:rPr>
            </w:pPr>
            <w:r>
              <w:rPr>
                <w:rFonts w:ascii="Arial" w:cs="Arial" w:eastAsia="Arial" w:hAnsi="Arial"/>
                <w:sz w:val="14"/>
                <w:szCs w:val="14"/>
                <w:color w:val="auto"/>
              </w:rPr>
              <w:t>with single base-pair resolution enables accurate single</w:t>
            </w:r>
          </w:p>
        </w:tc>
        <w:tc>
          <w:tcPr>
            <w:tcW w:w="174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tcPr>
          <w:p>
            <w:pPr>
              <w:ind w:left="100"/>
              <w:spacing w:after="0" w:line="157" w:lineRule="exact"/>
              <w:rPr>
                <w:sz w:val="20"/>
                <w:szCs w:val="20"/>
                <w:color w:val="auto"/>
              </w:rPr>
            </w:pPr>
            <w:r>
              <w:rPr>
                <w:rFonts w:ascii="Arial" w:cs="Arial" w:eastAsia="Arial" w:hAnsi="Arial"/>
                <w:sz w:val="14"/>
                <w:szCs w:val="14"/>
                <w:color w:val="auto"/>
              </w:rPr>
              <w:t>rare variant calls for liquid biopsy and</w:t>
            </w:r>
          </w:p>
        </w:tc>
      </w:tr>
      <w:tr>
        <w:trPr>
          <w:trHeight w:val="157"/>
        </w:trPr>
        <w:tc>
          <w:tcPr>
            <w:tcW w:w="4380" w:type="dxa"/>
            <w:vAlign w:val="bottom"/>
            <w:gridSpan w:val="3"/>
          </w:tcPr>
          <w:p>
            <w:pPr>
              <w:ind w:left="120"/>
              <w:spacing w:after="0" w:line="157" w:lineRule="exact"/>
              <w:rPr>
                <w:sz w:val="20"/>
                <w:szCs w:val="20"/>
                <w:color w:val="auto"/>
              </w:rPr>
            </w:pPr>
            <w:r>
              <w:rPr>
                <w:rFonts w:ascii="Arial" w:cs="Arial" w:eastAsia="Arial" w:hAnsi="Arial"/>
                <w:sz w:val="14"/>
                <w:szCs w:val="14"/>
                <w:color w:val="auto"/>
              </w:rPr>
              <w:t>-gene NIPT</w:t>
            </w:r>
          </w:p>
        </w:tc>
        <w:tc>
          <w:tcPr>
            <w:tcW w:w="1740" w:type="dxa"/>
            <w:vAlign w:val="bottom"/>
            <w:tcBorders>
              <w:right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r>
      <w:tr>
        <w:trPr>
          <w:trHeight w:val="157"/>
        </w:trPr>
        <w:tc>
          <w:tcPr>
            <w:tcW w:w="4380" w:type="dxa"/>
            <w:vAlign w:val="bottom"/>
            <w:gridSpan w:val="3"/>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Tsao, D.S., Silas, S., Landry, B.P., Itzep, N.P.,</w:t>
            </w:r>
          </w:p>
        </w:tc>
        <w:tc>
          <w:tcPr>
            <w:tcW w:w="1740" w:type="dxa"/>
            <w:vAlign w:val="bottom"/>
            <w:tcBorders>
              <w:right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r>
      <w:tr>
        <w:trPr>
          <w:trHeight w:val="183"/>
        </w:trPr>
        <w:tc>
          <w:tcPr>
            <w:tcW w:w="4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Nguyen, A.B., Greenberg, S., Kanne, C.K., Sheehan, V.A.,</w:t>
            </w:r>
          </w:p>
        </w:tc>
        <w:tc>
          <w:tcPr>
            <w:tcW w:w="17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8613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16" w:lineRule="exact"/>
        <w:rPr>
          <w:sz w:val="20"/>
          <w:szCs w:val="20"/>
          <w:color w:val="auto"/>
        </w:rPr>
      </w:pPr>
    </w:p>
    <w:p>
      <w:pPr>
        <w:ind w:left="320" w:right="60" w:hanging="316"/>
        <w:spacing w:after="0" w:line="225" w:lineRule="auto"/>
        <w:tabs>
          <w:tab w:leader="none" w:pos="320" w:val="left"/>
        </w:tabs>
        <w:numPr>
          <w:ilvl w:val="0"/>
          <w:numId w:val="106"/>
        </w:numPr>
        <w:rPr>
          <w:rFonts w:ascii="Arial" w:cs="Arial" w:eastAsia="Arial" w:hAnsi="Arial"/>
          <w:sz w:val="16"/>
          <w:szCs w:val="16"/>
          <w:color w:val="auto"/>
          <w:vertAlign w:val="superscript"/>
        </w:rPr>
      </w:pPr>
      <w:r>
        <w:rPr>
          <w:rFonts w:ascii="Arial" w:cs="Arial" w:eastAsia="Arial" w:hAnsi="Arial"/>
          <w:sz w:val="10"/>
          <w:szCs w:val="10"/>
          <w:color w:val="auto"/>
        </w:rPr>
        <w:t>The clinical studies described below include both retrospective and prospective analyses. Retrospective studies involve the analysis of previously collected blood samples obtained from patient cohorts as reflected in medical records. No new patient enrollment, randomization, or interventional procedures were undertaken. The methodology involved processing these pre-existing samples using our LDTs and comparing the resulting test outputs to patient outcomes as documented in existing clinical data. The prospective studies involve collecting blood samples and medical records from patients that have been diagnosed and analyzing the samples using our LDTs to determine the association of ctDNA test results with clinical outcomes. Since these retrospective and prospective studies are focused on analytical and clinical validity, information typically requested for clinical trials, including, but not limited to, the dates and locations of trial conduct, the identity of trial sponsors, and the occurrence of serious adverse events, is not applicable or available in the context of these clinical studies. All references to clinical validity and clinical utility described in the summary of publications are distinct from claims of safety and efficacy relating to each of our LDTs.</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300"/>
          </w:cols>
          <w:pgMar w:left="300" w:top="385"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7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Sharma, R., Shukla, R., Arora, P.N., Atay, O.</w:t>
            </w:r>
          </w:p>
        </w:tc>
        <w:tc>
          <w:tcPr>
            <w:tcW w:w="1400" w:type="dxa"/>
            <w:vAlign w:val="bottom"/>
            <w:tcBorders>
              <w:top w:val="single" w:sz="8" w:color="auto"/>
              <w:right w:val="single" w:sz="8" w:color="auto"/>
            </w:tcBorders>
          </w:tcPr>
          <w:p>
            <w:pPr>
              <w:spacing w:after="0"/>
              <w:rPr>
                <w:sz w:val="16"/>
                <w:szCs w:val="16"/>
                <w:color w:val="auto"/>
              </w:rPr>
            </w:pPr>
          </w:p>
        </w:tc>
        <w:tc>
          <w:tcPr>
            <w:tcW w:w="5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single-gene NIPT for recessively inherited genetic disorders. Using pre-clinical</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https://doi.org/10.1038/s41598-019-50378-8</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samples for cystic fibrosis, spinal muscular atrophy, sickle cell disease, and</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10.1038/s41598-019-50378-8.</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thalassemias, the study achieved &gt;98% analytical sensitivity and &gt;99% analytical</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October 2019</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specificity. Validation with on blood samples from singleton pregnancies showed</w:t>
            </w:r>
          </w:p>
        </w:tc>
      </w:tr>
      <w:tr>
        <w:trPr>
          <w:trHeight w:val="157"/>
        </w:trPr>
        <w:tc>
          <w:tcPr>
            <w:tcW w:w="4720" w:type="dxa"/>
            <w:vAlign w:val="bottom"/>
            <w:tcBorders>
              <w:lef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100% concordance between QCT-enabled single-gene NIPT calls and newborn</w:t>
            </w:r>
          </w:p>
        </w:tc>
      </w:tr>
      <w:tr>
        <w:trPr>
          <w:trHeight w:val="157"/>
        </w:trPr>
        <w:tc>
          <w:tcPr>
            <w:tcW w:w="4720" w:type="dxa"/>
            <w:vAlign w:val="bottom"/>
            <w:tcBorders>
              <w:lef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genotype for both maternal recessive inheritance and paternal inheritance</w:t>
            </w:r>
          </w:p>
        </w:tc>
      </w:tr>
      <w:tr>
        <w:trPr>
          <w:trHeight w:val="172"/>
        </w:trPr>
        <w:tc>
          <w:tcPr>
            <w:tcW w:w="4720" w:type="dxa"/>
            <w:vAlign w:val="bottom"/>
            <w:tcBorders>
              <w:left w:val="single" w:sz="8" w:color="auto"/>
              <w:bottom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scenarios.</w:t>
            </w:r>
          </w:p>
        </w:tc>
      </w:tr>
      <w:tr>
        <w:trPr>
          <w:trHeight w:val="175"/>
        </w:trPr>
        <w:tc>
          <w:tcPr>
            <w:tcW w:w="472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sgNIPT Health Economics Study</w:t>
            </w:r>
          </w:p>
        </w:tc>
        <w:tc>
          <w:tcPr>
            <w:tcW w:w="14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health economics analysis evaluates the clinical benefits and cost savings</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Journal of Medical Economics</w:t>
            </w:r>
            <w:r>
              <w:rPr>
                <w:rFonts w:ascii="Arial" w:cs="Arial" w:eastAsia="Arial" w:hAnsi="Arial"/>
                <w:sz w:val="14"/>
                <w:szCs w:val="14"/>
                <w:b w:val="1"/>
                <w:bCs w:val="1"/>
                <w:color w:val="auto"/>
              </w:rPr>
              <w:t xml:space="preserve"> </w:t>
            </w:r>
            <w:r>
              <w:rPr>
                <w:rFonts w:ascii="Arial" w:cs="Arial" w:eastAsia="Arial" w:hAnsi="Arial"/>
                <w:sz w:val="14"/>
                <w:szCs w:val="14"/>
                <w:color w:val="auto"/>
              </w:rPr>
              <w:t>(JME)</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associated with adopting carrier screening with reflex single- gene NIPT in</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Reflex single-gene non-invasive prenatal testing is</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prenatal care. The study used decision modeling to compare traditional carrier</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associated with markedly better detection of fetuses</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screening with carrier screening plus reflex sgNIPT across 100,000 pregnancies.</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affected with single-gene recessive disorders at lower cost</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Results showed that the cost to detect one affected pregnancy by UNITY Fetal</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Riku, S., Hedriana, H., Carozza, J.A., Hoskovec, J.</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Risk Screen was 62% lower than traditional carrier screening, with reflex sgNIPT</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https://www.tandfonline.com/doi/full/</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detecting 108 of 110 affected pregnancies (98.5% sensitivity) compared to</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10.1080/13696998.2022.2053384</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traditional screening’s 46 of 110 (41.5% sensitivity). The analysis demonstrated</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10.1080/13696998.2022.2053384</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total healthcare cost savings of $37.6 million per 100,000 pregnancies,</w:t>
            </w:r>
          </w:p>
        </w:tc>
      </w:tr>
      <w:tr>
        <w:trPr>
          <w:trHeight w:val="183"/>
        </w:trPr>
        <w:tc>
          <w:tcPr>
            <w:tcW w:w="47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March 2022</w:t>
            </w:r>
          </w:p>
        </w:tc>
        <w:tc>
          <w:tcPr>
            <w:tcW w:w="140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establishing optimal pricing thresholds for sustainable implementation.</w:t>
            </w:r>
          </w:p>
        </w:tc>
      </w:tr>
      <w:tr>
        <w:trPr>
          <w:trHeight w:val="175"/>
        </w:trPr>
        <w:tc>
          <w:tcPr>
            <w:tcW w:w="472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sgNIPT Sickle Cell Disease Validation Study</w:t>
            </w:r>
          </w:p>
        </w:tc>
        <w:tc>
          <w:tcPr>
            <w:tcW w:w="14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clinical validation study evaluated BillionToOne’s single-gene noninvasive</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American Journal of Hematology</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prenatal testing (sgNIPT) performance for sickle cell disease (SCD) across 77</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Validation of single-gene noninvasive prenatal</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pregnancies from patients at Baylor College of Medicine and the University of</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testing for sickle cell disease</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Alabama at Birmingham who were known carriers of at least one pathogenic</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Westin, E.R., Tsao, D.S., Atay, O., Landry, B.P., Ye,</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HBB allele. The methodology utilized BillionToOne’s proprietary Quantitative</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P.P., Chandler-Brown, D., Alford, B., Hoskovec, J.,</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Counting Template (QCT) technology to analyze cell-free DNA from maternal</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Subramaniam, A., Pawlik, K.M., Kuper, S.G., Goldman, F.D.,</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plasma samples collected between October 2018 and December 2019, providing</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Townes, T.M., Sheehan, V.A.</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personalized fetal residual disease risk assessments ranging from greater than 9</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https://pmc.ncbi.nlm.nih.gov/articles/PMC9394186/</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 10 to less than 1 in 20,000. Results demonstrated exceptional clinical</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10.1002/ajh.26570</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performance with all affected cases identified as high risk (sensitivity 100%) and</w:t>
            </w:r>
          </w:p>
        </w:tc>
      </w:tr>
      <w:tr>
        <w:trPr>
          <w:trHeight w:val="157"/>
        </w:trPr>
        <w:tc>
          <w:tcPr>
            <w:tcW w:w="47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May 2022</w:t>
            </w:r>
          </w:p>
        </w:tc>
        <w:tc>
          <w:tcPr>
            <w:tcW w:w="14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all unaffected cases identified as low or decreased risk. This validation study</w:t>
            </w:r>
          </w:p>
        </w:tc>
      </w:tr>
      <w:tr>
        <w:trPr>
          <w:trHeight w:val="172"/>
        </w:trPr>
        <w:tc>
          <w:tcPr>
            <w:tcW w:w="4720" w:type="dxa"/>
            <w:vAlign w:val="bottom"/>
            <w:tcBorders>
              <w:left w:val="single" w:sz="8" w:color="auto"/>
              <w:bottom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represents a</w:t>
            </w:r>
          </w:p>
        </w:tc>
      </w:tr>
      <w:tr>
        <w:trPr>
          <w:trHeight w:val="276"/>
        </w:trPr>
        <w:tc>
          <w:tcPr>
            <w:tcW w:w="47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161</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5" w:right="2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700" w:type="dxa"/>
            <w:vAlign w:val="bottom"/>
            <w:tcBorders>
              <w:top w:val="single" w:sz="8" w:color="auto"/>
              <w:left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spacing w:after="0"/>
              <w:rPr>
                <w:sz w:val="13"/>
                <w:szCs w:val="13"/>
                <w:color w:val="auto"/>
              </w:rPr>
            </w:pPr>
          </w:p>
        </w:tc>
        <w:tc>
          <w:tcPr>
            <w:tcW w:w="5180" w:type="dxa"/>
            <w:vAlign w:val="bottom"/>
            <w:tcBorders>
              <w:top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significant advancement in prenatal screening capabilities, offering more</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sensitive and precise risk assessment compared to current standard of care</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methods while eliminating the need for paternal screening, thereby enabling</w:t>
            </w:r>
          </w:p>
        </w:tc>
      </w:tr>
      <w:tr>
        <w:trPr>
          <w:trHeight w:val="172"/>
        </w:trPr>
        <w:tc>
          <w:tcPr>
            <w:tcW w:w="470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improved genetic counseling and clinical decision-making for at-risk pregnancies.</w:t>
            </w:r>
          </w:p>
        </w:tc>
      </w:tr>
      <w:tr>
        <w:trPr>
          <w:trHeight w:val="175"/>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Large-Scale UNITY Outcomes Study (9K Patients)</w:t>
            </w:r>
          </w:p>
        </w:tc>
        <w:tc>
          <w:tcPr>
            <w:tcW w:w="14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comprehensive outcomes study analyzed clinical performance data from</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Genetics in Medicine</w:t>
            </w:r>
            <w:r>
              <w:rPr>
                <w:rFonts w:ascii="Arial" w:cs="Arial" w:eastAsia="Arial" w:hAnsi="Arial"/>
                <w:sz w:val="14"/>
                <w:szCs w:val="14"/>
                <w:b w:val="1"/>
                <w:bCs w:val="1"/>
                <w:color w:val="auto"/>
              </w:rPr>
              <w:t xml:space="preserve"> </w:t>
            </w:r>
            <w:r>
              <w:rPr>
                <w:rFonts w:ascii="Arial" w:cs="Arial" w:eastAsia="Arial" w:hAnsi="Arial"/>
                <w:sz w:val="14"/>
                <w:szCs w:val="14"/>
                <w:color w:val="auto"/>
              </w:rPr>
              <w:t>(ACMG Official Journal)</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9,151 pregnant individuals across 30 states and 240 clinical sites to evaluate</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Clinical performance evaluation of UNITY Screen for</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real-world effectiveness of the UNITY Screen. The methodology involved</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recessive condition detection</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maternal carrier screening with reflex single-gene NIPT for cystic fibrosis, alpha</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Hoskovec, J., Hardisty, E.E., Talati, A.N., Carozza,</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and beta thalassemia, and spinal muscular atrophy, with follow-up of pregnancy</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J.A., Wynn, J., Riku, S., Ten Bosch, J.R., Vora, N.L.</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outcomes in 191 carrier-positive cases. Results showed UNITY Screen achieved</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https://www.gimjournal.org/article/S1098-</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93.3% sensitivity in detecting affected fetuses compared to approximately 35%</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3600(22)01002-4/fulltext</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estimated for traditional carrier screening in a real-world setting, with a positive</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10.1016/j.gim.2022.10.014</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predictive value of 48.3% versus 25% for traditional methods and a negative</w:t>
            </w:r>
          </w:p>
        </w:tc>
      </w:tr>
      <w:tr>
        <w:trPr>
          <w:trHeight w:val="183"/>
        </w:trPr>
        <w:tc>
          <w:tcPr>
            <w:tcW w:w="4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December 2022</w:t>
            </w:r>
          </w:p>
        </w:tc>
        <w:tc>
          <w:tcPr>
            <w:tcW w:w="142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predictive value exceeding 99.4%.</w:t>
            </w:r>
          </w:p>
        </w:tc>
      </w:tr>
      <w:tr>
        <w:trPr>
          <w:trHeight w:val="175"/>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Large-Scale UNITY Outcomes Study (42K Patients)</w:t>
            </w:r>
          </w:p>
        </w:tc>
        <w:tc>
          <w:tcPr>
            <w:tcW w:w="14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expanded validation study represents the largest cohort analysis of single-</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Prenatal Diagnosis</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gene NIPT performance in a general obstetric population, encompassing over</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Performance of single-gene noninvasive prenatal</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42,000 patients from 811 clinical practices across 45 states. The methodology</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testing for autosomal recessive conditions in a general</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evaluated UNITY Fetal Risk Screen’s ability to assess fetal risk for autosomal</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population setting</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recessive conditions including cystic fibrosis, spinal muscular atrophy, and</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Wynn, J., Hoskovec, J., Carter, R.D., Ross, M.J.,</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hemoglobinopathies without requiring paternal samples, with assay sensitivity of</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Perni, S.C.</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96% and NPV of 99.8% confirmed via neonatal outcomes. Results demonstrated</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https://obgyn.onlinelibrary.wiley.com/doi/</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96% sensitivity in identifying affected fetuses as high risk, with approximately</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10.1002/pd.6427</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18% of patients identified as carriers and 528 clinical newborn outcomes</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10.1002/pd.6427</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collected for validation. As in prior publications, all pregnancies with 9 in 10 fetal</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October 2023</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risk were confirmed to be affected via neonatal outcomes, establishing</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exceptional accuracy in a general pregnancy population and leading the study</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authors to conclude that “this workflow should be considered as an option for</w:t>
            </w:r>
          </w:p>
        </w:tc>
      </w:tr>
      <w:tr>
        <w:trPr>
          <w:trHeight w:val="172"/>
        </w:trPr>
        <w:tc>
          <w:tcPr>
            <w:tcW w:w="470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most of the general pregnant population.”</w:t>
            </w:r>
          </w:p>
        </w:tc>
      </w:tr>
      <w:tr>
        <w:trPr>
          <w:trHeight w:val="276"/>
        </w:trPr>
        <w:tc>
          <w:tcPr>
            <w:tcW w:w="4700" w:type="dxa"/>
            <w:vAlign w:val="bottom"/>
          </w:tcPr>
          <w:p>
            <w:pPr>
              <w:spacing w:after="0"/>
              <w:rPr>
                <w:sz w:val="23"/>
                <w:szCs w:val="23"/>
                <w:color w:val="auto"/>
              </w:rPr>
            </w:pPr>
          </w:p>
        </w:tc>
        <w:tc>
          <w:tcPr>
            <w:tcW w:w="1420" w:type="dxa"/>
            <w:vAlign w:val="bottom"/>
          </w:tcPr>
          <w:p>
            <w:pPr>
              <w:jc w:val="right"/>
              <w:ind w:right="290"/>
              <w:spacing w:after="0"/>
              <w:rPr>
                <w:sz w:val="20"/>
                <w:szCs w:val="20"/>
                <w:color w:val="auto"/>
              </w:rPr>
            </w:pPr>
            <w:r>
              <w:rPr>
                <w:rFonts w:ascii="Arial" w:cs="Arial" w:eastAsia="Arial" w:hAnsi="Arial"/>
                <w:sz w:val="14"/>
                <w:szCs w:val="14"/>
                <w:color w:val="auto"/>
              </w:rPr>
              <w:t>162</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5" w:right="2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8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b w:val="1"/>
                <w:bCs w:val="1"/>
                <w:color w:val="auto"/>
              </w:rPr>
              <w:t>RhD/Fetal Antigen NIPT Analytical Validation (</w:t>
            </w:r>
            <w:r>
              <w:rPr>
                <w:rFonts w:ascii="Arial" w:cs="Arial" w:eastAsia="Arial" w:hAnsi="Arial"/>
                <w:sz w:val="14"/>
                <w:szCs w:val="14"/>
                <w:b w:val="1"/>
                <w:bCs w:val="1"/>
                <w:i w:val="1"/>
                <w:iCs w:val="1"/>
                <w:color w:val="auto"/>
              </w:rPr>
              <w:t>Scientific</w:t>
            </w:r>
          </w:p>
        </w:tc>
        <w:tc>
          <w:tcPr>
            <w:tcW w:w="1300" w:type="dxa"/>
            <w:vAlign w:val="bottom"/>
            <w:tcBorders>
              <w:top w:val="single" w:sz="8" w:color="auto"/>
              <w:right w:val="single" w:sz="8" w:color="auto"/>
            </w:tcBorders>
          </w:tcPr>
          <w:p>
            <w:pPr>
              <w:spacing w:after="0"/>
              <w:rPr>
                <w:sz w:val="16"/>
                <w:szCs w:val="16"/>
                <w:color w:val="auto"/>
              </w:rPr>
            </w:pPr>
          </w:p>
        </w:tc>
        <w:tc>
          <w:tcPr>
            <w:tcW w:w="5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This analytical validation study evaluated BillionToOne’s UNITY Fetal Antigen</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i w:val="1"/>
                <w:iCs w:val="1"/>
                <w:color w:val="auto"/>
              </w:rPr>
              <w:t>Reports)</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NIPT for detecting fetal red blood cell antigens in pregnancies at risk for</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Scientific Reports</w:t>
            </w:r>
            <w:r>
              <w:rPr>
                <w:rFonts w:ascii="Arial" w:cs="Arial" w:eastAsia="Arial" w:hAnsi="Arial"/>
                <w:sz w:val="14"/>
                <w:szCs w:val="14"/>
                <w:b w:val="1"/>
                <w:bCs w:val="1"/>
                <w:color w:val="auto"/>
              </w:rPr>
              <w:t xml:space="preserve"> </w:t>
            </w:r>
            <w:r>
              <w:rPr>
                <w:rFonts w:ascii="Arial" w:cs="Arial" w:eastAsia="Arial" w:hAnsi="Arial"/>
                <w:sz w:val="14"/>
                <w:szCs w:val="14"/>
                <w:color w:val="auto"/>
              </w:rPr>
              <w:t>(Nature Publishing Group)</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hemolytic disease of the fetus and newborn (HDFN). The methodology used</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Validation of a non-invasive prenatal test for fetal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BillionToOne’s proprietary QCT molecular counting technology to analyze fetal</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RhD, C, c, E, K and Fya antigens</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antigen genotypes from cell-free DNA as early as 10 weeks gestation, testing</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Alford, B., Landry, B.P., Hou, S., et 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samples from alloimmunized pregnancies against RhD, C, c, E, K (Kell), and Fya</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https://doi.org/10.1038/s41598-023-39283-3</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(Duffy) antigens. Results demonstrated analytical sensitivity and specificity of</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August 2023</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&gt;99.9% across preclinical and clinical samples, achieving 99.9% precision with</w:t>
            </w:r>
          </w:p>
        </w:tc>
      </w:tr>
      <w:tr>
        <w:trPr>
          <w:trHeight w:val="157"/>
        </w:trPr>
        <w:tc>
          <w:tcPr>
            <w:tcW w:w="482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only a 0.1% no-call rate. The study showed 100% concordance across clinical</w:t>
            </w:r>
          </w:p>
        </w:tc>
      </w:tr>
      <w:tr>
        <w:trPr>
          <w:trHeight w:val="157"/>
        </w:trPr>
        <w:tc>
          <w:tcPr>
            <w:tcW w:w="482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samples with known outcomes, representing the lowest no-call rate of any RhD</w:t>
            </w:r>
          </w:p>
        </w:tc>
      </w:tr>
      <w:tr>
        <w:trPr>
          <w:trHeight w:val="172"/>
        </w:trPr>
        <w:tc>
          <w:tcPr>
            <w:tcW w:w="482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assay and establishing new standards for fetal antigen testing accuracy.</w:t>
            </w:r>
          </w:p>
        </w:tc>
      </w:tr>
      <w:tr>
        <w:trPr>
          <w:trHeight w:val="175"/>
        </w:trPr>
        <w:tc>
          <w:tcPr>
            <w:tcW w:w="482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RhD/Fetal Antigen NIPT Clinical Study</w:t>
            </w:r>
          </w:p>
        </w:tc>
        <w:tc>
          <w:tcPr>
            <w:tcW w:w="13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clinical study demonstrates 100% sensitivity and specificity to correctly call</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Obstetrics &amp; Gynecology</w:t>
            </w:r>
            <w:r>
              <w:rPr>
                <w:rFonts w:ascii="Arial" w:cs="Arial" w:eastAsia="Arial" w:hAnsi="Arial"/>
                <w:sz w:val="14"/>
                <w:szCs w:val="14"/>
                <w:color w:val="auto"/>
              </w:rPr>
              <w:t>)</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465 fetal RhD and other fetal red blood cell antigens across 156 alloimmunized</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Obstetrics &amp; Gynecology</w:t>
            </w:r>
            <w:r>
              <w:rPr>
                <w:rFonts w:ascii="Arial" w:cs="Arial" w:eastAsia="Arial" w:hAnsi="Arial"/>
                <w:sz w:val="14"/>
                <w:szCs w:val="14"/>
                <w:b w:val="1"/>
                <w:bCs w:val="1"/>
                <w:color w:val="auto"/>
              </w:rPr>
              <w:t xml:space="preserve"> </w:t>
            </w:r>
            <w:r>
              <w:rPr>
                <w:rFonts w:ascii="Arial" w:cs="Arial" w:eastAsia="Arial" w:hAnsi="Arial"/>
                <w:sz w:val="14"/>
                <w:szCs w:val="14"/>
                <w:color w:val="auto"/>
              </w:rPr>
              <w:t>(The Green Journal—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pregnancies, representing one of BillionToOne’s hallmark publications in the</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ACOG Official Journal)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Green Journal. The study examined the clinical performance of BillionToOne’s</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Cell-Free DNA Analysis for the Determination of</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NGS-based QCT technology to determine fetal antigen genotype from blood</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Fetal Red Blood Cell Antigen Genotype in Individuals With</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samples from pregnant individuals alloimmunized against various red blood cell</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Alloimmunized Pregnancies</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antigens in a diverse clinical sample including 15.4% Hispanic, 9.0% non-</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Rego, S., Ashimi Balogun, O., Emanuel, K.,</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Hispanic Black, 65.4% non-Hispanic White, 4.5% Asian, 1.3% more than one</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Overcash, R., Gonzalez, J.M., Denomme, G.A., Hoskovec, J.,</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race or ethnicity, and 4.5% were unknown. Blood samples from the pregnant</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King, H., Wilson, A., Wynn, J., Moise, K.J. Jr.</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individuals were sent for clinical testing and in all cases, the fetal antigen cell-free</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https://journals.lww.com/greenjournal/abstract/</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DNA results were concordant with the postnatal neonate antigen genotype result.</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2024/10000/ cell_free_dna_analysis_for_the_</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Taken together with previously published evidence, this study supports the</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determination_of.7.aspx</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implementation of cell-free DNA testing to manage individuals with alloimmunized</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10.1097/AOG.0000000000005692</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pregnancies in the United States.</w:t>
            </w:r>
          </w:p>
        </w:tc>
      </w:tr>
      <w:tr>
        <w:trPr>
          <w:trHeight w:val="183"/>
        </w:trPr>
        <w:tc>
          <w:tcPr>
            <w:tcW w:w="48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October 2024</w:t>
            </w:r>
          </w:p>
        </w:tc>
        <w:tc>
          <w:tcPr>
            <w:tcW w:w="130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175"/>
        </w:trPr>
        <w:tc>
          <w:tcPr>
            <w:tcW w:w="482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RhD Antigen NIPT Clinical Study </w:t>
            </w:r>
            <w:r>
              <w:rPr>
                <w:rFonts w:ascii="Arial" w:cs="Arial" w:eastAsia="Arial" w:hAnsi="Arial"/>
                <w:sz w:val="14"/>
                <w:szCs w:val="14"/>
                <w:color w:val="auto"/>
              </w:rPr>
              <w:t>(</w:t>
            </w:r>
            <w:r>
              <w:rPr>
                <w:rFonts w:ascii="Arial" w:cs="Arial" w:eastAsia="Arial" w:hAnsi="Arial"/>
                <w:sz w:val="14"/>
                <w:szCs w:val="14"/>
                <w:b w:val="1"/>
                <w:bCs w:val="1"/>
                <w:i w:val="1"/>
                <w:iCs w:val="1"/>
                <w:color w:val="auto"/>
              </w:rPr>
              <w:t>Obstetrics &amp; Gynecology</w:t>
            </w:r>
            <w:r>
              <w:rPr>
                <w:rFonts w:ascii="Arial" w:cs="Arial" w:eastAsia="Arial" w:hAnsi="Arial"/>
                <w:sz w:val="14"/>
                <w:szCs w:val="14"/>
                <w:color w:val="auto"/>
              </w:rPr>
              <w:t>)</w:t>
            </w:r>
          </w:p>
        </w:tc>
        <w:tc>
          <w:tcPr>
            <w:tcW w:w="13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large-scale clinical study demonstrated 100% accuracy in non-invasive fetal</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Obstetrics &amp; Gynecology</w:t>
            </w:r>
            <w:r>
              <w:rPr>
                <w:rFonts w:ascii="Arial" w:cs="Arial" w:eastAsia="Arial" w:hAnsi="Arial"/>
                <w:sz w:val="14"/>
                <w:szCs w:val="14"/>
                <w:b w:val="1"/>
                <w:bCs w:val="1"/>
                <w:color w:val="auto"/>
              </w:rPr>
              <w:t xml:space="preserve"> </w:t>
            </w:r>
            <w:r>
              <w:rPr>
                <w:rFonts w:ascii="Arial" w:cs="Arial" w:eastAsia="Arial" w:hAnsi="Arial"/>
                <w:sz w:val="14"/>
                <w:szCs w:val="14"/>
                <w:color w:val="auto"/>
              </w:rPr>
              <w:t>(The Green Journal—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RhD detection across 401 racially and ethnically diverse RhD-negative pregnant</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ACOG Official Journal)</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individuals from four US healthcare centers. The methodology</w:t>
            </w:r>
          </w:p>
        </w:tc>
      </w:tr>
      <w:tr>
        <w:trPr>
          <w:trHeight w:val="157"/>
        </w:trPr>
        <w:tc>
          <w:tcPr>
            <w:tcW w:w="482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Clinical Performance of Cell-Free DNA for Fetal RhD</w:t>
            </w:r>
          </w:p>
        </w:tc>
        <w:tc>
          <w:tcPr>
            <w:tcW w:w="13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83"/>
        </w:trPr>
        <w:tc>
          <w:tcPr>
            <w:tcW w:w="48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Detection in RhD-Negative Pregnant Individuals in the</w:t>
            </w:r>
          </w:p>
        </w:tc>
        <w:tc>
          <w:tcPr>
            <w:tcW w:w="130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276"/>
        </w:trPr>
        <w:tc>
          <w:tcPr>
            <w:tcW w:w="482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Arial" w:cs="Arial" w:eastAsia="Arial" w:hAnsi="Arial"/>
                <w:sz w:val="14"/>
                <w:szCs w:val="14"/>
                <w:color w:val="auto"/>
              </w:rPr>
              <w:t>163</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5"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460" w:type="dxa"/>
            <w:vAlign w:val="bottom"/>
            <w:tcBorders>
              <w:top w:val="single" w:sz="8" w:color="auto"/>
              <w:left w:val="single" w:sz="8" w:color="auto"/>
            </w:tcBorders>
          </w:tcPr>
          <w:p>
            <w:pPr>
              <w:ind w:left="120"/>
              <w:spacing w:after="0" w:line="153" w:lineRule="exact"/>
              <w:rPr>
                <w:sz w:val="20"/>
                <w:szCs w:val="20"/>
                <w:color w:val="auto"/>
              </w:rPr>
            </w:pPr>
            <w:r>
              <w:rPr>
                <w:rFonts w:ascii="Arial" w:cs="Arial" w:eastAsia="Arial" w:hAnsi="Arial"/>
                <w:sz w:val="14"/>
                <w:szCs w:val="14"/>
                <w:color w:val="auto"/>
              </w:rPr>
              <w:t>United States</w:t>
            </w:r>
          </w:p>
        </w:tc>
        <w:tc>
          <w:tcPr>
            <w:tcW w:w="1660" w:type="dxa"/>
            <w:vAlign w:val="bottom"/>
            <w:tcBorders>
              <w:top w:val="single" w:sz="8" w:color="auto"/>
              <w:right w:val="single" w:sz="8" w:color="auto"/>
            </w:tcBorders>
          </w:tcPr>
          <w:p>
            <w:pPr>
              <w:spacing w:after="0"/>
              <w:rPr>
                <w:sz w:val="13"/>
                <w:szCs w:val="13"/>
                <w:color w:val="auto"/>
              </w:rPr>
            </w:pPr>
          </w:p>
        </w:tc>
        <w:tc>
          <w:tcPr>
            <w:tcW w:w="5180" w:type="dxa"/>
            <w:vAlign w:val="bottom"/>
            <w:tcBorders>
              <w:top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utilized BillionToOne’s next-generation sequencing with QCT molecular counting</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Mateus-Nino, J.F., Wynn, J., Wiggins-Smith, J.,</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to test nonalloimmunized pregnant individuals from August 2020 to November</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Bryant, J.B., Citty, J.K., Citty, J.K., Ahuja, S., Newman,</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2023, with focus on diverse populations where non</w:t>
            </w:r>
            <w:r>
              <w:rPr>
                <w:rFonts w:ascii="Arial" w:cs="Arial" w:eastAsia="Arial" w:hAnsi="Arial"/>
                <w:sz w:val="14"/>
                <w:szCs w:val="14"/>
                <w:i w:val="1"/>
                <w:iCs w:val="1"/>
                <w:color w:val="auto"/>
              </w:rPr>
              <w:t>RHD gene deletion</w:t>
            </w:r>
            <w:r>
              <w:rPr>
                <w:rFonts w:ascii="Arial" w:cs="Arial" w:eastAsia="Arial" w:hAnsi="Arial"/>
                <w:sz w:val="14"/>
                <w:szCs w:val="14"/>
                <w:color w:val="auto"/>
              </w:rPr>
              <w:t xml:space="preserve"> variants</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https://pubmed.ncbi.nlm.nih.gov/40014864/</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are more prevalent. Results confirmed 100% sensitivity, specificity, positive and</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10.1097/AOG.0000000000005850.</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negative predictive values with complete concordance to all neonatal outcomes</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February 2025</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and a 0% no-call rate. The assay correctly identified fetal RhD phenotype in 10</w:t>
            </w:r>
          </w:p>
        </w:tc>
      </w:tr>
      <w:tr>
        <w:trPr>
          <w:trHeight w:val="157"/>
        </w:trPr>
        <w:tc>
          <w:tcPr>
            <w:tcW w:w="4460" w:type="dxa"/>
            <w:vAlign w:val="bottom"/>
            <w:tcBorders>
              <w:lef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cases with non-</w:t>
            </w:r>
            <w:r>
              <w:rPr>
                <w:rFonts w:ascii="Arial" w:cs="Arial" w:eastAsia="Arial" w:hAnsi="Arial"/>
                <w:sz w:val="14"/>
                <w:szCs w:val="14"/>
                <w:i w:val="1"/>
                <w:iCs w:val="1"/>
                <w:color w:val="auto"/>
              </w:rPr>
              <w:t>RHD</w:t>
            </w:r>
            <w:r>
              <w:rPr>
                <w:rFonts w:ascii="Arial" w:cs="Arial" w:eastAsia="Arial" w:hAnsi="Arial"/>
                <w:sz w:val="14"/>
                <w:szCs w:val="14"/>
                <w:color w:val="auto"/>
              </w:rPr>
              <w:t xml:space="preserve"> gene deletions, demonstrating superior performance</w:t>
            </w:r>
          </w:p>
        </w:tc>
      </w:tr>
      <w:tr>
        <w:trPr>
          <w:trHeight w:val="157"/>
        </w:trPr>
        <w:tc>
          <w:tcPr>
            <w:tcW w:w="4460" w:type="dxa"/>
            <w:vAlign w:val="bottom"/>
            <w:tcBorders>
              <w:lef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compared to European-based PCR assays. Healthcare providers used results to</w:t>
            </w:r>
          </w:p>
        </w:tc>
      </w:tr>
      <w:tr>
        <w:trPr>
          <w:trHeight w:val="157"/>
        </w:trPr>
        <w:tc>
          <w:tcPr>
            <w:tcW w:w="4460" w:type="dxa"/>
            <w:vAlign w:val="bottom"/>
            <w:tcBorders>
              <w:lef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guide RhoGAM administration, with targeted use leading to RhIG conservation.</w:t>
            </w:r>
          </w:p>
        </w:tc>
      </w:tr>
      <w:tr>
        <w:trPr>
          <w:trHeight w:val="157"/>
        </w:trPr>
        <w:tc>
          <w:tcPr>
            <w:tcW w:w="4460" w:type="dxa"/>
            <w:vAlign w:val="bottom"/>
            <w:tcBorders>
              <w:lef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This study supported ACOG’s practice advisory changes during the 2024</w:t>
            </w:r>
          </w:p>
        </w:tc>
      </w:tr>
      <w:tr>
        <w:trPr>
          <w:trHeight w:val="157"/>
        </w:trPr>
        <w:tc>
          <w:tcPr>
            <w:tcW w:w="4460" w:type="dxa"/>
            <w:vAlign w:val="bottom"/>
            <w:tcBorders>
              <w:lef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RhoGAM shortage, establishing the assay as optimal for the diverse US pregnant</w:t>
            </w:r>
          </w:p>
        </w:tc>
      </w:tr>
      <w:tr>
        <w:trPr>
          <w:trHeight w:val="172"/>
        </w:trPr>
        <w:tc>
          <w:tcPr>
            <w:tcW w:w="4460" w:type="dxa"/>
            <w:vAlign w:val="bottom"/>
            <w:tcBorders>
              <w:left w:val="single" w:sz="8" w:color="auto"/>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population.</w:t>
            </w:r>
          </w:p>
        </w:tc>
      </w:tr>
      <w:tr>
        <w:trPr>
          <w:trHeight w:val="175"/>
        </w:trPr>
        <w:tc>
          <w:tcPr>
            <w:tcW w:w="446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UNITY Aneuploidy Clinical Validation</w:t>
            </w:r>
          </w:p>
        </w:tc>
        <w:tc>
          <w:tcPr>
            <w:tcW w:w="166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clinical validation study evaluates the performance of BillionToOne’s UNITY</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Publication</w:t>
            </w:r>
            <w:r>
              <w:rPr>
                <w:rFonts w:ascii="Arial" w:cs="Arial" w:eastAsia="Arial" w:hAnsi="Arial"/>
                <w:sz w:val="14"/>
                <w:szCs w:val="14"/>
                <w:color w:val="auto"/>
              </w:rPr>
              <w:t>: Peer-reviewed clinical validation study</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Aneuploidy Screen for chromosomal aneuploidies including trisomies 21, 18, and</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published in a scientific journal</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13, as well as monosomy X. The methodology combines BillionToOne’s</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Title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Performance Characteristics of a Next Generation</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proprietary QCT technology with cell-free DNA analysis to provide aneuploidy</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i w:val="1"/>
                <w:iCs w:val="1"/>
                <w:color w:val="auto"/>
              </w:rPr>
              <w:t>Sequencing-Based cfDNA Assay for Common Aneuploidies</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screening from a single maternal blood draw, with results applicable to a general</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i w:val="1"/>
                <w:iCs w:val="1"/>
                <w:color w:val="auto"/>
              </w:rPr>
              <w:t>in a General Risk Population</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obstetric population where 80% of patients in the study were &lt;35 years of age.</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Authors</w:t>
            </w:r>
            <w:r>
              <w:rPr>
                <w:rFonts w:ascii="Arial" w:cs="Arial" w:eastAsia="Arial" w:hAnsi="Arial"/>
                <w:sz w:val="14"/>
                <w:szCs w:val="14"/>
                <w:color w:val="auto"/>
              </w:rPr>
              <w:t>: Calaway, M., Lal, A., Tyson, R., Stosic, M., Soni, S.,</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Results demonstrate clinical-grade performance for aneuploidy detection while</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Davis K., et al.</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maintaining the unique capability to simultaneously assess fetal risk for recessive</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Journal</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Annals of Gynecology and Obstetrics Research</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conditions, positioning UNITY Complete as the only comprehensive prenatal</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Volume/Issue</w:t>
            </w:r>
            <w:r>
              <w:rPr>
                <w:rFonts w:ascii="Arial" w:cs="Arial" w:eastAsia="Arial" w:hAnsi="Arial"/>
                <w:sz w:val="14"/>
                <w:szCs w:val="14"/>
                <w:color w:val="auto"/>
              </w:rPr>
              <w:t>: Volume 7, Issue 1</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screen capable of evaluating both chromosomal and single-gene disorders from</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 https://www.remedypublications.com/</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one sample.</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annals-of-gynecology-and-obstetrics-research-</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abstract.php?aid=10032</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N/A</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83"/>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Publication Date</w:t>
            </w:r>
            <w:r>
              <w:rPr>
                <w:rFonts w:ascii="Arial" w:cs="Arial" w:eastAsia="Arial" w:hAnsi="Arial"/>
                <w:sz w:val="14"/>
                <w:szCs w:val="14"/>
                <w:color w:val="auto"/>
              </w:rPr>
              <w:t>: January 2024</w:t>
            </w:r>
          </w:p>
        </w:tc>
        <w:tc>
          <w:tcPr>
            <w:tcW w:w="166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158"/>
        </w:trPr>
        <w:tc>
          <w:tcPr>
            <w:tcW w:w="4460" w:type="dxa"/>
            <w:vAlign w:val="bottom"/>
            <w:tcBorders>
              <w:left w:val="single" w:sz="8" w:color="auto"/>
              <w:bottom w:val="single" w:sz="8" w:color="auto"/>
            </w:tcBorders>
          </w:tcPr>
          <w:p>
            <w:pPr>
              <w:spacing w:after="0"/>
              <w:rPr>
                <w:sz w:val="13"/>
                <w:szCs w:val="13"/>
                <w:color w:val="auto"/>
              </w:rPr>
            </w:pPr>
          </w:p>
        </w:tc>
        <w:tc>
          <w:tcPr>
            <w:tcW w:w="6840" w:type="dxa"/>
            <w:vAlign w:val="bottom"/>
            <w:tcBorders>
              <w:bottom w:val="single" w:sz="8" w:color="auto"/>
              <w:right w:val="single" w:sz="8" w:color="auto"/>
            </w:tcBorders>
            <w:gridSpan w:val="2"/>
          </w:tcPr>
          <w:p>
            <w:pPr>
              <w:ind w:left="500"/>
              <w:spacing w:after="0" w:line="159" w:lineRule="exact"/>
              <w:rPr>
                <w:sz w:val="20"/>
                <w:szCs w:val="20"/>
                <w:color w:val="auto"/>
              </w:rPr>
            </w:pPr>
            <w:r>
              <w:rPr>
                <w:rFonts w:ascii="Arial" w:cs="Arial" w:eastAsia="Arial" w:hAnsi="Arial"/>
                <w:sz w:val="14"/>
                <w:szCs w:val="14"/>
                <w:b w:val="1"/>
                <w:bCs w:val="1"/>
                <w:color w:val="auto"/>
              </w:rPr>
              <w:t>ONCOLOGY STUDIES</w:t>
            </w:r>
          </w:p>
        </w:tc>
      </w:tr>
      <w:tr>
        <w:trPr>
          <w:trHeight w:val="175"/>
        </w:trPr>
        <w:tc>
          <w:tcPr>
            <w:tcW w:w="446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Northstar Analytical Validation</w:t>
            </w:r>
          </w:p>
        </w:tc>
        <w:tc>
          <w:tcPr>
            <w:tcW w:w="166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analytical validation study establishes the performance characteristics of</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Scientific Reports</w:t>
            </w:r>
            <w:r>
              <w:rPr>
                <w:rFonts w:ascii="Arial" w:cs="Arial" w:eastAsia="Arial" w:hAnsi="Arial"/>
                <w:sz w:val="14"/>
                <w:szCs w:val="14"/>
                <w:b w:val="1"/>
                <w:bCs w:val="1"/>
                <w:color w:val="auto"/>
              </w:rPr>
              <w:t xml:space="preserve"> </w:t>
            </w:r>
            <w:r>
              <w:rPr>
                <w:rFonts w:ascii="Arial" w:cs="Arial" w:eastAsia="Arial" w:hAnsi="Arial"/>
                <w:sz w:val="14"/>
                <w:szCs w:val="14"/>
                <w:color w:val="auto"/>
              </w:rPr>
              <w:t>(Nature Publishing Group)</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BillionToOne’s Northstar Response liquid biopsy assay for cancer therapy</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Molecular counting enables accurate and precise</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response monitoring. The methodology leverages BillionToOne’s patented QCT</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quantification of methylated ctDNA for tumor-naive cancer</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technology as a “molecular ruler” to enable absolute quantification of methylated</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therapy response monitoring</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circulating tumor DNA (ctDNA) down to single-molecule levels across 12 cancer</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Ye, P.P., Viens, R., Shelburne, K.E., Langpap, S.S.,</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types, including lung,</w:t>
            </w: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Bower, X.S., Shi, J.J., Zhou, W., Wignall, J.C., Zhu, J.J., Tsao,</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57"/>
        </w:trPr>
        <w:tc>
          <w:tcPr>
            <w:tcW w:w="446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D.S., Atay, O.</w:t>
            </w:r>
          </w:p>
        </w:tc>
        <w:tc>
          <w:tcPr>
            <w:tcW w:w="166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83"/>
        </w:trPr>
        <w:tc>
          <w:tcPr>
            <w:tcW w:w="4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https://www.nature.com/articles/</w:t>
            </w:r>
          </w:p>
        </w:tc>
        <w:tc>
          <w:tcPr>
            <w:tcW w:w="166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276"/>
        </w:trPr>
        <w:tc>
          <w:tcPr>
            <w:tcW w:w="4460" w:type="dxa"/>
            <w:vAlign w:val="bottom"/>
          </w:tcPr>
          <w:p>
            <w:pPr>
              <w:spacing w:after="0"/>
              <w:rPr>
                <w:sz w:val="23"/>
                <w:szCs w:val="23"/>
                <w:color w:val="auto"/>
              </w:rPr>
            </w:pPr>
          </w:p>
        </w:tc>
        <w:tc>
          <w:tcPr>
            <w:tcW w:w="1660" w:type="dxa"/>
            <w:vAlign w:val="bottom"/>
          </w:tcPr>
          <w:p>
            <w:pPr>
              <w:jc w:val="right"/>
              <w:ind w:right="290"/>
              <w:spacing w:after="0"/>
              <w:rPr>
                <w:sz w:val="20"/>
                <w:szCs w:val="20"/>
                <w:color w:val="auto"/>
              </w:rPr>
            </w:pPr>
            <w:r>
              <w:rPr>
                <w:rFonts w:ascii="Arial" w:cs="Arial" w:eastAsia="Arial" w:hAnsi="Arial"/>
                <w:sz w:val="14"/>
                <w:szCs w:val="14"/>
                <w:color w:val="auto"/>
              </w:rPr>
              <w:t>164</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5" w:right="2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700" w:type="dxa"/>
            <w:vAlign w:val="bottom"/>
            <w:tcBorders>
              <w:top w:val="single" w:sz="8" w:color="auto"/>
              <w:left w:val="single" w:sz="8" w:color="auto"/>
            </w:tcBorders>
          </w:tcPr>
          <w:p>
            <w:pPr>
              <w:ind w:left="120"/>
              <w:spacing w:after="0" w:line="153" w:lineRule="exact"/>
              <w:rPr>
                <w:sz w:val="20"/>
                <w:szCs w:val="20"/>
                <w:color w:val="auto"/>
              </w:rPr>
            </w:pPr>
            <w:r>
              <w:rPr>
                <w:rFonts w:ascii="Arial" w:cs="Arial" w:eastAsia="Arial" w:hAnsi="Arial"/>
                <w:sz w:val="14"/>
                <w:szCs w:val="14"/>
                <w:color w:val="auto"/>
              </w:rPr>
              <w:t>s41598-025-90013-3</w:t>
            </w:r>
          </w:p>
        </w:tc>
        <w:tc>
          <w:tcPr>
            <w:tcW w:w="1420" w:type="dxa"/>
            <w:vAlign w:val="bottom"/>
            <w:tcBorders>
              <w:top w:val="single" w:sz="8" w:color="auto"/>
              <w:right w:val="single" w:sz="8" w:color="auto"/>
            </w:tcBorders>
          </w:tcPr>
          <w:p>
            <w:pPr>
              <w:spacing w:after="0"/>
              <w:rPr>
                <w:sz w:val="13"/>
                <w:szCs w:val="13"/>
                <w:color w:val="auto"/>
              </w:rPr>
            </w:pPr>
          </w:p>
        </w:tc>
        <w:tc>
          <w:tcPr>
            <w:tcW w:w="5180" w:type="dxa"/>
            <w:vAlign w:val="bottom"/>
            <w:tcBorders>
              <w:top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colorectal, and pancreatic cancers. Results demonstrate the assay’s ability to</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10.1038/s41598-025-90013-3</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accurately discriminate small differences in ctDNA burden with high precision</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March 2025</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(tumor fraction changes as small as 0.25%), providing up to 10x more precise</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treatment response monitoring than alternative blood-based methods and</w:t>
            </w:r>
          </w:p>
        </w:tc>
      </w:tr>
      <w:tr>
        <w:trPr>
          <w:trHeight w:val="157"/>
        </w:trPr>
        <w:tc>
          <w:tcPr>
            <w:tcW w:w="470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enabling tissue-agnostic tumor burden measurement without requiring tumor</w:t>
            </w:r>
          </w:p>
        </w:tc>
      </w:tr>
      <w:tr>
        <w:trPr>
          <w:trHeight w:val="172"/>
        </w:trPr>
        <w:tc>
          <w:tcPr>
            <w:tcW w:w="470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tissue biopsy.</w:t>
            </w:r>
          </w:p>
        </w:tc>
      </w:tr>
      <w:tr>
        <w:trPr>
          <w:trHeight w:val="175"/>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UCSD Collaboration Study </w:t>
            </w:r>
            <w:r>
              <w:rPr>
                <w:rFonts w:ascii="Arial" w:cs="Arial" w:eastAsia="Arial" w:hAnsi="Arial"/>
                <w:sz w:val="14"/>
                <w:szCs w:val="14"/>
                <w:color w:val="auto"/>
              </w:rPr>
              <w:t>(</w:t>
            </w:r>
            <w:r>
              <w:rPr>
                <w:rFonts w:ascii="Arial" w:cs="Arial" w:eastAsia="Arial" w:hAnsi="Arial"/>
                <w:sz w:val="14"/>
                <w:szCs w:val="14"/>
                <w:b w:val="1"/>
                <w:bCs w:val="1"/>
                <w:i w:val="1"/>
                <w:iCs w:val="1"/>
                <w:color w:val="auto"/>
              </w:rPr>
              <w:t>Clinical Lung Cancer</w:t>
            </w:r>
            <w:r>
              <w:rPr>
                <w:rFonts w:ascii="Arial" w:cs="Arial" w:eastAsia="Arial" w:hAnsi="Arial"/>
                <w:sz w:val="14"/>
                <w:szCs w:val="14"/>
                <w:color w:val="auto"/>
              </w:rPr>
              <w:t>)</w:t>
            </w:r>
          </w:p>
        </w:tc>
        <w:tc>
          <w:tcPr>
            <w:tcW w:w="14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clinical validity and utility study represents the collaboration between</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Clinical Lung Cancer</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BillionToOne and the University of California San Diego, examining the</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Brief Report: Methylation-Based ctDNA Serial</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correlation between Tumor Methylation Scores (TMS) and therapy response in</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Monitoring Correlates With Immunotherapy Response in</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advanced non-small cell lung cancer (NSCLC) patients. The methodology</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NSCLC</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involved longitudinal monitoring of methylated ctDNA using BillionToOne’s</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Hsiao, A., Woodward, B., Ye, P., Varga, M.G.,</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Northstar Response assay in late-stage NSCLC patients receiving</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Altaie, G., Lu, K., Searle, N., Viens, R., Langpap, S., Li, Z.,</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anti-PD1/immunotherapy treatment, with banked plasma samples analyzed at</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Palmer, G., Husain, H.</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4-10 weeks post-treatment initiation. Results demonstrated that TMS changes</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https://www.clinical-lung-cancer.com/article/</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significantly predicted real-world progression-free survival (rwPFS, P &lt; 0.0001)</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S1525-7304(24)00230-4/fulltext</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compared to standard imaging assessments which did not reach statistical</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10.1016/j.cllc.2024.10.013</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significance (P = 0.55), establishing methylated ctDNA quantification as an</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January 2025</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earlier and more reliable indicator of treatment response than conventional CT</w:t>
            </w:r>
          </w:p>
        </w:tc>
      </w:tr>
      <w:tr>
        <w:trPr>
          <w:trHeight w:val="172"/>
        </w:trPr>
        <w:tc>
          <w:tcPr>
            <w:tcW w:w="470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scan monitoring.</w:t>
            </w:r>
          </w:p>
        </w:tc>
      </w:tr>
      <w:tr>
        <w:trPr>
          <w:trHeight w:val="175"/>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UF Collaboration Study </w:t>
            </w:r>
            <w:r>
              <w:rPr>
                <w:rFonts w:ascii="Arial" w:cs="Arial" w:eastAsia="Arial" w:hAnsi="Arial"/>
                <w:sz w:val="14"/>
                <w:szCs w:val="14"/>
                <w:color w:val="auto"/>
              </w:rPr>
              <w:t>(</w:t>
            </w:r>
            <w:r>
              <w:rPr>
                <w:rFonts w:ascii="Arial" w:cs="Arial" w:eastAsia="Arial" w:hAnsi="Arial"/>
                <w:sz w:val="14"/>
                <w:szCs w:val="14"/>
                <w:b w:val="1"/>
                <w:bCs w:val="1"/>
                <w:i w:val="1"/>
                <w:iCs w:val="1"/>
                <w:color w:val="auto"/>
              </w:rPr>
              <w:t>Journal of the American</w:t>
            </w:r>
          </w:p>
        </w:tc>
        <w:tc>
          <w:tcPr>
            <w:tcW w:w="14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collaboration between BillionToOne and the University of Florida</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i w:val="1"/>
                <w:iCs w:val="1"/>
                <w:color w:val="auto"/>
              </w:rPr>
              <w:t>College of Surgeons</w:t>
            </w:r>
            <w:r>
              <w:rPr>
                <w:rFonts w:ascii="Arial" w:cs="Arial" w:eastAsia="Arial" w:hAnsi="Arial"/>
                <w:sz w:val="14"/>
                <w:szCs w:val="14"/>
                <w:color w:val="auto"/>
              </w:rPr>
              <w:t>)</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demonstrates the application of methylated circulating tumor DNA (ctDNA)</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Journal of the American</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quantification for monitoring hepatocellular carcinoma (HCC) treatment efficacy</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i w:val="1"/>
                <w:iCs w:val="1"/>
                <w:color w:val="auto"/>
              </w:rPr>
              <w:t xml:space="preserve">College of Surgeons </w:t>
            </w:r>
            <w:r>
              <w:rPr>
                <w:rFonts w:ascii="Arial" w:cs="Arial" w:eastAsia="Arial" w:hAnsi="Arial"/>
                <w:sz w:val="14"/>
                <w:szCs w:val="14"/>
                <w:color w:val="auto"/>
              </w:rPr>
              <w:t>(JACS)</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using BillionToOne’s proprietary molecular counting technology. Blood samples</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Methylated ctDNA Quantification: Noninvasive</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from 25 patients (21 with HCC and 4 with benign liver masses) were collected at</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Approach to Monitoring Hepatocellular Carcinoma Burden</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various treatment points to noninvasively assess tumor burden changes. Results</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Angeli-Pahim, I., Chambers, A., Duarte, S., Soma,</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confirmed that methylated ctDNA quantification reliably detected HCC and</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D., Beduschi, T., Sahin, I., Hughes, S., Zarrinpar, A.</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accurately differentiated cancer patients from non-cancer controls. Compared to</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https://doi.org/10.1097/XCS.0000000000000939</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alpha-fetoprotein (AFP), the current standard biomarker, methylated ctDNA</w:t>
            </w:r>
          </w:p>
        </w:tc>
      </w:tr>
      <w:tr>
        <w:trPr>
          <w:trHeight w:val="157"/>
        </w:trPr>
        <w:tc>
          <w:tcPr>
            <w:tcW w:w="470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10.1097/XCS.0000000000000939</w:t>
            </w:r>
          </w:p>
        </w:tc>
        <w:tc>
          <w:tcPr>
            <w:tcW w:w="142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quantification showed significantly superior sensitivity (80.9% vs. 51.7%) and</w:t>
            </w:r>
          </w:p>
        </w:tc>
      </w:tr>
      <w:tr>
        <w:trPr>
          <w:trHeight w:val="183"/>
        </w:trPr>
        <w:tc>
          <w:tcPr>
            <w:tcW w:w="4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April 2024</w:t>
            </w:r>
          </w:p>
        </w:tc>
        <w:tc>
          <w:tcPr>
            <w:tcW w:w="142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100%</w:t>
            </w:r>
          </w:p>
        </w:tc>
      </w:tr>
      <w:tr>
        <w:trPr>
          <w:trHeight w:val="276"/>
        </w:trPr>
        <w:tc>
          <w:tcPr>
            <w:tcW w:w="4700" w:type="dxa"/>
            <w:vAlign w:val="bottom"/>
          </w:tcPr>
          <w:p>
            <w:pPr>
              <w:spacing w:after="0"/>
              <w:rPr>
                <w:sz w:val="23"/>
                <w:szCs w:val="23"/>
                <w:color w:val="auto"/>
              </w:rPr>
            </w:pPr>
          </w:p>
        </w:tc>
        <w:tc>
          <w:tcPr>
            <w:tcW w:w="1420" w:type="dxa"/>
            <w:vAlign w:val="bottom"/>
          </w:tcPr>
          <w:p>
            <w:pPr>
              <w:jc w:val="right"/>
              <w:ind w:right="290"/>
              <w:spacing w:after="0"/>
              <w:rPr>
                <w:sz w:val="20"/>
                <w:szCs w:val="20"/>
                <w:color w:val="auto"/>
              </w:rPr>
            </w:pPr>
            <w:r>
              <w:rPr>
                <w:rFonts w:ascii="Arial" w:cs="Arial" w:eastAsia="Arial" w:hAnsi="Arial"/>
                <w:sz w:val="14"/>
                <w:szCs w:val="14"/>
                <w:color w:val="auto"/>
              </w:rPr>
              <w:t>165</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5"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740" w:type="dxa"/>
            <w:vAlign w:val="bottom"/>
            <w:tcBorders>
              <w:top w:val="single" w:sz="8" w:color="auto"/>
              <w:lef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5180" w:type="dxa"/>
            <w:vAlign w:val="bottom"/>
            <w:tcBorders>
              <w:top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specificity, effectively detecting tumor presence and subtle changes in tumor</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burden post- transplantation, post-surgical removal, and throughout locoregional</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and systemic therapies. Furthermore, changes in the Tumor Methylation Score</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(TMS) demonstrated better predictive accuracy for tumor progression than AFP</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alone (AUC=0.800 vs. AUC=0.783), and when combined with AFP, produced the</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strongest predictive model (AUC=0.892). These findings strongly support the</w:t>
            </w:r>
          </w:p>
        </w:tc>
      </w:tr>
      <w:tr>
        <w:trPr>
          <w:trHeight w:val="157"/>
        </w:trPr>
        <w:tc>
          <w:tcPr>
            <w:tcW w:w="4740" w:type="dxa"/>
            <w:vAlign w:val="bottom"/>
            <w:tcBorders>
              <w:lef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clinical utility of TMS as a powerful tool for guiding personalized therapeutic</w:t>
            </w:r>
          </w:p>
        </w:tc>
      </w:tr>
      <w:tr>
        <w:trPr>
          <w:trHeight w:val="172"/>
        </w:trPr>
        <w:tc>
          <w:tcPr>
            <w:tcW w:w="4740" w:type="dxa"/>
            <w:vAlign w:val="bottom"/>
            <w:tcBorders>
              <w:left w:val="single" w:sz="8" w:color="auto"/>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decisions in HCC management.</w:t>
            </w:r>
          </w:p>
        </w:tc>
      </w:tr>
      <w:tr>
        <w:trPr>
          <w:trHeight w:val="175"/>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NIPT Cystic Fibrosis Validation Study</w:t>
            </w:r>
          </w:p>
        </w:tc>
        <w:tc>
          <w:tcPr>
            <w:tcW w:w="138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validation study found that NIPT using cfDNA can accurately identify</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Journal of Cystic Fibrosis</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pregnancies at high risk for cystic fibrosis (CF) early on, using only a single</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Routine cell-free DNA prenatal screening identifies</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maternal blood sample, avoiding the need for a partner’s sample required by</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pregnancies at high risk for cystic fibrosis that may benefit</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traditional screening. Among over 100,000 carrier screening samples reviewed,</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from fetal therapy.</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NIPT testing correctly flagged cases where cfDNA predicted very high risk</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Wynn, J., Rego, S., Chandler-Brown, D., Carter, R.,</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color w:val="auto"/>
              </w:rPr>
              <w:t>≥</w:t>
            </w:r>
            <w:r>
              <w:rPr>
                <w:rFonts w:ascii="Arial" w:cs="Arial" w:eastAsia="Arial" w:hAnsi="Arial"/>
                <w:sz w:val="14"/>
                <w:szCs w:val="14"/>
                <w:color w:val="auto"/>
              </w:rPr>
              <w:t>90%) were confirmed as CF-affected, resulting in 100% sensitivity in identifying</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Talati, A., Zaretsky, M., &amp; Trimble, A.</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affected fetuses. Furthermore, over 75% of the NIPT testing results were</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Link*: </w:t>
            </w:r>
            <w:r>
              <w:rPr>
                <w:rFonts w:ascii="Arial" w:cs="Arial" w:eastAsia="Arial" w:hAnsi="Arial"/>
                <w:sz w:val="14"/>
                <w:szCs w:val="14"/>
                <w:color w:val="auto"/>
              </w:rPr>
              <w:t>https://www.cysticfibrosisjournal.com/article</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available before the 18.5 week gestation period, providing sufficient time for</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/S1569-1993(25)01563-2/fulltext</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additional diagnostic testing and the initiation of in utero treatments, if applicable.</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10.1016/j.jcf.2025.08.004</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83"/>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September 2025</w:t>
            </w:r>
          </w:p>
        </w:tc>
        <w:tc>
          <w:tcPr>
            <w:tcW w:w="138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175"/>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Northstar Select Head to Head Validation Study</w:t>
            </w:r>
          </w:p>
        </w:tc>
        <w:tc>
          <w:tcPr>
            <w:tcW w:w="138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This analytical and clinical validation study evaluated Northstar Select, an 84-</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Publication: </w:t>
            </w:r>
            <w:r>
              <w:rPr>
                <w:rFonts w:ascii="Arial" w:cs="Arial" w:eastAsia="Arial" w:hAnsi="Arial"/>
                <w:sz w:val="14"/>
                <w:szCs w:val="14"/>
                <w:i w:val="1"/>
                <w:iCs w:val="1"/>
                <w:color w:val="auto"/>
              </w:rPr>
              <w:t>The Journal of Liquid Biopsy</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gene next generation sequencing panel for blood-based comprehensive genomic</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Title: </w:t>
            </w:r>
            <w:r>
              <w:rPr>
                <w:rFonts w:ascii="Arial" w:cs="Arial" w:eastAsia="Arial" w:hAnsi="Arial"/>
                <w:sz w:val="14"/>
                <w:szCs w:val="14"/>
                <w:color w:val="auto"/>
              </w:rPr>
              <w:t>Validation of a liquid biopsy assay with increased</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profiling (CGP) of solid-tumor cancers. Northstar Select was validated in head to</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sensitivity for clinical comprehensive genomic profiling</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head comparisons against 6 other commercially available liquid biopsy assays on</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Authors: </w:t>
            </w:r>
            <w:r>
              <w:rPr>
                <w:rFonts w:ascii="Arial" w:cs="Arial" w:eastAsia="Arial" w:hAnsi="Arial"/>
                <w:sz w:val="14"/>
                <w:szCs w:val="14"/>
                <w:color w:val="auto"/>
              </w:rPr>
              <w:t>Bower, X., Wignall, J., Varga, M. G., Zhu, J.,</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182 advanced-stage cancer patients, exhibiting more than 17 different solid</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O’Sullivan, M., Searle, N. E., Hong, L. K., Dogruluk, T., Li, Z.,</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tumor types. Results demonstrated Northstar Select’s clear superiority: the assay</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Farmer, T. E., Rosas-Linhard, E., Luong, J., Lin, E., Simon, M.</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detected 51% more pathogenic single nucleotide variant /Indels and 109% more</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E., Tsao, D. S., Bosch, J. R. T., Palmer, G., Gajra, A., Huynh,</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copy number variants than available comparators, with 45% fewer null reports.</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C., &amp; Zhou, W.</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Overall, this study found that Northstar Select allows doctors to find more</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Link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https://www.sciencedirect.com/science/article/pii/</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clinically relevant genetic changes, which may help guide treatment decisions -</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color w:val="auto"/>
              </w:rPr>
              <w:t>S2950195425000 384</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especially for patients with low-shedding tumors.</w:t>
            </w:r>
          </w:p>
        </w:tc>
      </w:tr>
      <w:tr>
        <w:trPr>
          <w:trHeight w:val="157"/>
        </w:trPr>
        <w:tc>
          <w:tcPr>
            <w:tcW w:w="4740" w:type="dxa"/>
            <w:vAlign w:val="bottom"/>
            <w:tcBorders>
              <w:lef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 xml:space="preserve">DOI: </w:t>
            </w:r>
            <w:r>
              <w:rPr>
                <w:rFonts w:ascii="Arial" w:cs="Arial" w:eastAsia="Arial" w:hAnsi="Arial"/>
                <w:sz w:val="14"/>
                <w:szCs w:val="14"/>
                <w:color w:val="auto"/>
              </w:rPr>
              <w:t>10.1016/j.jlb.2025.100322</w:t>
            </w:r>
          </w:p>
        </w:tc>
        <w:tc>
          <w:tcPr>
            <w:tcW w:w="138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tcPr>
          <w:p>
            <w:pPr>
              <w:spacing w:after="0"/>
              <w:rPr>
                <w:sz w:val="13"/>
                <w:szCs w:val="13"/>
                <w:color w:val="auto"/>
              </w:rPr>
            </w:pPr>
          </w:p>
        </w:tc>
      </w:tr>
      <w:tr>
        <w:trPr>
          <w:trHeight w:val="183"/>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Publication Date: </w:t>
            </w:r>
            <w:r>
              <w:rPr>
                <w:rFonts w:ascii="Arial" w:cs="Arial" w:eastAsia="Arial" w:hAnsi="Arial"/>
                <w:sz w:val="14"/>
                <w:szCs w:val="14"/>
                <w:color w:val="auto"/>
              </w:rPr>
              <w:t>September 2025</w:t>
            </w:r>
          </w:p>
        </w:tc>
        <w:tc>
          <w:tcPr>
            <w:tcW w:w="138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r>
      <w:tr>
        <w:trPr>
          <w:trHeight w:val="276"/>
        </w:trPr>
        <w:tc>
          <w:tcPr>
            <w:tcW w:w="47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4"/>
                <w:szCs w:val="14"/>
                <w:color w:val="auto"/>
              </w:rPr>
              <w:t>166</w:t>
            </w:r>
          </w:p>
        </w:tc>
        <w:tc>
          <w:tcPr>
            <w:tcW w:w="5180" w:type="dxa"/>
            <w:vAlign w:val="bottom"/>
          </w:tcPr>
          <w:p>
            <w:pPr>
              <w:spacing w:after="0"/>
              <w:rPr>
                <w:sz w:val="23"/>
                <w:szCs w:val="23"/>
                <w:color w:val="auto"/>
              </w:rPr>
            </w:pPr>
          </w:p>
        </w:tc>
      </w:tr>
    </w:tbl>
    <w:p>
      <w:pPr>
        <w:sectPr>
          <w:pgSz w:w="11900" w:h="16838" w:orient="portrait"/>
          <w:cols w:equalWidth="0" w:num="1">
            <w:col w:w="11300"/>
          </w:cols>
          <w:pgMar w:left="300" w:top="386" w:right="2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6597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We believe the following patient case studies are examples of how our patients can benefit from our tests, and highlight one of the important reasons behind physicians’ choice of utilizing our products and platform. We have highlighted patients across our UNITY and Northstar tests. Because these patients cover varied populations and circumstances, we believe the following case studies provide a helpful overview of the results that could be achieved by the broader patient population during the same time periods presented. However, patients experience different results depending on a number of factors, and these case studies are not necessarily representative of the results achieved by other patients. In particular, in a screening setting, such as for our prenatal tests, more than 99% of patients receive negative or low-risk results, which reduce the anxiety and the fear of the unknown for these patients, but do not necessarily improve their healthcare outcomes.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UNITY Fetal Risk Screen patient case studies: Identifying cystic fibrosis during routine screening</w:t>
      </w:r>
    </w:p>
    <w:p>
      <w:pPr>
        <w:spacing w:after="0" w:line="11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Study 1: A patient with no prior knowledge of being a carrier for cystic fibrosis (CF) underwent routine prenatal testing, which revealed she was a carrier of CF. The couple, neither with a family history of CF, initially had a general population risk for CF of one in 3,000 to one in 6,000. However, within approximately two weeks of sample collection, results from UNITY Fetal Risk Screen indicated a nine in 10 chance of the baby being affected with CF through homozygous inheritance of delta F508, leading the patient to opt for amniocentesis and a prenatal diagnostic confirmation of CF. Subsequently, the mother received TRIKAFTA (elexacaftor/tezacaftor/ivacaftor and ivacaftor) treatment during pregnancy, and the baby was able to receive further treatment at just two weeks old.</w:t>
      </w:r>
    </w:p>
    <w:p>
      <w:pPr>
        <w:spacing w:after="0" w:line="77"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This case demonstrates how UNITY Fetal Risk Screen’s personalized fetal risk assessment enabled timely intervention and specialist referrals that may not have been possible with traditional carrier screening, which often has delays and lower partner participation rates.</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Study 2: In a similar case, a patient who presented with echogenic bowel on ultrasound was identified as a CF carrier with sgNIPT showing a 9 in 10 chance of the baby being affected with CF. The amniocentesis confirmed the diagnosis. After referral to a pulmonologist, the patient received TRIKAFTA during pregnancy, starting at 27 weeks of gestation. Despite earlier ultrasound findings, the baby was able to be discharged without a neonatal intensive care unit stay and passed newborn screening (NBS) for CF. It is extremely rare for a newborn with CF to pass NBS. Given the echogenic bowel on ultrasound during pregnancy, early diagnosis by UNITY and subsequent treatment enabled this newborn to have a significantly better outcome and avoid a potentially lengthy NICU stay.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UNITY Fetal Antigen NIPT patient case study: Assessing big C alloimmunization risk for streamlined care</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During routine prenatal lab work, a pregnant patient was found to be alloimmunized to the big C antigen. The patient’s OB-GYN ordered UNITY Fetal Antigen NIPT at 14 weeks gestation to assess the fetal antigen status of the pregnancy. UNITY Fetal Antigen NIPT revealed a “not detected” result, indicating that the baby did not express the big C antigen and the pregnancy was not at risk for HDFN. As a result, the patient avoided the need for weekly intensive monitoring by a specialist, invasive procedures, and regular blood draws, significantly reducing healthcare costs and her anxiety. This early identification through the UNITY Fetal Antigen NIPT provided critical information that guided the management of her pregnancy, ensuring it progressed without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385"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complications related to alloimmunization. This case highlights the value of UNITY Fetal Antigen NIPT in streamlining prenatal care, minimizing unnecessary interventions and risks, and removing the fear of the unknown for the patient.</w:t>
      </w:r>
    </w:p>
    <w:p>
      <w:pPr>
        <w:spacing w:after="0" w:line="176"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b w:val="1"/>
          <w:bCs w:val="1"/>
          <w:i w:val="1"/>
          <w:iCs w:val="1"/>
          <w:color w:val="auto"/>
        </w:rPr>
        <w:t>Northstar patient case study: Northstar Select identified a new ESR1 mutation at a very low VAF in a metastatic breast cancer patient after signs of progression using Northstar Response</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 patient was diagnosed with HR positive/</w:t>
      </w:r>
      <w:r>
        <w:rPr>
          <w:rFonts w:ascii="Arial" w:cs="Arial" w:eastAsia="Arial" w:hAnsi="Arial"/>
          <w:sz w:val="14"/>
          <w:szCs w:val="14"/>
          <w:i w:val="1"/>
          <w:iCs w:val="1"/>
          <w:color w:val="auto"/>
        </w:rPr>
        <w:t>HER2</w:t>
      </w:r>
      <w:r>
        <w:rPr>
          <w:rFonts w:ascii="Arial" w:cs="Arial" w:eastAsia="Arial" w:hAnsi="Arial"/>
          <w:sz w:val="14"/>
          <w:szCs w:val="14"/>
          <w:color w:val="auto"/>
        </w:rPr>
        <w:t xml:space="preserve"> negative metastatic breast cancer and was heavily pretreated with anastrozole/ribociclib. During the patient’s routine follow-up three years later, the patient began Northstar Response monitoring, which indicated low baseline tumor burden (TMS=63). Longitudinal monitoring revealed progressively increasing TMS scores with a 390-fold increase found five months afterwards (TMS=67,000).</w:t>
      </w:r>
    </w:p>
    <w:p>
      <w:pPr>
        <w:spacing w:after="0" w:line="70"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 xml:space="preserve">Subsequent comprehensive profiling with Northstar Select revealed an </w:t>
      </w:r>
      <w:r>
        <w:rPr>
          <w:rFonts w:ascii="Arial" w:cs="Arial" w:eastAsia="Arial" w:hAnsi="Arial"/>
          <w:sz w:val="14"/>
          <w:szCs w:val="14"/>
          <w:i w:val="1"/>
          <w:iCs w:val="1"/>
          <w:color w:val="auto"/>
        </w:rPr>
        <w:t>ESR1</w:t>
      </w:r>
      <w:r>
        <w:rPr>
          <w:rFonts w:ascii="Arial" w:cs="Arial" w:eastAsia="Arial" w:hAnsi="Arial"/>
          <w:sz w:val="14"/>
          <w:szCs w:val="14"/>
          <w:color w:val="auto"/>
        </w:rPr>
        <w:t xml:space="preserve"> S463P mutation at a VAF of 0.09%, significantly below any competing therapy selection test’s limit of detection, confirming the emergence of a resistance mutation to aromatase inhibitor therapy, a common challenge in treating HR-positive metastatic breast cancer. </w:t>
      </w:r>
      <w:r>
        <w:rPr>
          <w:rFonts w:ascii="Arial" w:cs="Arial" w:eastAsia="Arial" w:hAnsi="Arial"/>
          <w:sz w:val="14"/>
          <w:szCs w:val="14"/>
          <w:i w:val="1"/>
          <w:iCs w:val="1"/>
          <w:color w:val="auto"/>
        </w:rPr>
        <w:t>ESR1</w:t>
      </w:r>
      <w:r>
        <w:rPr>
          <w:rFonts w:ascii="Arial" w:cs="Arial" w:eastAsia="Arial" w:hAnsi="Arial"/>
          <w:sz w:val="14"/>
          <w:szCs w:val="14"/>
          <w:color w:val="auto"/>
        </w:rPr>
        <w:t xml:space="preserve"> S463P mutations have an FDA-approved therapy, elacestrant, in this indication and provided this patient with an opportunity for treatment.</w:t>
      </w:r>
    </w:p>
    <w:p>
      <w:pPr>
        <w:spacing w:after="0" w:line="80"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This case highlights how utilizing both Northstar Select and Response can help physicians first timely detect disease progression and identify more actionable mutations at greater sensitivity, leading to earlier interventions and better treatment options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53340</wp:posOffset>
            </wp:positionV>
            <wp:extent cx="4030980" cy="28251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030980"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160"/>
          </w:cols>
          <w:pgMar w:left="300" w:top="38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Northstar patient case study: Synergistic use of Northstar Select and Response demonstrated true precision oncology and personalized medicine</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 xml:space="preserve">A patient with metastatic colorectal cancer, awaiting first-line treatment with pembrolizumab monotherapy, presented with a baseline TMS of 210,000, indicating a very high tumor burden. After the first cycle of treatment, initial molecular response was observed and TMS decreased by over 50%, while therapy profiling with Northstar Select identified a druggable </w:t>
      </w:r>
      <w:r>
        <w:rPr>
          <w:rFonts w:ascii="Arial" w:cs="Arial" w:eastAsia="Arial" w:hAnsi="Arial"/>
          <w:sz w:val="14"/>
          <w:szCs w:val="14"/>
          <w:i w:val="1"/>
          <w:iCs w:val="1"/>
          <w:color w:val="auto"/>
        </w:rPr>
        <w:t xml:space="preserve">BRAF </w:t>
      </w:r>
      <w:r>
        <w:rPr>
          <w:rFonts w:ascii="Arial" w:cs="Arial" w:eastAsia="Arial" w:hAnsi="Arial"/>
          <w:sz w:val="14"/>
          <w:szCs w:val="14"/>
          <w:color w:val="auto"/>
        </w:rPr>
        <w:t>V600E mutation. Continuing with monotherapy IO alone, TMS increased above 100,000, which prompted the provider to increase treatment intensity by adding chemotherapy.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Dramatic molecular response was observed, with the TMS dropping below 10,000. After the next cycle, TMS rebounded to over 71,000, prompting the physician to switch therapy strategy and treat with encorafenib + cetuximab, the approved treatment for the </w:t>
      </w:r>
      <w:r>
        <w:rPr>
          <w:rFonts w:ascii="Arial" w:cs="Arial" w:eastAsia="Arial" w:hAnsi="Arial"/>
          <w:sz w:val="14"/>
          <w:szCs w:val="14"/>
          <w:i w:val="1"/>
          <w:iCs w:val="1"/>
          <w:color w:val="auto"/>
        </w:rPr>
        <w:t>BRAF</w:t>
      </w:r>
      <w:r>
        <w:rPr>
          <w:rFonts w:ascii="Arial" w:cs="Arial" w:eastAsia="Arial" w:hAnsi="Arial"/>
          <w:sz w:val="14"/>
          <w:szCs w:val="14"/>
          <w:color w:val="auto"/>
        </w:rPr>
        <w:t xml:space="preserve"> V600E mutation that Northstar Select had detected.</w:t>
      </w:r>
    </w:p>
    <w:p>
      <w:pPr>
        <w:spacing w:after="0" w:line="87"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patient’s follow-up response demonstrated a significant decrease down to a TMS of 200, a decrease of more than 99.9% of the tumor burden compared to the pre-treatment time point. While undergoing a perioperative treatment hold for a planned ileostomy reversal procedure, scans showed radiographic stable disease while TMS demonstrated molecular progression and a rise in TMS to 2,800. Molecular progression detected by Northstar Response enabled better surgical treatment planning, and the patient resumed targeted therapy to control disease burden, indicated by a falling TMS down to 670 at the latest collection date.</w:t>
      </w:r>
    </w:p>
    <w:p>
      <w:pPr>
        <w:spacing w:after="0" w:line="85"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In this case, longitudinal sampling and observed changes in TMS via Northstar Response offered real-time insights into the patient’s treatment response, while comprehensive profiling from the same blood draw by Northstar Select helped optimize the therapeutic strategy at several key time points. This case highlights how the synergistic use of Northstar Select and Response can enable a physician to pivot to an alternative therapy expeditiously.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60"/>
          </w:cols>
          <w:pgMar w:left="300" w:top="38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29114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3098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10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commercialize our UNITY and Northstar tests in the United States through our direct sales force targeting physicians in the prenatal and oncology markets, respectively. As of December 31, 2024, our clinician-focused sales organization included 137 sales representatives, with 120 in prenatal and 17 in oncology. In comparison, we had a total of 90 sales representatives at the end of 2023, 85 in prenatal and 5 in oncology. We plan to continue to expand our field sales force systematically, as our prenatal sales force is less than one-third the size of our largest competitor and our oncology sales force is very small relative to many other liquid biopsy companies. Our sales representatives in prenatal are engaged in educating OB-GYNs, MFMs, genetic counselors (GCs) and others about the existence, uniqueness and clinical utility of our offerings. Our sales representatives in oncology conduct similar commercial and educational activities and primarily engage with oncologists. We have supplemented our direct sales team with medical science liaisons (MSLs) who are generally genetic counselors in prenatal and PhDs in oncology, as well as adding other support staff to help onboard clinics and to manage the physician and patient experiences.</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sales force achieved an annualized revenue run-rate of $1.8 million per sales representative in the six months ended June 30, 2025, despite approximately 35% of our territories launching less than 18 months ago. We believe our high sales efficiency is driven by the combination of our differentiated products and our ability to provide a seamless, end-to-end solution that enhances both the patient and provider experience and significantly reduces churn. Our cohort analysis indicates that the net test retention, as defined by the total number of tests that are received from a cohort of clinics first onboarded in a particular quarter, even after</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180"/>
          </w:cols>
          <w:pgMar w:left="300" w:top="385" w:right="4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accounting for any account or provider churn, is over 100% after a year for the majority of quarterly cohorts. Our sales efficiency has also increased over time, and we believe this efficiency will be maintained or further increase as we systematically grow our sales team.</w:t>
      </w:r>
    </w:p>
    <w:p>
      <w:pPr>
        <w:spacing w:after="0" w:line="59"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We also drive physician awareness of our products by actively participating in industry conferences, publishing in relevant scientific journals, and driving dialogue with key opinion leaders and physician organizations. These efforts have already resulted in practice advisory changes within the prenatal field, including for RhD and fetal antigen NIPT. Across both prenatal and oncology, we believe that our ongoing and planned studies will help drive increased guideline expansion. Through our extensive digital marketing, we also engage directly with motivated patients, and this can lead to access to physicians in clinics that typically do not otherwise allow sales representative presence.</w:t>
      </w:r>
    </w:p>
    <w:p>
      <w:pPr>
        <w:spacing w:after="0" w:line="8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international markets, which represented less than 1% of our revenue for the year ended December 31, 2024, we primarily sell through distributors, which collect and send samples to our laboratories in the United States. In these markets, the patient bears the full cost of the testing, which limits the adoption. In the future, we believe that the health economics of our tests will enable nationwide coverage via single-payor agreements. However, this is often predicated on the tests being performed locally within the country, requiring capital investments in international markets. While we believe that international expansion could significantly expand our total addressable market, we are currently focusing on expansion opportunities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Prenatal commercialization</w:t>
      </w:r>
    </w:p>
    <w:p>
      <w:pPr>
        <w:spacing w:after="0" w:line="11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We sell our UNITY products through direct targeting of OB-GYNs, GCs, MFMs and others in the United States. Our penetration in prenatal is often executed via a “land-and-expand” strategy in which the adoption of UNITY by one physician in a larger clinic often leads to increased access and broader adoption of our tests by other physicians in the clinic. This approach enables us to first access clinics and then expand within those clinics by providing an excellent end-to-end service. Our high client satisfaction is evidenced by our low churn, which is an important factor in our rapid growth.</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Our tests are typically ordered during the first trimester, starting as early as nine weeks into the pregnancy, and help physicians and patients assess risk across a variety of conditions. We have simplified billing process that consolidates all tests ordered into one claim and one bill. Our dedicated clinical support staff aids in our commercial and education efforts by providing workflow implementation, patient and payor billing, and report interpretation.</w:t>
      </w:r>
    </w:p>
    <w:p>
      <w:pPr>
        <w:spacing w:after="0" w:line="8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We also have a global partnership with Johnson &amp; Johnson in the AZALEA Phase 3 clinical trial of nipocalimab in pregnancies at risk for severe HDFN, in which UNITY Fetal Antigen CTA is exclusively used for determining patient eligibility, and a related U.S.-specific partnership regarding development of a companion diagnostic product. Exclusivity of this arrangement is another proof point of the unique capabilities of our products. We believe this partnership and potential future partnerships or collaborations with other partners can boost awareness and adoption of our tests, while also providing us with access to patients who can benefit from our products.</w:t>
      </w:r>
    </w:p>
    <w:p>
      <w:pPr>
        <w:spacing w:after="0" w:line="8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will also continue to increase the size of our direct sales force to better penetrate existing markets and to cover new territories in the United States. Our sales team was built with proven performers, and we have designed a robust training infrastructure to continue our leading sales efficiency as we continue to grow the team.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Oncology commercialization</w:t>
      </w:r>
    </w:p>
    <w:p>
      <w:pPr>
        <w:spacing w:after="0" w:line="110"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Our oncology strategy is dedicated to the cross-selling of both Northstar Select and Northstar Response. These complementary products support physician decision-making on initial therapy selection, monitoring patient</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60"/>
          </w:cols>
          <w:pgMar w:left="300" w:top="38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rPr>
          <w:sz w:val="20"/>
          <w:szCs w:val="20"/>
          <w:color w:val="auto"/>
        </w:rPr>
      </w:pPr>
      <w:r>
        <w:rPr>
          <w:rFonts w:ascii="Arial" w:cs="Arial" w:eastAsia="Arial" w:hAnsi="Arial"/>
          <w:sz w:val="14"/>
          <w:szCs w:val="14"/>
          <w:color w:val="auto"/>
        </w:rPr>
        <w:t>response to treatment, and informing treatment modification when necessary. The head-to-head study that showed significantly higher numbers of actionable mutations that Northstar Select found versus competing assays is an important factor in our ability to persuade oncologists to start using our tests. Each Northstar Select test is often accompanied by a Northstar Response test for the baseline measurement, followed by additional Northstar Select and Response tests in certain cases as physicians monitor and adapt treatment plans. As of March 31, 2025, approximately 95% of our ordering providers utilize both Northstar Select and Northstar Response tests in tandem for the same patient’s care. Higher reimbursement and existing Medicare coverage of our Northstar Select tests allow us to broaden the use of Northstar Response without incurring significant losses. If we were to receive increased coverage and reimbursement for Northstar Response, it would lead to a significant increase in our revenue as the adoption of the test will have already been established.</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Outside of our direct sales efforts in oncology, we have signed collaboration agreements with a select number of pharmaceutical companies and institutions to support clinical development of novel precision oncology therapeutics. These collaborations utilize our existing Northstar products, as opposed to developing new assays that are specifically tailored to each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60325</wp:posOffset>
            </wp:positionV>
            <wp:extent cx="4030980" cy="6597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309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We are driving and leading a paradigm shift within precision diagnostics. Our vision is to leverage our novel single-molecule next-generation sequencing (smNGS) platform to develop ultrasensitive diagnostic tests that enable personalized solutions and enhance patient outcomes. Our growth strategy to achieve this goal includes the following elements:</w:t>
      </w:r>
    </w:p>
    <w:p>
      <w:pPr>
        <w:spacing w:after="0" w:line="69" w:lineRule="exact"/>
        <w:rPr>
          <w:sz w:val="20"/>
          <w:szCs w:val="20"/>
          <w:color w:val="auto"/>
        </w:rPr>
      </w:pPr>
    </w:p>
    <w:p>
      <w:pPr>
        <w:ind w:left="220" w:right="60" w:hanging="216"/>
        <w:spacing w:after="0" w:line="266" w:lineRule="auto"/>
        <w:tabs>
          <w:tab w:leader="none" w:pos="220"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Drive increased adoption of our existing products in the prenatal and oncology markets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Healthcare professionals have increasingly incorporated our UNITY tests into their</w:t>
      </w:r>
      <w:r>
        <w:rPr>
          <w:rFonts w:ascii="Arial" w:cs="Arial" w:eastAsia="Arial" w:hAnsi="Arial"/>
          <w:sz w:val="13"/>
          <w:szCs w:val="13"/>
          <w:b w:val="1"/>
          <w:bCs w:val="1"/>
          <w:color w:val="auto"/>
        </w:rPr>
        <w:t xml:space="preserve"> </w:t>
      </w:r>
      <w:r>
        <w:rPr>
          <w:rFonts w:ascii="Arial" w:cs="Arial" w:eastAsia="Arial" w:hAnsi="Arial"/>
          <w:sz w:val="13"/>
          <w:szCs w:val="13"/>
          <w:color w:val="auto"/>
        </w:rPr>
        <w:t>clinical practices to adopt what we believe will be the new standard of care. There are three main opportunities to expand our market penetration of our UNITY prenatal products. First, we believe that we have a significant opportunity for footprint expansion and are continuing to invest in increasing our sales team size to cover new geographies, with aggressive recruiting targets. Second, we believe that our current sales team has only just begun to penetrate their existing territories and, over time, more clinics will adopt our tests in an existing sales territory. Finally, we typically see significant growth once we have gained adoption in a clinic, as additional physicians in those clinics adopt our tests.</w:t>
      </w:r>
    </w:p>
    <w:p>
      <w:pPr>
        <w:spacing w:after="0" w:line="63" w:lineRule="exact"/>
        <w:rPr>
          <w:rFonts w:ascii="Arial" w:cs="Arial" w:eastAsia="Arial" w:hAnsi="Arial"/>
          <w:sz w:val="13"/>
          <w:szCs w:val="13"/>
          <w:color w:val="auto"/>
        </w:rPr>
      </w:pPr>
    </w:p>
    <w:p>
      <w:pPr>
        <w:ind w:left="220" w:right="80"/>
        <w:spacing w:after="0" w:line="243" w:lineRule="auto"/>
        <w:rPr>
          <w:rFonts w:ascii="Arial" w:cs="Arial" w:eastAsia="Arial" w:hAnsi="Arial"/>
          <w:sz w:val="13"/>
          <w:szCs w:val="13"/>
          <w:color w:val="auto"/>
        </w:rPr>
      </w:pPr>
      <w:r>
        <w:rPr>
          <w:rFonts w:ascii="Arial" w:cs="Arial" w:eastAsia="Arial" w:hAnsi="Arial"/>
          <w:sz w:val="14"/>
          <w:szCs w:val="14"/>
          <w:color w:val="auto"/>
        </w:rPr>
        <w:t>We are in the early stages of executing the same sales strategy in oncology. We will continue to drive adoption of our tests by working closely with physicians, medical societies, payors, and patient advocacy groups to educate them on the benefits of our products. We also believe that our commitment to quality customer experience, through patient education, patient self-service, streamlined testing, and patient-friendly billing, will help maintain and enhance usage of our tests. With our Northstar product line, our commercial efforts have just begun, with our field sales team covering only a fraction of the geography. We have significant room to grow, via more geographical expansion, more penetration within existing sales territories, as well as within existing clinics.</w:t>
      </w:r>
    </w:p>
    <w:p>
      <w:pPr>
        <w:spacing w:after="0" w:line="87" w:lineRule="exact"/>
        <w:rPr>
          <w:rFonts w:ascii="Arial" w:cs="Arial" w:eastAsia="Arial" w:hAnsi="Arial"/>
          <w:sz w:val="13"/>
          <w:szCs w:val="13"/>
          <w:color w:val="auto"/>
        </w:rPr>
      </w:pPr>
    </w:p>
    <w:p>
      <w:pPr>
        <w:ind w:left="220" w:hanging="216"/>
        <w:spacing w:after="0" w:line="269"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b w:val="1"/>
          <w:bCs w:val="1"/>
          <w:color w:val="auto"/>
        </w:rPr>
        <w:t xml:space="preserve">Build beyond our extensive library of clinical evidence to support favorable coverage and reimbursement. </w:t>
      </w:r>
      <w:r>
        <w:rPr>
          <w:rFonts w:ascii="Arial" w:cs="Arial" w:eastAsia="Arial" w:hAnsi="Arial"/>
          <w:sz w:val="14"/>
          <w:szCs w:val="14"/>
          <w:color w:val="auto"/>
        </w:rPr>
        <w:t>In prenatal, our carrier and aneuploidy tests are broadly covered</w:t>
      </w:r>
      <w:r>
        <w:rPr>
          <w:rFonts w:ascii="Arial" w:cs="Arial" w:eastAsia="Arial" w:hAnsi="Arial"/>
          <w:sz w:val="14"/>
          <w:szCs w:val="14"/>
          <w:b w:val="1"/>
          <w:bCs w:val="1"/>
          <w:color w:val="auto"/>
        </w:rPr>
        <w:t xml:space="preserve"> </w:t>
      </w:r>
      <w:r>
        <w:rPr>
          <w:rFonts w:ascii="Arial" w:cs="Arial" w:eastAsia="Arial" w:hAnsi="Arial"/>
          <w:sz w:val="14"/>
          <w:szCs w:val="14"/>
          <w:color w:val="auto"/>
        </w:rPr>
        <w:t>by most major insurance providers, and we have broad reimbursement for the tests we provide. In addition, we have contracts with payors that account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260"/>
          </w:cols>
          <w:pgMar w:left="300" w:top="38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right="180"/>
        <w:spacing w:after="0" w:line="269" w:lineRule="auto"/>
        <w:rPr>
          <w:sz w:val="20"/>
          <w:szCs w:val="20"/>
          <w:color w:val="auto"/>
        </w:rPr>
      </w:pPr>
      <w:r>
        <w:rPr>
          <w:rFonts w:ascii="Arial" w:cs="Arial" w:eastAsia="Arial" w:hAnsi="Arial"/>
          <w:sz w:val="14"/>
          <w:szCs w:val="14"/>
          <w:color w:val="auto"/>
        </w:rPr>
        <w:t>for more than 225 million covered lives in the United States, which generally include our oncology products. We are continuing to generate persuasive clinical utility data that we believe can lead to additional payor contracts and justify guideline inclusion.</w:t>
      </w:r>
    </w:p>
    <w:p>
      <w:pPr>
        <w:spacing w:after="0" w:line="59" w:lineRule="exact"/>
        <w:rPr>
          <w:sz w:val="20"/>
          <w:szCs w:val="20"/>
          <w:color w:val="auto"/>
        </w:rPr>
      </w:pPr>
    </w:p>
    <w:p>
      <w:pPr>
        <w:ind w:left="220" w:right="160"/>
        <w:spacing w:after="0" w:line="246" w:lineRule="auto"/>
        <w:rPr>
          <w:sz w:val="20"/>
          <w:szCs w:val="20"/>
          <w:color w:val="auto"/>
        </w:rPr>
      </w:pPr>
      <w:r>
        <w:rPr>
          <w:rFonts w:ascii="Arial" w:cs="Arial" w:eastAsia="Arial" w:hAnsi="Arial"/>
          <w:sz w:val="14"/>
          <w:szCs w:val="14"/>
          <w:color w:val="auto"/>
        </w:rPr>
        <w:t>While we believe we have industry-leading ASPs for our prenatal products, as we contract with more payors and as certain aspects of our tests are more broadly covered due to guideline inclusions, we believe that our ASP will continue to increase. In oncology, we have already secured Medicare and Medicare Advantage coverage for Northstar Select. For Northstar Response, our flagship study, NORTH, along with other ongoing clinical studies, has the potential to generate sufficient clinical validity evidence for our MolDX submissions for Medicare coverage.</w:t>
      </w:r>
    </w:p>
    <w:p>
      <w:pPr>
        <w:spacing w:after="0" w:line="85" w:lineRule="exact"/>
        <w:rPr>
          <w:sz w:val="20"/>
          <w:szCs w:val="20"/>
          <w:color w:val="auto"/>
        </w:rPr>
      </w:pPr>
    </w:p>
    <w:p>
      <w:pPr>
        <w:ind w:left="220" w:hanging="216"/>
        <w:spacing w:after="0" w:line="239" w:lineRule="auto"/>
        <w:tabs>
          <w:tab w:leader="none" w:pos="220" w:val="left"/>
        </w:tabs>
        <w:numPr>
          <w:ilvl w:val="0"/>
          <w:numId w:val="108"/>
        </w:numPr>
        <w:rPr>
          <w:rFonts w:ascii="Arial" w:cs="Arial" w:eastAsia="Arial" w:hAnsi="Arial"/>
          <w:sz w:val="14"/>
          <w:szCs w:val="14"/>
          <w:color w:val="auto"/>
        </w:rPr>
      </w:pPr>
      <w:r>
        <w:rPr>
          <w:rFonts w:ascii="Arial" w:cs="Arial" w:eastAsia="Arial" w:hAnsi="Arial"/>
          <w:sz w:val="14"/>
          <w:szCs w:val="14"/>
          <w:b w:val="1"/>
          <w:bCs w:val="1"/>
          <w:color w:val="auto"/>
        </w:rPr>
        <w:t xml:space="preserve">Utilize our smNGS platform and R&amp;D capabilities to efficiently expand and improve our portfolio of category-defining molecular diagnostic tests. </w:t>
      </w:r>
      <w:r>
        <w:rPr>
          <w:rFonts w:ascii="Arial" w:cs="Arial" w:eastAsia="Arial" w:hAnsi="Arial"/>
          <w:sz w:val="14"/>
          <w:szCs w:val="14"/>
          <w:color w:val="auto"/>
        </w:rPr>
        <w:t>Our foundational</w:t>
      </w:r>
      <w:r>
        <w:rPr>
          <w:rFonts w:ascii="Arial" w:cs="Arial" w:eastAsia="Arial" w:hAnsi="Arial"/>
          <w:sz w:val="14"/>
          <w:szCs w:val="14"/>
          <w:b w:val="1"/>
          <w:bCs w:val="1"/>
          <w:color w:val="auto"/>
        </w:rPr>
        <w:t xml:space="preserve"> </w:t>
      </w:r>
      <w:r>
        <w:rPr>
          <w:rFonts w:ascii="Arial" w:cs="Arial" w:eastAsia="Arial" w:hAnsi="Arial"/>
          <w:sz w:val="14"/>
          <w:szCs w:val="14"/>
          <w:color w:val="auto"/>
        </w:rPr>
        <w:t>smNGS platform fundamentally reduces the biological and clinical risks in our product development process. Because it achieves single molecule level sensitivity and precision at the physical LOD, we can accurately predict clinical performance in advance when designing new smNGS assays. This is complemented by our lean and innovative R&amp;D structure which further enables efficient and high-impact product development. As a result, we are able to rapidly convert R&amp;D investment into differentiated products. In the prenatal market, we started with one UNITY Fetal Risk Screen and then developed multiple tests and add-ons, including UNITY Aneuploidy Screen and UNITY Fetal Antigen NIPT. In oncology, we are extending our portfolio beyond our commercial products focused on therapy selection and response monitoring. We are also developing a tissue-free, pan-cancer MRD test, which we expect to be commercially available in 2026. Longer-term we believe that our smNGS-based technology could address the sensitivity challenges of early-stage cancer detection, among other applications.</w:t>
      </w:r>
    </w:p>
    <w:p>
      <w:pPr>
        <w:spacing w:after="0" w:line="92" w:lineRule="exact"/>
        <w:rPr>
          <w:rFonts w:ascii="Arial" w:cs="Arial" w:eastAsia="Arial" w:hAnsi="Arial"/>
          <w:sz w:val="14"/>
          <w:szCs w:val="14"/>
          <w:color w:val="auto"/>
        </w:rPr>
      </w:pPr>
    </w:p>
    <w:p>
      <w:pPr>
        <w:ind w:left="220" w:right="80" w:hanging="216"/>
        <w:spacing w:after="0" w:line="243" w:lineRule="auto"/>
        <w:tabs>
          <w:tab w:leader="none" w:pos="220" w:val="left"/>
        </w:tabs>
        <w:numPr>
          <w:ilvl w:val="0"/>
          <w:numId w:val="108"/>
        </w:numPr>
        <w:rPr>
          <w:rFonts w:ascii="Arial" w:cs="Arial" w:eastAsia="Arial" w:hAnsi="Arial"/>
          <w:sz w:val="14"/>
          <w:szCs w:val="14"/>
          <w:color w:val="auto"/>
        </w:rPr>
      </w:pPr>
      <w:r>
        <w:rPr>
          <w:rFonts w:ascii="Arial" w:cs="Arial" w:eastAsia="Arial" w:hAnsi="Arial"/>
          <w:sz w:val="14"/>
          <w:szCs w:val="14"/>
          <w:b w:val="1"/>
          <w:bCs w:val="1"/>
          <w:color w:val="auto"/>
        </w:rPr>
        <w:t xml:space="preserve">Continue to deploy AI across our entire organization, including laboratory operations, to improve efficiency and productivity. </w:t>
      </w:r>
      <w:r>
        <w:rPr>
          <w:rFonts w:ascii="Arial" w:cs="Arial" w:eastAsia="Arial" w:hAnsi="Arial"/>
          <w:sz w:val="14"/>
          <w:szCs w:val="14"/>
          <w:color w:val="auto"/>
        </w:rPr>
        <w:t>The integration of AI across our operations</w:t>
      </w:r>
      <w:r>
        <w:rPr>
          <w:rFonts w:ascii="Arial" w:cs="Arial" w:eastAsia="Arial" w:hAnsi="Arial"/>
          <w:sz w:val="14"/>
          <w:szCs w:val="14"/>
          <w:b w:val="1"/>
          <w:bCs w:val="1"/>
          <w:color w:val="auto"/>
        </w:rPr>
        <w:t xml:space="preserve"> </w:t>
      </w:r>
      <w:r>
        <w:rPr>
          <w:rFonts w:ascii="Arial" w:cs="Arial" w:eastAsia="Arial" w:hAnsi="Arial"/>
          <w:sz w:val="14"/>
          <w:szCs w:val="14"/>
          <w:color w:val="auto"/>
        </w:rPr>
        <w:t>has been and will continue to be a critical driver of efficiency and productivity. We have been an early adopter of AI, and every function across the company uses AI in some capacity. For example, we have decreased our overall cost per test by 21% in the 24 months ended June 30, 2025, in part by deploying automation and AI, while approximately 30% of the code we developed internally was generated by AI. By continuing to automate labor-intensive processes, we can continue to reduce costs and significantly increase productivity across our organization.</w:t>
      </w:r>
    </w:p>
    <w:p>
      <w:pPr>
        <w:spacing w:after="0" w:line="87" w:lineRule="exact"/>
        <w:rPr>
          <w:rFonts w:ascii="Arial" w:cs="Arial" w:eastAsia="Arial" w:hAnsi="Arial"/>
          <w:sz w:val="14"/>
          <w:szCs w:val="14"/>
          <w:color w:val="auto"/>
        </w:rPr>
      </w:pPr>
    </w:p>
    <w:p>
      <w:pPr>
        <w:ind w:left="220" w:right="160" w:hanging="216"/>
        <w:spacing w:after="0" w:line="243" w:lineRule="auto"/>
        <w:tabs>
          <w:tab w:leader="none" w:pos="220" w:val="left"/>
        </w:tabs>
        <w:numPr>
          <w:ilvl w:val="0"/>
          <w:numId w:val="108"/>
        </w:numPr>
        <w:rPr>
          <w:rFonts w:ascii="Arial" w:cs="Arial" w:eastAsia="Arial" w:hAnsi="Arial"/>
          <w:sz w:val="14"/>
          <w:szCs w:val="14"/>
          <w:color w:val="auto"/>
        </w:rPr>
      </w:pPr>
      <w:r>
        <w:rPr>
          <w:rFonts w:ascii="Arial" w:cs="Arial" w:eastAsia="Arial" w:hAnsi="Arial"/>
          <w:sz w:val="14"/>
          <w:szCs w:val="14"/>
          <w:b w:val="1"/>
          <w:bCs w:val="1"/>
          <w:color w:val="auto"/>
        </w:rPr>
        <w:t xml:space="preserve">Leverage our growing clinical dataset with AI to improve the utility of diagnostics and enable personalized medicine. </w:t>
      </w:r>
      <w:r>
        <w:rPr>
          <w:rFonts w:ascii="Arial" w:cs="Arial" w:eastAsia="Arial" w:hAnsi="Arial"/>
          <w:sz w:val="14"/>
          <w:szCs w:val="14"/>
          <w:color w:val="auto"/>
        </w:rPr>
        <w:t>Our advanced diagnostics platform generates rich</w:t>
      </w:r>
      <w:r>
        <w:rPr>
          <w:rFonts w:ascii="Arial" w:cs="Arial" w:eastAsia="Arial" w:hAnsi="Arial"/>
          <w:sz w:val="14"/>
          <w:szCs w:val="14"/>
          <w:b w:val="1"/>
          <w:bCs w:val="1"/>
          <w:color w:val="auto"/>
        </w:rPr>
        <w:t xml:space="preserve"> </w:t>
      </w:r>
      <w:r>
        <w:rPr>
          <w:rFonts w:ascii="Arial" w:cs="Arial" w:eastAsia="Arial" w:hAnsi="Arial"/>
          <w:sz w:val="14"/>
          <w:szCs w:val="14"/>
          <w:color w:val="auto"/>
        </w:rPr>
        <w:t>biomarker data as we test patients that can be integrated with multimodal patient clinical information such as medical records. By leveraging AI algorithms to analyze these large datasets, and combining them with our unique Northstar Response results, we believe we will be able to identify distinct patient subgroups with unique biomarker profiles and predict therapeutic response patterns with unprecedented precision. This capability will enable us to provide clinicians with personalized treatment recommendations tailored to each patient’s unique biology. We believe this approach will significantly improve therapeutic outcomes by maximizing efficacy while minimizing adverse effects.</w:t>
      </w:r>
    </w:p>
    <w:p>
      <w:pPr>
        <w:spacing w:after="0" w:line="87"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As we continue to expand our clinical data repositories and refine our AI models, we expect to further enhance our competitive advantage and accelerate the transition of precision medicine from aspiration to clinical reality across our diagnostic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53340</wp:posOffset>
            </wp:positionV>
            <wp:extent cx="4030980" cy="646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385"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366" w:lineRule="exact"/>
        <w:rPr>
          <w:sz w:val="20"/>
          <w:szCs w:val="20"/>
          <w:color w:val="auto"/>
        </w:rPr>
      </w:pPr>
    </w:p>
    <w:p>
      <w:pPr>
        <w:ind w:right="420"/>
        <w:spacing w:after="0" w:line="269" w:lineRule="auto"/>
        <w:rPr>
          <w:sz w:val="20"/>
          <w:szCs w:val="20"/>
          <w:color w:val="auto"/>
        </w:rPr>
      </w:pPr>
      <w:r>
        <w:rPr>
          <w:rFonts w:ascii="Arial" w:cs="Arial" w:eastAsia="Arial" w:hAnsi="Arial"/>
          <w:sz w:val="14"/>
          <w:szCs w:val="14"/>
          <w:color w:val="auto"/>
        </w:rPr>
        <w:t>Healthcare delivery continues to focus on becoming more patient-centered with personalized solutions. This evolution is leading to more companies and product offerings in the molecular diagnostics market. As a result, each of our products faces competition from a number of established and emerging companies.</w:t>
      </w:r>
    </w:p>
    <w:p>
      <w:pPr>
        <w:spacing w:after="0" w:line="69"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In the prenatal market, our main competitors offering NIPTs include Illumina, through its subsidiary Verinata, Laboratory Corporation of America Holdings (Labcorp), Myriad Genetics, Inc. (Myriad), Natera, Inc. (Natera), and Quest Diagnostics Incorporated (Quest). We also compete with companies providing carrier screening tests such as Fulgent Genetics, Labcorp, Myriad, Natera, and Quest. Each of these companies offers comprehensive carrier screening panels.</w:t>
      </w:r>
    </w:p>
    <w:p>
      <w:pPr>
        <w:spacing w:after="0" w:line="80"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Our pre-natal testing product, UNITY, is the first NIPT that uses cfDNA to provide fetal risk assessment for recessive conditions such as sickle cell disease and cystic fibrosis without requiring a paternal sample or invasive procedures such as amniocentesis. Since UNITY’s launch, we have established ourselves as a leader in the prenatal testing market and expanded our UNITY offering to cover comprehensive prenatal genetic needs from a single maternal blood draw. While we know of competitors, in particular Natera and Myriad, that have been working on creating competing products that also assess fetal risk for recessive conditions non-invasively, such as Natera’s recently launched competitor product, we believe that our smNGS platform and five years of accumulated data, along with six peer-reviewed publications for UNITY covering more than 100,000 patients over the course of last six years, will allow us to maintain clear clinical and technical superiority as this type of testing becomes the standard of care. In addition, while product launches by our competitors can create heightened competition in our prenatal market, we also believe that it can lead to increased awareness, acceptance, adoption of this modality of testing (that we innovated and lead the field with) by both providers and medical guidelines.</w:t>
      </w:r>
    </w:p>
    <w:p>
      <w:pPr>
        <w:spacing w:after="0" w:line="82"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In the oncology market, our main competitors for our therapy selection and response monitoring tests include Caris Life Sciences, Inc., Foundation Medicine, Inc., which was acquired by Roche Holdings, Inc., Guardant Health, Inc., NeoGenomics Laboratories, Inc., and Tempus AI, Inc. As we expand our oncology offerings into applications such as MRD testing, as well as potentially testing for early detection in the future, we anticipate facing competition from a broader universe of companies, including Exact Sciences, Grail, Haystack, which was acquired by Quest, and Natera.</w:t>
      </w:r>
    </w:p>
    <w:p>
      <w:pPr>
        <w:spacing w:after="0" w:line="8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competitors may offer oncology tests for therapy selection that encompass a broader range of genes, thereby positioning their products as more comprehensive. While we believe that these larger panels result in reduced sensitivity for identifying actionable variants, their expanded gene coverage enables selection of a wider array of therapies—including some that are not yet approved or immediately actionable. As the number of approved therapies continues to increase, necessitating the addition of new genetic targets and revalidation of our assays, we may incur higher costs and risk losing customers to competitors if updates to our tests are delayed.</w:t>
      </w:r>
    </w:p>
    <w:p>
      <w:pPr>
        <w:spacing w:after="0" w:line="74"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Many of our competitors, either alone or with their collaborators, may have greater financial and/or other resources than we do, including larger and more established manufacturing capabilities and marketing, sales, and support functions. Other competitors are in the process of developing novel technologies which may lead to products that rival or replace our products. While we cannot assure you how the market will evolve, we believe our four pillars of differentiation provide competitive advantages that are difficult for others to replicate.</w:t>
      </w:r>
    </w:p>
    <w:p>
      <w:pPr>
        <w:spacing w:after="0" w:line="64" w:lineRule="exact"/>
        <w:rPr>
          <w:sz w:val="20"/>
          <w:szCs w:val="20"/>
          <w:color w:val="auto"/>
        </w:rPr>
      </w:pPr>
    </w:p>
    <w:p>
      <w:pPr>
        <w:ind w:right="780"/>
        <w:spacing w:after="0" w:line="269" w:lineRule="auto"/>
        <w:rPr>
          <w:sz w:val="20"/>
          <w:szCs w:val="20"/>
          <w:color w:val="auto"/>
        </w:rPr>
      </w:pPr>
      <w:r>
        <w:rPr>
          <w:rFonts w:ascii="Arial" w:cs="Arial" w:eastAsia="Arial" w:hAnsi="Arial"/>
          <w:sz w:val="14"/>
          <w:szCs w:val="14"/>
          <w:color w:val="auto"/>
        </w:rPr>
        <w:t>For further discussion of the risks we face relating to competition, see the section titled “Risk factors—Risks Related to Our Business and Strategy—If we cannot compete successfully with our competitors, we may be unable to increase or sustain our revenue or to achieve and then sustain profitability.”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280"/>
          </w:cols>
          <w:pgMar w:left="300" w:top="385"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646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80" w:lineRule="auto"/>
        <w:rPr>
          <w:sz w:val="20"/>
          <w:szCs w:val="20"/>
          <w:color w:val="auto"/>
        </w:rPr>
      </w:pPr>
      <w:r>
        <w:rPr>
          <w:rFonts w:ascii="Arial" w:cs="Arial" w:eastAsia="Arial" w:hAnsi="Arial"/>
          <w:sz w:val="13"/>
          <w:szCs w:val="13"/>
          <w:color w:val="auto"/>
        </w:rPr>
        <w:t>The long-term success of our business depends on securing protection of our intellectual property through patent, trade secret, trademark, and other intellectual property rights. We also utilize non-disclosure agreements and proprietary information and inventions assignment agreements with employees, consultants, contractors and other third parties and maintain physical security of our premises and physical and electronic security of our information technology systems in order to strengthen the protection of our intellectual property.</w:t>
      </w:r>
    </w:p>
    <w:p>
      <w:pPr>
        <w:spacing w:after="0" w:line="64" w:lineRule="exact"/>
        <w:rPr>
          <w:sz w:val="20"/>
          <w:szCs w:val="20"/>
          <w:color w:val="auto"/>
        </w:rPr>
      </w:pPr>
    </w:p>
    <w:p>
      <w:pPr>
        <w:ind w:right="240"/>
        <w:spacing w:after="0" w:line="252" w:lineRule="auto"/>
        <w:rPr>
          <w:sz w:val="20"/>
          <w:szCs w:val="20"/>
          <w:color w:val="auto"/>
        </w:rPr>
      </w:pPr>
      <w:r>
        <w:rPr>
          <w:rFonts w:ascii="Arial" w:cs="Arial" w:eastAsia="Arial" w:hAnsi="Arial"/>
          <w:sz w:val="14"/>
          <w:szCs w:val="14"/>
          <w:color w:val="auto"/>
        </w:rPr>
        <w:t>As of June 30, 2025, we held nine U.S. issued patents, which expire between August 2038 and March 2043, and 45 foreign patents, which expire between August 2038 and September 2041. Additionally, we had 14 pending U.S. patent applications and 31 foreign patent applications. We also held 4 U.S. registered trademarks and 13 foreign registered trademarks as of June 30, 2025.</w:t>
      </w:r>
    </w:p>
    <w:p>
      <w:pPr>
        <w:spacing w:after="0" w:line="7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Our patent strategy is focused on seeking robust coverage for our core molecular counting technology (covered by U.S. is Patent No. 11,629,381, with a pending U.S. divisional application, granted patents in Australia, Brazil, China, Europe Hong Kong, India, Japan and South Korea (validated in 17 countries), and pending applications in Canada, Israel, Singapore, Japan (divisional), Europe (divisional), and Hong Kong (divisional), our dilution tagging technology (cover by U.S. Patent No. 12,071,651, with a pending U.S. continuation, and issued patent in Canada and pending foreign applications in China, Europe, and Hong Kong), our custom-made Synthetic DNA controls (covered by U.S. Patent Nos. 11,646,100 and 12,176,066, with a pending U.S. continuation, an issued patent in Canada, and pending applications in China, Europe, and Hong Kong), and our proprietary signal processing technology (covered by U.S. Patent Nos. 11,430,543 and 12,183,437, also granted in Brazil, Japan, Singapore, South Korea, Israel, Canada, Australia and Europe, and pending in China, Hong Kong, and India), all of which is used to maximize readings taken from single blood draws. We have also recently filed several unpublished patent applications covering a range of techniques for improving the efficiency and accuracy of DNA sequencing-based assays. In addition, we file for patent protection in connection with our ongoing research and development activities, particularly those related to early-stage cancer detection.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Our patents and applications generally fall into three broad categories:</w:t>
      </w:r>
    </w:p>
    <w:p>
      <w:pPr>
        <w:spacing w:after="0" w:line="112" w:lineRule="exact"/>
        <w:rPr>
          <w:sz w:val="20"/>
          <w:szCs w:val="20"/>
          <w:color w:val="auto"/>
        </w:rPr>
      </w:pPr>
    </w:p>
    <w:p>
      <w:pPr>
        <w:ind w:left="1020" w:hanging="565"/>
        <w:spacing w:after="0"/>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detecting and monitoring cancer and other diseases by determining genetic variations and other biomarkers in biological samples;</w:t>
      </w:r>
    </w:p>
    <w:p>
      <w:pPr>
        <w:spacing w:after="0" w:line="111" w:lineRule="exact"/>
        <w:rPr>
          <w:rFonts w:ascii="Arial" w:cs="Arial" w:eastAsia="Arial" w:hAnsi="Arial"/>
          <w:sz w:val="14"/>
          <w:szCs w:val="14"/>
          <w:color w:val="auto"/>
        </w:rPr>
      </w:pPr>
    </w:p>
    <w:p>
      <w:pPr>
        <w:ind w:left="1020" w:right="180" w:hanging="565"/>
        <w:spacing w:after="0" w:line="269" w:lineRule="auto"/>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methods for preparing and sequencing cfDNA, techniques for enriching nucleic acid samples, identifying cfDNA, and detecting epigenomic variations (such as DNA methylation) in biological samples; and</w:t>
      </w:r>
    </w:p>
    <w:p>
      <w:pPr>
        <w:spacing w:after="0" w:line="69" w:lineRule="exact"/>
        <w:rPr>
          <w:rFonts w:ascii="Arial" w:cs="Arial" w:eastAsia="Arial" w:hAnsi="Arial"/>
          <w:sz w:val="14"/>
          <w:szCs w:val="14"/>
          <w:color w:val="auto"/>
        </w:rPr>
      </w:pPr>
    </w:p>
    <w:p>
      <w:pPr>
        <w:ind w:left="1020" w:right="340" w:hanging="565"/>
        <w:spacing w:after="0" w:line="269" w:lineRule="auto"/>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precision diagnostics, including biochemical and analytical techniques for obtaining and analyzing genetic information to detect genetic abnormalities in relatively small complex samples, such as fetal cfDNA using reflex single-gene noninvasive prenatal screening.</w:t>
      </w:r>
    </w:p>
    <w:p>
      <w:pPr>
        <w:spacing w:after="0" w:line="69"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The following table includes our U.S. patents granted and U.S. patent applications published as of June 30, 2025, along with the status in other jurisdictions (excluding divisional and continuation patents and applications). All patents are utility patents. We have additional patent applications that have not yet published as of June 30, 2025.</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80"/>
          </w:cols>
          <w:pgMar w:left="300" w:top="385"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BillionToOne Patent Portfolio</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Patent</w:t>
            </w: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Patent Name</w:t>
            </w:r>
          </w:p>
        </w:tc>
        <w:tc>
          <w:tcPr>
            <w:tcW w:w="3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Summary</w:t>
            </w:r>
          </w:p>
        </w:tc>
        <w:tc>
          <w:tcPr>
            <w:tcW w:w="1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Patent</w:t>
            </w:r>
          </w:p>
        </w:tc>
        <w:tc>
          <w:tcPr>
            <w:tcW w:w="1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Exp.</w:t>
            </w:r>
          </w:p>
        </w:tc>
        <w:tc>
          <w:tcPr>
            <w:tcW w:w="20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Other Jurisdictions</w:t>
            </w:r>
          </w:p>
        </w:tc>
        <w:tc>
          <w:tcPr>
            <w:tcW w:w="0" w:type="dxa"/>
            <w:vAlign w:val="bottom"/>
          </w:tcPr>
          <w:p>
            <w:pPr>
              <w:spacing w:after="0"/>
              <w:rPr>
                <w:sz w:val="1"/>
                <w:szCs w:val="1"/>
                <w:color w:val="auto"/>
              </w:rPr>
            </w:pPr>
          </w:p>
        </w:tc>
      </w:tr>
      <w:tr>
        <w:trPr>
          <w:trHeight w:val="172"/>
        </w:trPr>
        <w:tc>
          <w:tcPr>
            <w:tcW w:w="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Family</w:t>
            </w:r>
          </w:p>
        </w:tc>
        <w:tc>
          <w:tcPr>
            <w:tcW w:w="214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P01</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Dilution Tagging for</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Method for accurate determination of biological target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12,071,651</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3-19-2041</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Issued/Allowed: CA</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Quantification of Biological</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abundance that can include generating a first set of</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Pending: CN, EU, HK</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Targets</w:t>
            </w:r>
          </w:p>
        </w:tc>
        <w:tc>
          <w:tcPr>
            <w:tcW w:w="382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molecules associated with a target sequence that includes</w:t>
            </w: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0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dilution tags associated with a relative concentration profile;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generating a second set of molecules including dilution</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tags; generating a dilution tagged mixture; amplifying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dilution tagged targets; generating a modified dilution</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tagged mixture from the amplified subsets; determining, for</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the biological sample, a count of the distinct molecules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including the target sequence.</w:t>
            </w:r>
          </w:p>
        </w:tc>
        <w:tc>
          <w:tcPr>
            <w:tcW w:w="136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P02</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Target-Associated Molecules for</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method and/or system for facilitating characterization of</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11,646,100</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3-5-2042</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Issued/Allowed: CA</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Characterization Associated</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one or more conditions that can include: generating a set of</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Pending: CN, EU, HK</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with Biological Targets</w:t>
            </w:r>
          </w:p>
        </w:tc>
        <w:tc>
          <w:tcPr>
            <w:tcW w:w="382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target-associated molecules; generating a reference-</w:t>
            </w: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0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associated set of molecules; facilitating generation of a</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spike-in mixture; determining abundance metrics based on</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 analysis of the spike-in mixture; and facilitating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characterization of the conditions based on the abundance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metrics</w:t>
            </w:r>
          </w:p>
        </w:tc>
        <w:tc>
          <w:tcPr>
            <w:tcW w:w="13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820" w:type="dxa"/>
            <w:vAlign w:val="bottom"/>
          </w:tcPr>
          <w:p>
            <w:pPr>
              <w:ind w:left="2680"/>
              <w:spacing w:after="0"/>
              <w:rPr>
                <w:sz w:val="20"/>
                <w:szCs w:val="20"/>
                <w:color w:val="auto"/>
              </w:rPr>
            </w:pPr>
            <w:r>
              <w:rPr>
                <w:rFonts w:ascii="Arial" w:cs="Arial" w:eastAsia="Arial" w:hAnsi="Arial"/>
                <w:sz w:val="14"/>
                <w:szCs w:val="14"/>
                <w:color w:val="auto"/>
              </w:rPr>
              <w:t>176</w:t>
            </w:r>
          </w:p>
        </w:tc>
        <w:tc>
          <w:tcPr>
            <w:tcW w:w="1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85" w:right="2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Patent</w:t>
            </w: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Patent Name</w:t>
            </w:r>
          </w:p>
        </w:tc>
        <w:tc>
          <w:tcPr>
            <w:tcW w:w="3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Summary</w:t>
            </w:r>
          </w:p>
        </w:tc>
        <w:tc>
          <w:tcPr>
            <w:tcW w:w="1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Patent</w:t>
            </w:r>
          </w:p>
        </w:tc>
        <w:tc>
          <w:tcPr>
            <w:tcW w:w="1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Exp.</w:t>
            </w:r>
          </w:p>
        </w:tc>
        <w:tc>
          <w:tcPr>
            <w:tcW w:w="20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Other Jurisdictions</w:t>
            </w:r>
          </w:p>
        </w:tc>
        <w:tc>
          <w:tcPr>
            <w:tcW w:w="0" w:type="dxa"/>
            <w:vAlign w:val="bottom"/>
          </w:tcPr>
          <w:p>
            <w:pPr>
              <w:spacing w:after="0"/>
              <w:rPr>
                <w:sz w:val="1"/>
                <w:szCs w:val="1"/>
                <w:color w:val="auto"/>
              </w:rPr>
            </w:pPr>
          </w:p>
        </w:tc>
      </w:tr>
      <w:tr>
        <w:trPr>
          <w:trHeight w:val="172"/>
        </w:trPr>
        <w:tc>
          <w:tcPr>
            <w:tcW w:w="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Family</w:t>
            </w:r>
          </w:p>
        </w:tc>
        <w:tc>
          <w:tcPr>
            <w:tcW w:w="214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P03</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Sequencing Output</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method and/or system for generating a set of target-</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11,430,543</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6-24-2041</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Issued/Allowed: AU, BE, BZ,</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Determination and Analysis with</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associated molecules (e.g., spike-in molecules) associated</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CA, EU, FR, DE, IL, IT, JP,</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Target-Associated Molecules in</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with biological targets; generating spike-in mixtures based</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KR, NL, SG, EP, UK</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Quantification Associated with</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on processing the set of target-associated molecules with</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Pending: CN, HK, IN, SG</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Biological Targets</w:t>
            </w:r>
          </w:p>
        </w:tc>
        <w:tc>
          <w:tcPr>
            <w:tcW w:w="382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samples including the biological targets; performing Sanger</w:t>
            </w: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0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sequencing operations on the spike-in mixtures;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determining abundance metrics based on chromatogram-</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related outputs from the Sanger sequencing operations;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and/or facilitating characterization of medical conditions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based on the abundance metrics.</w:t>
            </w:r>
          </w:p>
        </w:tc>
        <w:tc>
          <w:tcPr>
            <w:tcW w:w="13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P04</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Quality Control Templates for</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method and/or system for generating a set of quality</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11,629,381</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2-17-2042</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Issued/Allowed: AU, AT, BE,</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8"/>
              </w:rPr>
              <w:t>Ensuring Validity of Sequencing-</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control template (QCT) molecules; determining a set of</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BZ, CN, CY, DN, EU, FN, FR,</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Based Assays</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QCT sequence read clusters based on the set of QCT</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DE, GR, HK, IN, IR, IL, IT, JP,</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molecules, such as based on variation regions of the set of</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KR, LE, NL, NO, PT, EP, SE,</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QCT molecules; and based on the set of QCT sequence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CH, UK</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read clusters, determining a sequencing-related parameter,</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Pending: CA, HK, SG</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3820" w:type="dxa"/>
            <w:vAlign w:val="bottom"/>
            <w:tcBorders>
              <w:right w:val="single" w:sz="8" w:color="auto"/>
            </w:tcBorders>
            <w:vMerge w:val="restart"/>
          </w:tcPr>
          <w:p>
            <w:pPr>
              <w:ind w:left="100"/>
              <w:spacing w:after="0" w:line="157" w:lineRule="exact"/>
              <w:rPr>
                <w:sz w:val="20"/>
                <w:szCs w:val="20"/>
                <w:color w:val="auto"/>
              </w:rPr>
            </w:pPr>
            <w:r>
              <w:rPr>
                <w:rFonts w:ascii="Arial" w:cs="Arial" w:eastAsia="Arial" w:hAnsi="Arial"/>
                <w:sz w:val="14"/>
                <w:szCs w:val="14"/>
                <w:color w:val="auto"/>
              </w:rPr>
              <w:t>such as a contamination parameter and/or molecule count</w:t>
            </w: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0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382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parameter, associated with the at least one of sequencing</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library preparation and sequencing.</w:t>
            </w:r>
          </w:p>
        </w:tc>
        <w:tc>
          <w:tcPr>
            <w:tcW w:w="13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820" w:type="dxa"/>
            <w:vAlign w:val="bottom"/>
          </w:tcPr>
          <w:p>
            <w:pPr>
              <w:ind w:left="2680"/>
              <w:spacing w:after="0"/>
              <w:rPr>
                <w:sz w:val="20"/>
                <w:szCs w:val="20"/>
                <w:color w:val="auto"/>
              </w:rPr>
            </w:pPr>
            <w:r>
              <w:rPr>
                <w:rFonts w:ascii="Arial" w:cs="Arial" w:eastAsia="Arial" w:hAnsi="Arial"/>
                <w:sz w:val="14"/>
                <w:szCs w:val="14"/>
                <w:color w:val="auto"/>
              </w:rPr>
              <w:t>177</w:t>
            </w:r>
          </w:p>
        </w:tc>
        <w:tc>
          <w:tcPr>
            <w:tcW w:w="1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86" w:right="2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Patent</w:t>
            </w: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Patent Name</w:t>
            </w:r>
          </w:p>
        </w:tc>
        <w:tc>
          <w:tcPr>
            <w:tcW w:w="3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Summary</w:t>
            </w:r>
          </w:p>
        </w:tc>
        <w:tc>
          <w:tcPr>
            <w:tcW w:w="1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Patent</w:t>
            </w:r>
          </w:p>
        </w:tc>
        <w:tc>
          <w:tcPr>
            <w:tcW w:w="1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U.S. Exp.</w:t>
            </w:r>
          </w:p>
        </w:tc>
        <w:tc>
          <w:tcPr>
            <w:tcW w:w="20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Other Jurisdictions</w:t>
            </w:r>
          </w:p>
        </w:tc>
      </w:tr>
      <w:tr>
        <w:trPr>
          <w:trHeight w:val="172"/>
        </w:trPr>
        <w:tc>
          <w:tcPr>
            <w:tcW w:w="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Family</w:t>
            </w:r>
          </w:p>
        </w:tc>
        <w:tc>
          <w:tcPr>
            <w:tcW w:w="214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040" w:type="dxa"/>
            <w:vAlign w:val="bottom"/>
            <w:tcBorders>
              <w:bottom w:val="single" w:sz="8" w:color="auto"/>
              <w:right w:val="single" w:sz="8" w:color="auto"/>
            </w:tcBorders>
          </w:tcPr>
          <w:p>
            <w:pPr>
              <w:spacing w:after="0"/>
              <w:rPr>
                <w:sz w:val="14"/>
                <w:szCs w:val="14"/>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P05</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Homologous Genomic Regions</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method and/or system for generating a co-amplified</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11,519,024</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3-25-2040</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Pending: CA, EU</w:t>
            </w: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for Characterization Associated</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mixture based on co-amplifying a set of nucleic acid</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with Biological Targets</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molecules (e.g., cell-free nucleic acids, etc.) from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biological sample, wherein the set of nucleic acid molecules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includes a genomic region of interest associated with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medical condition; and a homologous native genomic</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region with partial sequence similarity to the genomic region</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of interest; sequencing the co-amplified mixture;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determining an abundance metric for the genomic region of</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interest and an abundance metric for the homologous</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native genomic region; and/or facilitating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characterization of the medical condition based on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w w:val="99"/>
              </w:rPr>
              <w:t>abundance metric for the genomic region of interest and the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abundance metric for the homologous native genomic</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85"/>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r>
      <w:tr>
        <w:trPr>
          <w:trHeight w:val="40"/>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17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P08</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Fragment Analysis for</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Methods of detecting the presence or absence of diseases</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Pending</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N/A</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Pending: CA, EU</w:t>
            </w: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Quantitative Diagnostics of</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using quantitative approaches, including methods for</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57"/>
        </w:trPr>
        <w:tc>
          <w:tcPr>
            <w:tcW w:w="700" w:type="dxa"/>
            <w:vAlign w:val="bottom"/>
            <w:tcBorders>
              <w:left w:val="single" w:sz="8" w:color="auto"/>
              <w:right w:val="single" w:sz="8" w:color="auto"/>
            </w:tcBorders>
          </w:tcPr>
          <w:p>
            <w:pPr>
              <w:spacing w:after="0"/>
              <w:rPr>
                <w:sz w:val="13"/>
                <w:szCs w:val="13"/>
                <w:color w:val="auto"/>
              </w:rPr>
            </w:pPr>
          </w:p>
        </w:tc>
        <w:tc>
          <w:tcPr>
            <w:tcW w:w="21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Biological Targets</w:t>
            </w:r>
          </w:p>
        </w:tc>
        <w:tc>
          <w:tcPr>
            <w:tcW w:w="38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determining the abundance of endogenous targets and</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r>
      <w:tr>
        <w:trPr>
          <w:trHeight w:val="185"/>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determining the presence or absence of an aneuploidy.</w:t>
            </w:r>
          </w:p>
        </w:tc>
        <w:tc>
          <w:tcPr>
            <w:tcW w:w="13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r>
      <w:tr>
        <w:trPr>
          <w:trHeight w:val="40"/>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276"/>
        </w:trPr>
        <w:tc>
          <w:tcPr>
            <w:tcW w:w="7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820" w:type="dxa"/>
            <w:vAlign w:val="bottom"/>
          </w:tcPr>
          <w:p>
            <w:pPr>
              <w:ind w:left="2680"/>
              <w:spacing w:after="0"/>
              <w:rPr>
                <w:sz w:val="20"/>
                <w:szCs w:val="20"/>
                <w:color w:val="auto"/>
              </w:rPr>
            </w:pPr>
            <w:r>
              <w:rPr>
                <w:rFonts w:ascii="Arial" w:cs="Arial" w:eastAsia="Arial" w:hAnsi="Arial"/>
                <w:sz w:val="14"/>
                <w:szCs w:val="14"/>
                <w:color w:val="auto"/>
              </w:rPr>
              <w:t>178</w:t>
            </w:r>
          </w:p>
        </w:tc>
        <w:tc>
          <w:tcPr>
            <w:tcW w:w="1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40" w:type="dxa"/>
            <w:vAlign w:val="bottom"/>
          </w:tcPr>
          <w:p>
            <w:pPr>
              <w:spacing w:after="0"/>
              <w:rPr>
                <w:sz w:val="23"/>
                <w:szCs w:val="23"/>
                <w:color w:val="auto"/>
              </w:rPr>
            </w:pPr>
          </w:p>
        </w:tc>
      </w:tr>
    </w:tbl>
    <w:p>
      <w:pPr>
        <w:sectPr>
          <w:pgSz w:w="11900" w:h="16838" w:orient="portrait"/>
          <w:cols w:equalWidth="0" w:num="1">
            <w:col w:w="11300"/>
          </w:cols>
          <w:pgMar w:left="300" w:top="386" w:right="2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7169785" cy="19723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9785" cy="197231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Patent</w:t>
            </w:r>
          </w:p>
        </w:tc>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Patent Name</w:t>
            </w:r>
          </w:p>
        </w:tc>
        <w:tc>
          <w:tcPr>
            <w:tcW w:w="3820" w:type="dxa"/>
            <w:vAlign w:val="bottom"/>
          </w:tcPr>
          <w:p>
            <w:pPr>
              <w:ind w:left="80"/>
              <w:spacing w:after="0"/>
              <w:rPr>
                <w:sz w:val="20"/>
                <w:szCs w:val="20"/>
                <w:color w:val="auto"/>
              </w:rPr>
            </w:pPr>
            <w:r>
              <w:rPr>
                <w:rFonts w:ascii="Arial" w:cs="Arial" w:eastAsia="Arial" w:hAnsi="Arial"/>
                <w:sz w:val="14"/>
                <w:szCs w:val="14"/>
                <w:b w:val="1"/>
                <w:bCs w:val="1"/>
                <w:color w:val="auto"/>
              </w:rPr>
              <w:t>Summary</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U.S. Patent</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U.S. Exp.</w:t>
            </w:r>
          </w:p>
        </w:tc>
        <w:tc>
          <w:tcPr>
            <w:tcW w:w="2240" w:type="dxa"/>
            <w:vAlign w:val="bottom"/>
          </w:tcPr>
          <w:p>
            <w:pPr>
              <w:ind w:left="320"/>
              <w:spacing w:after="0"/>
              <w:rPr>
                <w:sz w:val="20"/>
                <w:szCs w:val="20"/>
                <w:color w:val="auto"/>
              </w:rPr>
            </w:pPr>
            <w:r>
              <w:rPr>
                <w:rFonts w:ascii="Arial" w:cs="Arial" w:eastAsia="Arial" w:hAnsi="Arial"/>
                <w:sz w:val="14"/>
                <w:szCs w:val="14"/>
                <w:b w:val="1"/>
                <w:bCs w:val="1"/>
                <w:color w:val="auto"/>
              </w:rPr>
              <w:t>Other Jurisdictions</w:t>
            </w:r>
          </w:p>
        </w:tc>
      </w:tr>
      <w:tr>
        <w:trPr>
          <w:trHeight w:val="172"/>
        </w:trPr>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Family</w:t>
            </w:r>
          </w:p>
        </w:tc>
        <w:tc>
          <w:tcPr>
            <w:tcW w:w="2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2240" w:type="dxa"/>
            <w:vAlign w:val="bottom"/>
            <w:tcBorders>
              <w:bottom w:val="single" w:sz="8" w:color="auto"/>
            </w:tcBorders>
          </w:tcPr>
          <w:p>
            <w:pPr>
              <w:spacing w:after="0"/>
              <w:rPr>
                <w:sz w:val="14"/>
                <w:szCs w:val="14"/>
                <w:color w:val="auto"/>
              </w:rPr>
            </w:pPr>
          </w:p>
        </w:tc>
      </w:tr>
      <w:tr>
        <w:trPr>
          <w:trHeight w:val="175"/>
        </w:trPr>
        <w:tc>
          <w:tcPr>
            <w:tcW w:w="680" w:type="dxa"/>
            <w:vAlign w:val="bottom"/>
          </w:tcPr>
          <w:p>
            <w:pPr>
              <w:ind w:left="120"/>
              <w:spacing w:after="0"/>
              <w:rPr>
                <w:sz w:val="20"/>
                <w:szCs w:val="20"/>
                <w:color w:val="auto"/>
              </w:rPr>
            </w:pPr>
            <w:r>
              <w:rPr>
                <w:rFonts w:ascii="Arial" w:cs="Arial" w:eastAsia="Arial" w:hAnsi="Arial"/>
                <w:sz w:val="14"/>
                <w:szCs w:val="14"/>
                <w:color w:val="auto"/>
              </w:rPr>
              <w:t>P09</w:t>
            </w:r>
          </w:p>
        </w:tc>
        <w:tc>
          <w:tcPr>
            <w:tcW w:w="2180" w:type="dxa"/>
            <w:vAlign w:val="bottom"/>
          </w:tcPr>
          <w:p>
            <w:pPr>
              <w:ind w:left="120"/>
              <w:spacing w:after="0"/>
              <w:rPr>
                <w:sz w:val="20"/>
                <w:szCs w:val="20"/>
                <w:color w:val="auto"/>
              </w:rPr>
            </w:pPr>
            <w:r>
              <w:rPr>
                <w:rFonts w:ascii="Arial" w:cs="Arial" w:eastAsia="Arial" w:hAnsi="Arial"/>
                <w:sz w:val="14"/>
                <w:szCs w:val="14"/>
                <w:color w:val="auto"/>
              </w:rPr>
              <w:t>Molecule Counting of</w:t>
            </w:r>
          </w:p>
        </w:tc>
        <w:tc>
          <w:tcPr>
            <w:tcW w:w="3820" w:type="dxa"/>
            <w:vAlign w:val="bottom"/>
          </w:tcPr>
          <w:p>
            <w:pPr>
              <w:ind w:left="80"/>
              <w:spacing w:after="0"/>
              <w:rPr>
                <w:sz w:val="20"/>
                <w:szCs w:val="20"/>
                <w:color w:val="auto"/>
              </w:rPr>
            </w:pPr>
            <w:r>
              <w:rPr>
                <w:rFonts w:ascii="Arial" w:cs="Arial" w:eastAsia="Arial" w:hAnsi="Arial"/>
                <w:sz w:val="14"/>
                <w:szCs w:val="14"/>
                <w:color w:val="auto"/>
              </w:rPr>
              <w:t>Methods to quantify methylation in a DNA sample that</w:t>
            </w:r>
          </w:p>
        </w:tc>
        <w:tc>
          <w:tcPr>
            <w:tcW w:w="1140" w:type="dxa"/>
            <w:vAlign w:val="bottom"/>
          </w:tcPr>
          <w:p>
            <w:pPr>
              <w:ind w:left="80"/>
              <w:spacing w:after="0"/>
              <w:rPr>
                <w:sz w:val="20"/>
                <w:szCs w:val="20"/>
                <w:color w:val="auto"/>
              </w:rPr>
            </w:pPr>
            <w:r>
              <w:rPr>
                <w:rFonts w:ascii="Arial" w:cs="Arial" w:eastAsia="Arial" w:hAnsi="Arial"/>
                <w:sz w:val="14"/>
                <w:szCs w:val="14"/>
                <w:color w:val="auto"/>
              </w:rPr>
              <w:t>12,043,873</w:t>
            </w:r>
          </w:p>
        </w:tc>
        <w:tc>
          <w:tcPr>
            <w:tcW w:w="1240" w:type="dxa"/>
            <w:vAlign w:val="bottom"/>
          </w:tcPr>
          <w:p>
            <w:pPr>
              <w:ind w:left="300"/>
              <w:spacing w:after="0"/>
              <w:rPr>
                <w:sz w:val="20"/>
                <w:szCs w:val="20"/>
                <w:color w:val="auto"/>
              </w:rPr>
            </w:pPr>
            <w:r>
              <w:rPr>
                <w:rFonts w:ascii="Arial" w:cs="Arial" w:eastAsia="Arial" w:hAnsi="Arial"/>
                <w:sz w:val="14"/>
                <w:szCs w:val="14"/>
                <w:color w:val="auto"/>
              </w:rPr>
              <w:t>3-21-2043</w:t>
            </w:r>
          </w:p>
        </w:tc>
        <w:tc>
          <w:tcPr>
            <w:tcW w:w="2240" w:type="dxa"/>
            <w:vAlign w:val="bottom"/>
          </w:tcPr>
          <w:p>
            <w:pPr>
              <w:ind w:left="320"/>
              <w:spacing w:after="0"/>
              <w:rPr>
                <w:sz w:val="20"/>
                <w:szCs w:val="20"/>
                <w:color w:val="auto"/>
              </w:rPr>
            </w:pPr>
            <w:r>
              <w:rPr>
                <w:rFonts w:ascii="Arial" w:cs="Arial" w:eastAsia="Arial" w:hAnsi="Arial"/>
                <w:sz w:val="14"/>
                <w:szCs w:val="14"/>
                <w:color w:val="auto"/>
              </w:rPr>
              <w:t>Pending: AU, CA, CN, EU, JP,</w:t>
            </w:r>
          </w:p>
        </w:tc>
      </w:tr>
      <w:tr>
        <w:trPr>
          <w:trHeight w:val="157"/>
        </w:trPr>
        <w:tc>
          <w:tcPr>
            <w:tcW w:w="680" w:type="dxa"/>
            <w:vAlign w:val="bottom"/>
          </w:tcPr>
          <w:p>
            <w:pPr>
              <w:spacing w:after="0"/>
              <w:rPr>
                <w:sz w:val="13"/>
                <w:szCs w:val="13"/>
                <w:color w:val="auto"/>
              </w:rPr>
            </w:pPr>
          </w:p>
        </w:tc>
        <w:tc>
          <w:tcPr>
            <w:tcW w:w="2180" w:type="dxa"/>
            <w:vAlign w:val="bottom"/>
          </w:tcPr>
          <w:p>
            <w:pPr>
              <w:ind w:left="120"/>
              <w:spacing w:after="0" w:line="157" w:lineRule="exact"/>
              <w:rPr>
                <w:sz w:val="20"/>
                <w:szCs w:val="20"/>
                <w:color w:val="auto"/>
              </w:rPr>
            </w:pPr>
            <w:r>
              <w:rPr>
                <w:rFonts w:ascii="Arial" w:cs="Arial" w:eastAsia="Arial" w:hAnsi="Arial"/>
                <w:sz w:val="14"/>
                <w:szCs w:val="14"/>
                <w:color w:val="auto"/>
              </w:rPr>
              <w:t>Methylated Cell-free DNA for</w:t>
            </w: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include treating the sample to encode the presence or</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ind w:left="320"/>
              <w:spacing w:after="0" w:line="157" w:lineRule="exact"/>
              <w:rPr>
                <w:sz w:val="20"/>
                <w:szCs w:val="20"/>
                <w:color w:val="auto"/>
              </w:rPr>
            </w:pPr>
            <w:r>
              <w:rPr>
                <w:rFonts w:ascii="Arial" w:cs="Arial" w:eastAsia="Arial" w:hAnsi="Arial"/>
                <w:sz w:val="14"/>
                <w:szCs w:val="14"/>
                <w:color w:val="auto"/>
              </w:rPr>
              <w:t>KR</w:t>
            </w:r>
          </w:p>
        </w:tc>
      </w:tr>
      <w:tr>
        <w:trPr>
          <w:trHeight w:val="157"/>
        </w:trPr>
        <w:tc>
          <w:tcPr>
            <w:tcW w:w="680" w:type="dxa"/>
            <w:vAlign w:val="bottom"/>
          </w:tcPr>
          <w:p>
            <w:pPr>
              <w:spacing w:after="0"/>
              <w:rPr>
                <w:sz w:val="13"/>
                <w:szCs w:val="13"/>
                <w:color w:val="auto"/>
              </w:rPr>
            </w:pPr>
          </w:p>
        </w:tc>
        <w:tc>
          <w:tcPr>
            <w:tcW w:w="2180" w:type="dxa"/>
            <w:vAlign w:val="bottom"/>
          </w:tcPr>
          <w:p>
            <w:pPr>
              <w:ind w:left="120"/>
              <w:spacing w:after="0" w:line="157" w:lineRule="exact"/>
              <w:rPr>
                <w:sz w:val="20"/>
                <w:szCs w:val="20"/>
                <w:color w:val="auto"/>
              </w:rPr>
            </w:pPr>
            <w:r>
              <w:rPr>
                <w:rFonts w:ascii="Arial" w:cs="Arial" w:eastAsia="Arial" w:hAnsi="Arial"/>
                <w:sz w:val="14"/>
                <w:szCs w:val="14"/>
                <w:color w:val="auto"/>
              </w:rPr>
              <w:t>Treatment Monitoring</w:t>
            </w: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absence of DNA methylation, adding to the sample a set of</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synthetic molecules (e.g., quality control template (QCT)</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molecules), generating a co-amplification mixture,</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sequencing the co-amplification mixture, and determining a</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number of methylated molecules in the sample based on</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the number of methylated reads from the sample and a</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85"/>
        </w:trPr>
        <w:tc>
          <w:tcPr>
            <w:tcW w:w="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rPr>
              <w:t>number of reads from the set of synthetic molecules.</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175"/>
        </w:trPr>
        <w:tc>
          <w:tcPr>
            <w:tcW w:w="680" w:type="dxa"/>
            <w:vAlign w:val="bottom"/>
          </w:tcPr>
          <w:p>
            <w:pPr>
              <w:ind w:left="120"/>
              <w:spacing w:after="0"/>
              <w:rPr>
                <w:sz w:val="20"/>
                <w:szCs w:val="20"/>
                <w:color w:val="auto"/>
              </w:rPr>
            </w:pPr>
            <w:r>
              <w:rPr>
                <w:rFonts w:ascii="Arial" w:cs="Arial" w:eastAsia="Arial" w:hAnsi="Arial"/>
                <w:sz w:val="14"/>
                <w:szCs w:val="14"/>
                <w:color w:val="auto"/>
              </w:rPr>
              <w:t>P10</w:t>
            </w:r>
          </w:p>
        </w:tc>
        <w:tc>
          <w:tcPr>
            <w:tcW w:w="2180" w:type="dxa"/>
            <w:vAlign w:val="bottom"/>
          </w:tcPr>
          <w:p>
            <w:pPr>
              <w:ind w:left="120"/>
              <w:spacing w:after="0"/>
              <w:rPr>
                <w:sz w:val="20"/>
                <w:szCs w:val="20"/>
                <w:color w:val="auto"/>
              </w:rPr>
            </w:pPr>
            <w:r>
              <w:rPr>
                <w:rFonts w:ascii="Arial" w:cs="Arial" w:eastAsia="Arial" w:hAnsi="Arial"/>
                <w:sz w:val="14"/>
                <w:szCs w:val="14"/>
                <w:color w:val="auto"/>
              </w:rPr>
              <w:t>Non-Invasive Prenatal Testing at</w:t>
            </w:r>
          </w:p>
        </w:tc>
        <w:tc>
          <w:tcPr>
            <w:tcW w:w="3820" w:type="dxa"/>
            <w:vAlign w:val="bottom"/>
          </w:tcPr>
          <w:p>
            <w:pPr>
              <w:ind w:left="80"/>
              <w:spacing w:after="0"/>
              <w:rPr>
                <w:sz w:val="20"/>
                <w:szCs w:val="20"/>
                <w:color w:val="auto"/>
              </w:rPr>
            </w:pPr>
            <w:r>
              <w:rPr>
                <w:rFonts w:ascii="Arial" w:cs="Arial" w:eastAsia="Arial" w:hAnsi="Arial"/>
                <w:sz w:val="14"/>
                <w:szCs w:val="14"/>
                <w:color w:val="auto"/>
              </w:rPr>
              <w:t>A highly accurate non-invasive prenatal testing</w:t>
            </w:r>
          </w:p>
        </w:tc>
        <w:tc>
          <w:tcPr>
            <w:tcW w:w="1140" w:type="dxa"/>
            <w:vAlign w:val="bottom"/>
          </w:tcPr>
          <w:p>
            <w:pPr>
              <w:ind w:left="80"/>
              <w:spacing w:after="0"/>
              <w:rPr>
                <w:sz w:val="20"/>
                <w:szCs w:val="20"/>
                <w:color w:val="auto"/>
              </w:rPr>
            </w:pPr>
            <w:r>
              <w:rPr>
                <w:rFonts w:ascii="Arial" w:cs="Arial" w:eastAsia="Arial" w:hAnsi="Arial"/>
                <w:sz w:val="14"/>
                <w:szCs w:val="14"/>
                <w:color w:val="auto"/>
              </w:rPr>
              <w:t>11,946,104</w:t>
            </w:r>
          </w:p>
        </w:tc>
        <w:tc>
          <w:tcPr>
            <w:tcW w:w="1240" w:type="dxa"/>
            <w:vAlign w:val="bottom"/>
          </w:tcPr>
          <w:p>
            <w:pPr>
              <w:ind w:left="300"/>
              <w:spacing w:after="0"/>
              <w:rPr>
                <w:sz w:val="20"/>
                <w:szCs w:val="20"/>
                <w:color w:val="auto"/>
              </w:rPr>
            </w:pPr>
            <w:r>
              <w:rPr>
                <w:rFonts w:ascii="Arial" w:cs="Arial" w:eastAsia="Arial" w:hAnsi="Arial"/>
                <w:sz w:val="14"/>
                <w:szCs w:val="14"/>
                <w:color w:val="auto"/>
              </w:rPr>
              <w:t>7-7-2040</w:t>
            </w:r>
          </w:p>
        </w:tc>
        <w:tc>
          <w:tcPr>
            <w:tcW w:w="2240" w:type="dxa"/>
            <w:vAlign w:val="bottom"/>
          </w:tcPr>
          <w:p>
            <w:pPr>
              <w:ind w:left="320"/>
              <w:spacing w:after="0"/>
              <w:rPr>
                <w:sz w:val="20"/>
                <w:szCs w:val="20"/>
                <w:color w:val="auto"/>
              </w:rPr>
            </w:pPr>
            <w:r>
              <w:rPr>
                <w:rFonts w:ascii="Arial" w:cs="Arial" w:eastAsia="Arial" w:hAnsi="Arial"/>
                <w:sz w:val="14"/>
                <w:szCs w:val="14"/>
                <w:color w:val="auto"/>
              </w:rPr>
              <w:t>Pending: CA, EU</w:t>
            </w:r>
          </w:p>
        </w:tc>
      </w:tr>
      <w:tr>
        <w:trPr>
          <w:trHeight w:val="157"/>
        </w:trPr>
        <w:tc>
          <w:tcPr>
            <w:tcW w:w="680" w:type="dxa"/>
            <w:vAlign w:val="bottom"/>
          </w:tcPr>
          <w:p>
            <w:pPr>
              <w:spacing w:after="0"/>
              <w:rPr>
                <w:sz w:val="13"/>
                <w:szCs w:val="13"/>
                <w:color w:val="auto"/>
              </w:rPr>
            </w:pPr>
          </w:p>
        </w:tc>
        <w:tc>
          <w:tcPr>
            <w:tcW w:w="2180" w:type="dxa"/>
            <w:vAlign w:val="bottom"/>
          </w:tcPr>
          <w:p>
            <w:pPr>
              <w:ind w:left="120"/>
              <w:spacing w:after="0" w:line="157" w:lineRule="exact"/>
              <w:rPr>
                <w:sz w:val="20"/>
                <w:szCs w:val="20"/>
                <w:color w:val="auto"/>
              </w:rPr>
            </w:pPr>
            <w:r>
              <w:rPr>
                <w:rFonts w:ascii="Arial" w:cs="Arial" w:eastAsia="Arial" w:hAnsi="Arial"/>
                <w:sz w:val="14"/>
                <w:szCs w:val="14"/>
                <w:color w:val="auto"/>
              </w:rPr>
              <w:t>Early Stage of Pregnancy</w:t>
            </w: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methodology that allows accurate fetal rhesus</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determination and fetal DNA fraction measurement in a</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single assay is provided. The disclosed testing may be</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administered as early as at week 10 of pregnancy and can</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be conveniently combined with prenatal genetic disease</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85"/>
        </w:trPr>
        <w:tc>
          <w:tcPr>
            <w:tcW w:w="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rPr>
              <w:t>testing and detection.</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BZ = Brazil</w:t>
            </w:r>
          </w:p>
        </w:tc>
        <w:tc>
          <w:tcPr>
            <w:tcW w:w="2120" w:type="dxa"/>
            <w:vAlign w:val="bottom"/>
            <w:tcBorders>
              <w:top w:val="single" w:sz="8" w:color="auto"/>
            </w:tcBorders>
          </w:tcPr>
          <w:p>
            <w:pPr>
              <w:ind w:left="400"/>
              <w:spacing w:after="0" w:line="153" w:lineRule="exact"/>
              <w:rPr>
                <w:sz w:val="20"/>
                <w:szCs w:val="20"/>
                <w:color w:val="auto"/>
              </w:rPr>
            </w:pPr>
            <w:r>
              <w:rPr>
                <w:rFonts w:ascii="Arial" w:cs="Arial" w:eastAsia="Arial" w:hAnsi="Arial"/>
                <w:sz w:val="14"/>
                <w:szCs w:val="14"/>
                <w:color w:val="auto"/>
              </w:rPr>
              <w:t>CN = China</w:t>
            </w:r>
          </w:p>
        </w:tc>
        <w:tc>
          <w:tcPr>
            <w:tcW w:w="1940" w:type="dxa"/>
            <w:vAlign w:val="bottom"/>
            <w:tcBorders>
              <w:top w:val="single" w:sz="8" w:color="auto"/>
            </w:tcBorders>
          </w:tcPr>
          <w:p>
            <w:pPr>
              <w:ind w:left="340"/>
              <w:spacing w:after="0" w:line="153" w:lineRule="exact"/>
              <w:rPr>
                <w:sz w:val="20"/>
                <w:szCs w:val="20"/>
                <w:color w:val="auto"/>
              </w:rPr>
            </w:pPr>
            <w:r>
              <w:rPr>
                <w:rFonts w:ascii="Arial" w:cs="Arial" w:eastAsia="Arial" w:hAnsi="Arial"/>
                <w:sz w:val="14"/>
                <w:szCs w:val="14"/>
                <w:color w:val="auto"/>
              </w:rPr>
              <w:t>IR = Ireland</w:t>
            </w:r>
          </w:p>
        </w:tc>
        <w:tc>
          <w:tcPr>
            <w:tcW w:w="5740" w:type="dxa"/>
            <w:vAlign w:val="bottom"/>
            <w:tcBorders>
              <w:top w:val="single" w:sz="8" w:color="auto"/>
            </w:tcBorders>
          </w:tcPr>
          <w:p>
            <w:pPr>
              <w:ind w:left="440"/>
              <w:spacing w:after="0" w:line="153" w:lineRule="exact"/>
              <w:rPr>
                <w:sz w:val="20"/>
                <w:szCs w:val="20"/>
                <w:color w:val="auto"/>
              </w:rPr>
            </w:pPr>
            <w:r>
              <w:rPr>
                <w:rFonts w:ascii="Arial" w:cs="Arial" w:eastAsia="Arial" w:hAnsi="Arial"/>
                <w:sz w:val="14"/>
                <w:szCs w:val="14"/>
                <w:color w:val="auto"/>
              </w:rPr>
              <w:t>PT = Portugal</w:t>
            </w: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CA = Canada</w:t>
            </w:r>
          </w:p>
        </w:tc>
        <w:tc>
          <w:tcPr>
            <w:tcW w:w="2120" w:type="dxa"/>
            <w:vAlign w:val="bottom"/>
          </w:tcPr>
          <w:p>
            <w:pPr>
              <w:ind w:left="400"/>
              <w:spacing w:after="0" w:line="157" w:lineRule="exact"/>
              <w:rPr>
                <w:sz w:val="20"/>
                <w:szCs w:val="20"/>
                <w:color w:val="auto"/>
              </w:rPr>
            </w:pPr>
            <w:r>
              <w:rPr>
                <w:rFonts w:ascii="Arial" w:cs="Arial" w:eastAsia="Arial" w:hAnsi="Arial"/>
                <w:sz w:val="14"/>
                <w:szCs w:val="14"/>
                <w:color w:val="auto"/>
              </w:rPr>
              <w:t>CY = Cyprus</w:t>
            </w:r>
          </w:p>
        </w:tc>
        <w:tc>
          <w:tcPr>
            <w:tcW w:w="1940" w:type="dxa"/>
            <w:vAlign w:val="bottom"/>
          </w:tcPr>
          <w:p>
            <w:pPr>
              <w:ind w:left="340"/>
              <w:spacing w:after="0" w:line="157" w:lineRule="exact"/>
              <w:rPr>
                <w:sz w:val="20"/>
                <w:szCs w:val="20"/>
                <w:color w:val="auto"/>
              </w:rPr>
            </w:pPr>
            <w:r>
              <w:rPr>
                <w:rFonts w:ascii="Arial" w:cs="Arial" w:eastAsia="Arial" w:hAnsi="Arial"/>
                <w:sz w:val="14"/>
                <w:szCs w:val="14"/>
                <w:color w:val="auto"/>
              </w:rPr>
              <w:t>IT = Italy</w:t>
            </w:r>
          </w:p>
        </w:tc>
        <w:tc>
          <w:tcPr>
            <w:tcW w:w="5740" w:type="dxa"/>
            <w:vAlign w:val="bottom"/>
          </w:tcPr>
          <w:p>
            <w:pPr>
              <w:ind w:left="440"/>
              <w:spacing w:after="0" w:line="157" w:lineRule="exact"/>
              <w:rPr>
                <w:sz w:val="20"/>
                <w:szCs w:val="20"/>
                <w:color w:val="auto"/>
              </w:rPr>
            </w:pPr>
            <w:r>
              <w:rPr>
                <w:rFonts w:ascii="Arial" w:cs="Arial" w:eastAsia="Arial" w:hAnsi="Arial"/>
                <w:sz w:val="14"/>
                <w:szCs w:val="14"/>
                <w:color w:val="auto"/>
              </w:rPr>
              <w:t>SE = Sweden</w:t>
            </w: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CH = Switzerland</w:t>
            </w:r>
          </w:p>
        </w:tc>
        <w:tc>
          <w:tcPr>
            <w:tcW w:w="2120" w:type="dxa"/>
            <w:vAlign w:val="bottom"/>
          </w:tcPr>
          <w:p>
            <w:pPr>
              <w:ind w:left="400"/>
              <w:spacing w:after="0" w:line="157" w:lineRule="exact"/>
              <w:rPr>
                <w:sz w:val="20"/>
                <w:szCs w:val="20"/>
                <w:color w:val="auto"/>
              </w:rPr>
            </w:pPr>
            <w:r>
              <w:rPr>
                <w:rFonts w:ascii="Arial" w:cs="Arial" w:eastAsia="Arial" w:hAnsi="Arial"/>
                <w:sz w:val="14"/>
                <w:szCs w:val="14"/>
                <w:color w:val="auto"/>
              </w:rPr>
              <w:t>DE = Germany</w:t>
            </w:r>
          </w:p>
        </w:tc>
        <w:tc>
          <w:tcPr>
            <w:tcW w:w="1940" w:type="dxa"/>
            <w:vAlign w:val="bottom"/>
          </w:tcPr>
          <w:p>
            <w:pPr>
              <w:ind w:left="340"/>
              <w:spacing w:after="0" w:line="157" w:lineRule="exact"/>
              <w:rPr>
                <w:sz w:val="20"/>
                <w:szCs w:val="20"/>
                <w:color w:val="auto"/>
              </w:rPr>
            </w:pPr>
            <w:r>
              <w:rPr>
                <w:rFonts w:ascii="Arial" w:cs="Arial" w:eastAsia="Arial" w:hAnsi="Arial"/>
                <w:sz w:val="14"/>
                <w:szCs w:val="14"/>
                <w:color w:val="auto"/>
              </w:rPr>
              <w:t>LE = Liechtenstein</w:t>
            </w:r>
          </w:p>
        </w:tc>
        <w:tc>
          <w:tcPr>
            <w:tcW w:w="5740" w:type="dxa"/>
            <w:vAlign w:val="bottom"/>
          </w:tcPr>
          <w:p>
            <w:pPr>
              <w:ind w:left="440"/>
              <w:spacing w:after="0" w:line="157" w:lineRule="exact"/>
              <w:rPr>
                <w:sz w:val="20"/>
                <w:szCs w:val="20"/>
                <w:color w:val="auto"/>
              </w:rPr>
            </w:pPr>
            <w:r>
              <w:rPr>
                <w:rFonts w:ascii="Arial" w:cs="Arial" w:eastAsia="Arial" w:hAnsi="Arial"/>
                <w:sz w:val="14"/>
                <w:szCs w:val="14"/>
                <w:color w:val="auto"/>
              </w:rPr>
              <w:t>SG = Singapore</w:t>
            </w: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DN = Denmark</w:t>
            </w:r>
          </w:p>
        </w:tc>
        <w:tc>
          <w:tcPr>
            <w:tcW w:w="2120" w:type="dxa"/>
            <w:vAlign w:val="bottom"/>
          </w:tcPr>
          <w:p>
            <w:pPr>
              <w:ind w:left="400"/>
              <w:spacing w:after="0" w:line="157" w:lineRule="exact"/>
              <w:rPr>
                <w:sz w:val="20"/>
                <w:szCs w:val="20"/>
                <w:color w:val="auto"/>
              </w:rPr>
            </w:pPr>
            <w:r>
              <w:rPr>
                <w:rFonts w:ascii="Arial" w:cs="Arial" w:eastAsia="Arial" w:hAnsi="Arial"/>
                <w:sz w:val="14"/>
                <w:szCs w:val="14"/>
                <w:color w:val="auto"/>
              </w:rPr>
              <w:t>EU = European Union</w:t>
            </w:r>
          </w:p>
        </w:tc>
        <w:tc>
          <w:tcPr>
            <w:tcW w:w="1940" w:type="dxa"/>
            <w:vAlign w:val="bottom"/>
          </w:tcPr>
          <w:p>
            <w:pPr>
              <w:ind w:left="340"/>
              <w:spacing w:after="0" w:line="157" w:lineRule="exact"/>
              <w:rPr>
                <w:sz w:val="20"/>
                <w:szCs w:val="20"/>
                <w:color w:val="auto"/>
              </w:rPr>
            </w:pPr>
            <w:r>
              <w:rPr>
                <w:rFonts w:ascii="Arial" w:cs="Arial" w:eastAsia="Arial" w:hAnsi="Arial"/>
                <w:sz w:val="14"/>
                <w:szCs w:val="14"/>
                <w:color w:val="auto"/>
              </w:rPr>
              <w:t>NL = Netherlands</w:t>
            </w:r>
          </w:p>
        </w:tc>
        <w:tc>
          <w:tcPr>
            <w:tcW w:w="5740" w:type="dxa"/>
            <w:vAlign w:val="bottom"/>
          </w:tcPr>
          <w:p>
            <w:pPr>
              <w:ind w:left="440"/>
              <w:spacing w:after="0" w:line="157" w:lineRule="exact"/>
              <w:rPr>
                <w:sz w:val="20"/>
                <w:szCs w:val="20"/>
                <w:color w:val="auto"/>
              </w:rPr>
            </w:pPr>
            <w:r>
              <w:rPr>
                <w:rFonts w:ascii="Arial" w:cs="Arial" w:eastAsia="Arial" w:hAnsi="Arial"/>
                <w:sz w:val="14"/>
                <w:szCs w:val="14"/>
                <w:color w:val="auto"/>
              </w:rPr>
              <w:t>UK = United Kingdom</w:t>
            </w: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FR = France</w:t>
            </w:r>
          </w:p>
        </w:tc>
        <w:tc>
          <w:tcPr>
            <w:tcW w:w="2120" w:type="dxa"/>
            <w:vAlign w:val="bottom"/>
          </w:tcPr>
          <w:p>
            <w:pPr>
              <w:ind w:left="400"/>
              <w:spacing w:after="0" w:line="157" w:lineRule="exact"/>
              <w:rPr>
                <w:sz w:val="20"/>
                <w:szCs w:val="20"/>
                <w:color w:val="auto"/>
              </w:rPr>
            </w:pPr>
            <w:r>
              <w:rPr>
                <w:rFonts w:ascii="Arial" w:cs="Arial" w:eastAsia="Arial" w:hAnsi="Arial"/>
                <w:sz w:val="14"/>
                <w:szCs w:val="14"/>
                <w:color w:val="auto"/>
              </w:rPr>
              <w:t>FN = Finland</w:t>
            </w:r>
          </w:p>
        </w:tc>
        <w:tc>
          <w:tcPr>
            <w:tcW w:w="1940" w:type="dxa"/>
            <w:vAlign w:val="bottom"/>
          </w:tcPr>
          <w:p>
            <w:pPr>
              <w:ind w:left="340"/>
              <w:spacing w:after="0" w:line="157" w:lineRule="exact"/>
              <w:rPr>
                <w:sz w:val="20"/>
                <w:szCs w:val="20"/>
                <w:color w:val="auto"/>
              </w:rPr>
            </w:pPr>
            <w:r>
              <w:rPr>
                <w:rFonts w:ascii="Arial" w:cs="Arial" w:eastAsia="Arial" w:hAnsi="Arial"/>
                <w:sz w:val="14"/>
                <w:szCs w:val="14"/>
                <w:color w:val="auto"/>
              </w:rPr>
              <w:t>NO = Norway</w:t>
            </w:r>
          </w:p>
        </w:tc>
        <w:tc>
          <w:tcPr>
            <w:tcW w:w="5740" w:type="dxa"/>
            <w:vAlign w:val="bottom"/>
          </w:tcPr>
          <w:p>
            <w:pPr>
              <w:ind w:left="440"/>
              <w:spacing w:after="0" w:line="157" w:lineRule="exact"/>
              <w:rPr>
                <w:sz w:val="20"/>
                <w:szCs w:val="20"/>
                <w:color w:val="auto"/>
              </w:rPr>
            </w:pPr>
            <w:r>
              <w:rPr>
                <w:rFonts w:ascii="Arial" w:cs="Arial" w:eastAsia="Arial" w:hAnsi="Arial"/>
                <w:sz w:val="14"/>
                <w:szCs w:val="14"/>
                <w:color w:val="auto"/>
              </w:rPr>
              <w:t>PCT = Patent</w:t>
            </w: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IL = Isreal</w:t>
            </w:r>
          </w:p>
        </w:tc>
        <w:tc>
          <w:tcPr>
            <w:tcW w:w="2120" w:type="dxa"/>
            <w:vAlign w:val="bottom"/>
          </w:tcPr>
          <w:p>
            <w:pPr>
              <w:ind w:left="400"/>
              <w:spacing w:after="0" w:line="157" w:lineRule="exact"/>
              <w:rPr>
                <w:sz w:val="20"/>
                <w:szCs w:val="20"/>
                <w:color w:val="auto"/>
              </w:rPr>
            </w:pPr>
            <w:r>
              <w:rPr>
                <w:rFonts w:ascii="Arial" w:cs="Arial" w:eastAsia="Arial" w:hAnsi="Arial"/>
                <w:sz w:val="14"/>
                <w:szCs w:val="14"/>
                <w:color w:val="auto"/>
              </w:rPr>
              <w:t>HK = Hong Kong</w:t>
            </w:r>
          </w:p>
        </w:tc>
        <w:tc>
          <w:tcPr>
            <w:tcW w:w="1940" w:type="dxa"/>
            <w:vAlign w:val="bottom"/>
          </w:tcPr>
          <w:p>
            <w:pPr>
              <w:spacing w:after="0"/>
              <w:rPr>
                <w:sz w:val="13"/>
                <w:szCs w:val="13"/>
                <w:color w:val="auto"/>
              </w:rPr>
            </w:pPr>
          </w:p>
        </w:tc>
        <w:tc>
          <w:tcPr>
            <w:tcW w:w="5740" w:type="dxa"/>
            <w:vAlign w:val="bottom"/>
          </w:tcPr>
          <w:p>
            <w:pPr>
              <w:ind w:left="440"/>
              <w:spacing w:after="0" w:line="157" w:lineRule="exact"/>
              <w:rPr>
                <w:sz w:val="20"/>
                <w:szCs w:val="20"/>
                <w:color w:val="auto"/>
              </w:rPr>
            </w:pPr>
            <w:r>
              <w:rPr>
                <w:rFonts w:ascii="Arial" w:cs="Arial" w:eastAsia="Arial" w:hAnsi="Arial"/>
                <w:sz w:val="14"/>
                <w:szCs w:val="14"/>
                <w:color w:val="auto"/>
              </w:rPr>
              <w:t>Cooperation Treaty</w:t>
            </w:r>
          </w:p>
        </w:tc>
      </w:tr>
      <w:tr>
        <w:trPr>
          <w:trHeight w:val="185"/>
        </w:trPr>
        <w:tc>
          <w:tcPr>
            <w:tcW w:w="1500" w:type="dxa"/>
            <w:vAlign w:val="bottom"/>
          </w:tcPr>
          <w:p>
            <w:pPr>
              <w:spacing w:after="0"/>
              <w:rPr>
                <w:sz w:val="16"/>
                <w:szCs w:val="16"/>
                <w:color w:val="auto"/>
              </w:rPr>
            </w:pPr>
          </w:p>
        </w:tc>
        <w:tc>
          <w:tcPr>
            <w:tcW w:w="2120" w:type="dxa"/>
            <w:vAlign w:val="bottom"/>
          </w:tcPr>
          <w:p>
            <w:pPr>
              <w:ind w:left="400"/>
              <w:spacing w:after="0"/>
              <w:rPr>
                <w:sz w:val="20"/>
                <w:szCs w:val="20"/>
                <w:color w:val="auto"/>
              </w:rPr>
            </w:pPr>
            <w:r>
              <w:rPr>
                <w:rFonts w:ascii="Arial" w:cs="Arial" w:eastAsia="Arial" w:hAnsi="Arial"/>
                <w:sz w:val="14"/>
                <w:szCs w:val="14"/>
                <w:color w:val="auto"/>
              </w:rPr>
              <w:t>IN = India</w:t>
            </w:r>
          </w:p>
        </w:tc>
        <w:tc>
          <w:tcPr>
            <w:tcW w:w="1940" w:type="dxa"/>
            <w:vAlign w:val="bottom"/>
          </w:tcPr>
          <w:p>
            <w:pPr>
              <w:spacing w:after="0"/>
              <w:rPr>
                <w:sz w:val="16"/>
                <w:szCs w:val="16"/>
                <w:color w:val="auto"/>
              </w:rPr>
            </w:pPr>
          </w:p>
        </w:tc>
        <w:tc>
          <w:tcPr>
            <w:tcW w:w="5740" w:type="dxa"/>
            <w:vAlign w:val="bottom"/>
          </w:tcPr>
          <w:p>
            <w:pPr>
              <w:spacing w:after="0"/>
              <w:rPr>
                <w:sz w:val="16"/>
                <w:szCs w:val="16"/>
                <w:color w:val="auto"/>
              </w:rPr>
            </w:pPr>
          </w:p>
        </w:tc>
      </w:tr>
    </w:tbl>
    <w:p>
      <w:pPr>
        <w:spacing w:after="0" w:line="88"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To date, we have not been engaged in patent infringement lawsuits or any other material intellectual property disputes. However, we may in the future become subject to or initiate intellectual property litigation. Moreover, our ability to compete effectively depends to a large extent on our ability to develop proprietary products and technologies and to maintain adequate protection of our intellectual property in the United States and other countries. We pursue intellectual property protection to the extent we believe it would advance our business objectives. Notwithstanding these efforts, there can be no assurance that we will adequately protect our</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300"/>
          </w:cols>
          <w:pgMar w:left="300" w:top="385" w:right="2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intellectual property or provide any competitive advantage. For more information regarding risks relating to intellectual property, see the section titled “Risk factors–Risks related to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146685</wp:posOffset>
            </wp:positionV>
            <wp:extent cx="4030980" cy="646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spacing w:after="0" w:line="252" w:lineRule="auto"/>
        <w:rPr>
          <w:sz w:val="20"/>
          <w:szCs w:val="20"/>
          <w:color w:val="auto"/>
        </w:rPr>
      </w:pPr>
      <w:r>
        <w:rPr>
          <w:rFonts w:ascii="Arial" w:cs="Arial" w:eastAsia="Arial" w:hAnsi="Arial"/>
          <w:sz w:val="14"/>
          <w:szCs w:val="14"/>
          <w:color w:val="auto"/>
        </w:rPr>
        <w:t>Reimbursement is a critical component of our business strategy and financial success. We approach reimbursement through a comprehensive framework addressing coding, coverage, and contracting to maximize access to our tests and optimize ASP. More than 90% of our revenue stems from reimbursement of our prenatal and oncology tests in the United States, making our payor strategy central to our financial performance.</w:t>
      </w:r>
    </w:p>
    <w:p>
      <w:pPr>
        <w:spacing w:after="0" w:line="8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While the vast majority of the carrier and aneuploidy tests we offer are covered under existing policies, we initially operated primarily out-of-network with commercial third-party payors, resulting in lower payments and higher denials, creating challenges in terms of revenue growth and generating headwinds for provider adoption. It is a testament to the uniqueness of our products that we have achieved substantial growth despite initially having limited in-network status. Today, we have dramatically expanded our in-network coverage to include 225 million covered lives as of December 31, 2024. We anticipate our covered lives will continue to increase over time, which we expect will drive progressively higher ASPs.</w:t>
      </w:r>
    </w:p>
    <w:p>
      <w:pPr>
        <w:spacing w:after="0" w:line="77"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Our reimbursement strategy aligns with the demonstrated clinical utility and cost-effectiveness of our tests, as well as with value-based care trends. We have validated the clinical utility of our tests through peer-reviewed publications and real-world data.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sources and status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We receive reimbursement from several distinct sources:</w:t>
      </w:r>
    </w:p>
    <w:p>
      <w:pPr>
        <w:spacing w:after="0" w:line="112" w:lineRule="exact"/>
        <w:rPr>
          <w:sz w:val="20"/>
          <w:szCs w:val="20"/>
          <w:color w:val="auto"/>
        </w:rPr>
      </w:pPr>
    </w:p>
    <w:p>
      <w:pPr>
        <w:ind w:left="220" w:hanging="216"/>
        <w:spacing w:after="0"/>
        <w:tabs>
          <w:tab w:leader="none" w:pos="2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Commercial third-party payors, including insurance companies and health maintenance organizations;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Government payors, state Medicaid programs, and Medicare;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Employee benefits health plans;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Individual patients, who represent a small amount of our revenue.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third-party payors</w:t>
      </w:r>
    </w:p>
    <w:p>
      <w:pPr>
        <w:spacing w:after="0" w:line="99"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We have significantly expanded our in-network status with commercial insurers, including several of the largest national payors. We expect this in-network expansion to continue driving higher ASPs and enhance revenue predictability, due to the contracts establishing agreed-upon rates. Beyond our contracted rate agreements, we submit claims for reimbursement and receive associated payments from commercial insurers on a non-contracted basis as necessary. The amount of reimbursement allowed and collected outside of network contract rates with commercial insurers is subject to greater variability and less predictability.</w:t>
      </w:r>
    </w:p>
    <w:p>
      <w:pPr>
        <w:spacing w:after="0" w:line="85"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In prenatal, our carrier and aneuploidy tests are broadly covered by most major insurance providers, and we have broad reimbursement for tests we provide. Our sgNIPT and fetal antigen NIPT have variable coverage, with certain payors providing reimbursement, creating opportunities for ASP growth as coverage expands. For</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60"/>
          </w:cols>
          <w:pgMar w:left="300" w:top="38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500"/>
        <w:spacing w:after="0" w:line="269" w:lineRule="auto"/>
        <w:rPr>
          <w:sz w:val="20"/>
          <w:szCs w:val="20"/>
          <w:color w:val="auto"/>
        </w:rPr>
      </w:pPr>
      <w:r>
        <w:rPr>
          <w:rFonts w:ascii="Arial" w:cs="Arial" w:eastAsia="Arial" w:hAnsi="Arial"/>
          <w:sz w:val="14"/>
          <w:szCs w:val="14"/>
          <w:color w:val="auto"/>
        </w:rPr>
        <w:t>our oncology products, Northstar Select has gained coverage from several commercial insurers. Northstar Response, while newer to market, is already reimbursed by certain commercial insurers, achieving a level of ASP that already provides positive contribution margins.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Medicare</w:t>
      </w:r>
    </w:p>
    <w:p>
      <w:pPr>
        <w:spacing w:after="0" w:line="11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We have obtained Medicare coverage for both our prenatal and oncology testing services. In April 2025, our Northstar Select test received a positive coverage decision and Z-code through the MolDX program administered by Palmetto GBA.</w:t>
      </w:r>
    </w:p>
    <w:p>
      <w:pPr>
        <w:spacing w:after="0" w:line="59" w:lineRule="exact"/>
        <w:rPr>
          <w:sz w:val="20"/>
          <w:szCs w:val="20"/>
          <w:color w:val="auto"/>
        </w:rPr>
      </w:pPr>
    </w:p>
    <w:p>
      <w:pPr>
        <w:ind w:right="260"/>
        <w:spacing w:after="0" w:line="309" w:lineRule="auto"/>
        <w:rPr>
          <w:sz w:val="20"/>
          <w:szCs w:val="20"/>
          <w:color w:val="auto"/>
        </w:rPr>
      </w:pPr>
      <w:r>
        <w:rPr>
          <w:rFonts w:ascii="Arial" w:cs="Arial" w:eastAsia="Arial" w:hAnsi="Arial"/>
          <w:sz w:val="13"/>
          <w:szCs w:val="13"/>
          <w:color w:val="auto"/>
        </w:rPr>
        <w:t>For our prenatal tests, Medicare provides coverage for patients who meet the Medicare eligibility criteria; however, this represents a very small portion of our prenatal test volume given the demographics of pregnant patients. For our oncology portfolio, Medicare coverage is crucial given the higher prevalence of cancer in the Medicare-eligible population.</w:t>
      </w:r>
    </w:p>
    <w:p>
      <w:pPr>
        <w:spacing w:after="0" w:line="45"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color w:val="auto"/>
        </w:rPr>
        <w:t>We continue to advance our evidence development strategy for Northstar Response, which requires additional clinical validity and utility data for Medicare coverage. Our flagship “NORTH” study, along with other ongoing clinical studies, is designed to generate the evidence necessary for Medicare coverage, initially focusing on immunotherapy and immunotherapy-combination therapy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Medicaid</w:t>
      </w:r>
    </w:p>
    <w:p>
      <w:pPr>
        <w:spacing w:after="0" w:line="110"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have enrolled in over 40 state Medicaid programs across the United States. These enrollments are critical for our prenatal test ASPs. We plan to expand our Medicaid participation as our geographical footprint continues to grow, ensuring access to our tests for underserved populations. While Medicaid broadly covers carrier and aneuploidy tests, reimbursement rates vary significantly across state Medicaid programs. Moreover, various managed Medicaid payors may not have any out-of-network benefits, resulting in non-payments until they agree to contract with our laboratory, creating variability in our reimbursement from this payor segment.</w:t>
      </w:r>
      <w:r>
        <w:rPr>
          <w:rFonts w:ascii="Arial" w:cs="Arial" w:eastAsia="Arial" w:hAnsi="Arial"/>
          <w:sz w:val="20"/>
          <w:szCs w:val="20"/>
          <w:color w:val="auto"/>
          <w:vertAlign w:val="superscript"/>
        </w:rPr>
        <w:t>71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Billing and claims processing</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Laboratory tests are classified for reimbursement purposes under a coding system known as Current Procedure Terminology (CPT), which we and our customers must use to bill and receive reimbursement for our diagnostic tests. Once the American Medical Association (AMA) establishes a CPT code, the Centers for Medicare &amp; Medicaid Services (CMS) establishes payment levels and coverage rules under Medicare, while state Medicaid programs and commercial health plans establish rates and coverage rules independently in accordance with applicable rules. A Proprietary Laboratory Analyses (PLA) code is part of the CPT code set and may be assigned to tests that are not covered by standard CPT codes.</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utilize a combination of established CPT codes and recently obtained PLA codes for billing and reimbursement of our tests. We use established CPT codes for certain tests, including our aneuploidy NIPT which CMS has a pricing rate of $759 per test. For other proprietary tests, we use PLA codes, including our carrier panel which CMS has a pricing rate of approximately $1,825 per test. We have also obtained PLA codes for our Northstar Select and Northstar Response tests, which CMS has pricing rates of approximately $2,920 per test and $ 1,644 per test, respectively. The transition from miscellaneous codes to specific PLA codes has enhanced our reimbursement clarity and is expected to continue to improve our ASPs as these codes are increasingly recognized by commercial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78613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6130" cy="6350"/>
                    </a:xfrm>
                    <a:prstGeom prst="rect">
                      <a:avLst/>
                    </a:prstGeom>
                    <a:noFill/>
                  </pic:spPr>
                </pic:pic>
              </a:graphicData>
            </a:graphic>
          </wp:anchor>
        </w:drawing>
      </w:r>
    </w:p>
    <w:p>
      <w:pPr>
        <w:spacing w:after="0" w:line="113" w:lineRule="exact"/>
        <w:rPr>
          <w:sz w:val="20"/>
          <w:szCs w:val="20"/>
          <w:color w:val="auto"/>
        </w:rPr>
      </w:pPr>
    </w:p>
    <w:p>
      <w:pPr>
        <w:ind w:left="320" w:right="420" w:hanging="316"/>
        <w:spacing w:after="0" w:line="202" w:lineRule="auto"/>
        <w:tabs>
          <w:tab w:leader="none" w:pos="320" w:val="left"/>
        </w:tabs>
        <w:numPr>
          <w:ilvl w:val="0"/>
          <w:numId w:val="111"/>
        </w:numPr>
        <w:rPr>
          <w:rFonts w:ascii="Arial" w:cs="Arial" w:eastAsia="Arial" w:hAnsi="Arial"/>
          <w:sz w:val="16"/>
          <w:szCs w:val="16"/>
          <w:color w:val="auto"/>
          <w:vertAlign w:val="superscript"/>
        </w:rPr>
      </w:pPr>
      <w:r>
        <w:rPr>
          <w:rFonts w:ascii="Arial" w:cs="Arial" w:eastAsia="Arial" w:hAnsi="Arial"/>
          <w:sz w:val="10"/>
          <w:szCs w:val="10"/>
          <w:color w:val="auto"/>
        </w:rPr>
        <w:t>In addition, our carrier screen test is not covered by Alabama, Michigan, or Nevada, and our aneuploidy test is not covered by Nebraska, Nevada or Utah. State Medicaid coverage for our RhD and fetal antigen tests is currently uncommon. Our oncology test are covered at the federal level by Medicare. Medicaid coverage for our oncology tests is less relevant, as the vast majority of cancer patients do not have Medicaid coverage.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20"/>
          </w:cols>
          <w:pgMar w:left="300" w:top="385" w:right="3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Despite favorable coding and high coverage rates for many of our tests, we face reimbursement challenges in certain scenarios. For example, for out-of-network claims with Managed Medicaid plans, we may receive no reimbursement. Even for commercial insurances with out-of-network benefits, the percentage of allowed amounts that are paid may be a small fraction of the CMS rate. Challenges related to reimbursements are more fully discussed in the section titled “Risk factors—Risks related to our reimbursements” included elsewhere in this prospectus.</w:t>
      </w:r>
    </w:p>
    <w:p>
      <w:pPr>
        <w:spacing w:after="0" w:line="74" w:lineRule="exact"/>
        <w:rPr>
          <w:sz w:val="20"/>
          <w:szCs w:val="20"/>
          <w:color w:val="auto"/>
        </w:rPr>
      </w:pPr>
    </w:p>
    <w:p>
      <w:pPr>
        <w:jc w:val="both"/>
        <w:ind w:right="440"/>
        <w:spacing w:after="0" w:line="246" w:lineRule="auto"/>
        <w:rPr>
          <w:sz w:val="20"/>
          <w:szCs w:val="20"/>
          <w:color w:val="auto"/>
        </w:rPr>
      </w:pPr>
      <w:r>
        <w:rPr>
          <w:rFonts w:ascii="Arial" w:cs="Arial" w:eastAsia="Arial" w:hAnsi="Arial"/>
          <w:sz w:val="14"/>
          <w:szCs w:val="14"/>
          <w:color w:val="auto"/>
        </w:rPr>
        <w:t>As a result of these challenges and rates negotiated with contracted payors, our Overall ASP is lower than the reimbursement amounts suggested by the codes. We maintain a systematic approach to appeals for denied claims, with variable success rates depending on the payor and reason for denial. Our appeals process is supported by our internal reimbursement team, who analyze denial patterns and optimize appeal strategies accordingly. Moreover, as our test volume increases, we believe this will improve our ability to secure network contracts with more commercial insurers, which should decrease claim denials and increase ASPs.</w:t>
      </w:r>
    </w:p>
    <w:p>
      <w:pPr>
        <w:spacing w:after="0" w:line="85" w:lineRule="exact"/>
        <w:rPr>
          <w:sz w:val="20"/>
          <w:szCs w:val="20"/>
          <w:color w:val="auto"/>
        </w:rPr>
      </w:pPr>
    </w:p>
    <w:p>
      <w:pPr>
        <w:ind w:right="480"/>
        <w:spacing w:after="0" w:line="269" w:lineRule="auto"/>
        <w:rPr>
          <w:sz w:val="20"/>
          <w:szCs w:val="20"/>
          <w:color w:val="auto"/>
        </w:rPr>
      </w:pPr>
      <w:r>
        <w:rPr>
          <w:rFonts w:ascii="Arial" w:cs="Arial" w:eastAsia="Arial" w:hAnsi="Arial"/>
          <w:sz w:val="14"/>
          <w:szCs w:val="14"/>
          <w:color w:val="auto"/>
        </w:rPr>
        <w:t>In addition, we have built a robust revenue cycle management infrastructure to optimize reimbursement for our tests, which includes internal and external resources, as well as AI-based automation for processing payor communications and streamlining claims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Patient access and financial assistance</w:t>
      </w:r>
    </w:p>
    <w:p>
      <w:pPr>
        <w:spacing w:after="0" w:line="11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provide comprehensive patient support services, including pre-authorization support where required by payors, patient-focused education about potential financial responsibilities and personalized financial assistance for patients who indicate an inability to afford out of pocket charges. We use a combination of robotic process automation and AI for reimbursement, including sorting thousands of pages of correspondence we receive from payors on a daily basis, and submitting reconsiderations or appeals for thousands of claims that are initially denied. Due to various forms of automation, our reimbursement team was able to handle an approximately 50% increase in the claim volume and increase collections by approximately 50% with only an approximately 15% increase in employee headcount during the twelve months ended June 30, 2025.</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Reimbursement expansion strategy</w:t>
      </w:r>
    </w:p>
    <w:p>
      <w:pPr>
        <w:spacing w:after="0" w:line="110"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We are actively generating additional clinical validity and utility evidence to expand coverage of our tests. For our prenatal products, we continue to build evidence demonstrating improved outcomes and cost-effectiveness compared to traditional approaches. In oncology, our NORTH study and other ongoing clinical studies aim to demonstrate the clinical utility of Northstar Response in early therapy response assessment across multiple cancer types and treatment modalities.</w:t>
      </w:r>
    </w:p>
    <w:p>
      <w:pPr>
        <w:spacing w:after="0" w:line="70"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In addition, inclusion in clinical practice guidelines is a key element of our reimbursement strategy. Recent ACOG practice advisory changes have cited our publications in support of new approaches to testing. Additionally, inclusion of our specific tests, such as sgNIPT, or broader adoption of testing categories like 22q11.2 microdeletion screening in ACOG guidelines could significantly increase coverage and ASPs. Moreover, our publication strategy prioritizes studies that address key questions relevant to clinical guideline development.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We continuously pursue strategic initiatives to enhance our reimbursement landscape, including:</w:t>
      </w:r>
    </w:p>
    <w:p>
      <w:pPr>
        <w:spacing w:after="0" w:line="112" w:lineRule="exact"/>
        <w:rPr>
          <w:sz w:val="20"/>
          <w:szCs w:val="20"/>
          <w:color w:val="auto"/>
        </w:rPr>
      </w:pPr>
    </w:p>
    <w:p>
      <w:pPr>
        <w:ind w:left="220" w:right="300" w:hanging="216"/>
        <w:spacing w:after="0" w:line="269" w:lineRule="auto"/>
        <w:tabs>
          <w:tab w:leader="none" w:pos="220" w:val="left"/>
        </w:tabs>
        <w:numPr>
          <w:ilvl w:val="0"/>
          <w:numId w:val="112"/>
        </w:numPr>
        <w:rPr>
          <w:rFonts w:ascii="Arial" w:cs="Arial" w:eastAsia="Arial" w:hAnsi="Arial"/>
          <w:sz w:val="14"/>
          <w:szCs w:val="14"/>
          <w:color w:val="auto"/>
        </w:rPr>
      </w:pPr>
      <w:r>
        <w:rPr>
          <w:rFonts w:ascii="Arial" w:cs="Arial" w:eastAsia="Arial" w:hAnsi="Arial"/>
          <w:sz w:val="14"/>
          <w:szCs w:val="14"/>
          <w:b w:val="1"/>
          <w:bCs w:val="1"/>
          <w:color w:val="auto"/>
        </w:rPr>
        <w:t>Expansion of in-network coverage</w:t>
      </w:r>
      <w:r>
        <w:rPr>
          <w:rFonts w:ascii="Arial" w:cs="Arial" w:eastAsia="Arial" w:hAnsi="Arial"/>
          <w:sz w:val="14"/>
          <w:szCs w:val="14"/>
          <w:color w:val="auto"/>
        </w:rPr>
        <w:t>. As we increase test volumes and publish additional evidence, we expect to secure additional in-network contracts with commercial third-party payors.</w:t>
      </w:r>
    </w:p>
    <w:p>
      <w:pPr>
        <w:spacing w:after="0" w:line="69" w:lineRule="exact"/>
        <w:rPr>
          <w:rFonts w:ascii="Arial" w:cs="Arial" w:eastAsia="Arial" w:hAnsi="Arial"/>
          <w:sz w:val="14"/>
          <w:szCs w:val="14"/>
          <w:color w:val="auto"/>
        </w:rPr>
      </w:pPr>
    </w:p>
    <w:p>
      <w:pPr>
        <w:ind w:left="220" w:hanging="216"/>
        <w:spacing w:after="0" w:line="269" w:lineRule="auto"/>
        <w:tabs>
          <w:tab w:leader="none" w:pos="220" w:val="left"/>
        </w:tabs>
        <w:numPr>
          <w:ilvl w:val="0"/>
          <w:numId w:val="112"/>
        </w:numPr>
        <w:rPr>
          <w:rFonts w:ascii="Arial" w:cs="Arial" w:eastAsia="Arial" w:hAnsi="Arial"/>
          <w:sz w:val="14"/>
          <w:szCs w:val="14"/>
          <w:color w:val="auto"/>
        </w:rPr>
      </w:pPr>
      <w:r>
        <w:rPr>
          <w:rFonts w:ascii="Arial" w:cs="Arial" w:eastAsia="Arial" w:hAnsi="Arial"/>
          <w:sz w:val="14"/>
          <w:szCs w:val="14"/>
          <w:b w:val="1"/>
          <w:bCs w:val="1"/>
          <w:color w:val="auto"/>
        </w:rPr>
        <w:t>Medicare coverage expansion</w:t>
      </w:r>
      <w:r>
        <w:rPr>
          <w:rFonts w:ascii="Arial" w:cs="Arial" w:eastAsia="Arial" w:hAnsi="Arial"/>
          <w:sz w:val="14"/>
          <w:szCs w:val="14"/>
          <w:color w:val="auto"/>
        </w:rPr>
        <w:t>. We are working toward Medicare coverage for Northstar Response, beginning with applications in immunotherapy response monitoring where the</w:t>
      </w:r>
      <w:r>
        <w:rPr>
          <w:rFonts w:ascii="Arial" w:cs="Arial" w:eastAsia="Arial" w:hAnsi="Arial"/>
          <w:sz w:val="14"/>
          <w:szCs w:val="14"/>
          <w:b w:val="1"/>
          <w:bCs w:val="1"/>
          <w:color w:val="auto"/>
        </w:rPr>
        <w:t xml:space="preserve"> </w:t>
      </w:r>
      <w:r>
        <w:rPr>
          <w:rFonts w:ascii="Arial" w:cs="Arial" w:eastAsia="Arial" w:hAnsi="Arial"/>
          <w:sz w:val="14"/>
          <w:szCs w:val="14"/>
          <w:color w:val="auto"/>
        </w:rPr>
        <w:t>clinical utility is most established.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80"/>
          </w:cols>
          <w:pgMar w:left="300" w:top="385"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left="220" w:hanging="216"/>
        <w:spacing w:after="0"/>
        <w:tabs>
          <w:tab w:leader="none" w:pos="220" w:val="left"/>
        </w:tabs>
        <w:numPr>
          <w:ilvl w:val="0"/>
          <w:numId w:val="113"/>
        </w:numPr>
        <w:rPr>
          <w:rFonts w:ascii="Arial" w:cs="Arial" w:eastAsia="Arial" w:hAnsi="Arial"/>
          <w:sz w:val="14"/>
          <w:szCs w:val="14"/>
          <w:color w:val="auto"/>
        </w:rPr>
      </w:pPr>
      <w:r>
        <w:rPr>
          <w:rFonts w:ascii="Arial" w:cs="Arial" w:eastAsia="Arial" w:hAnsi="Arial"/>
          <w:sz w:val="14"/>
          <w:szCs w:val="14"/>
          <w:b w:val="1"/>
          <w:bCs w:val="1"/>
          <w:color w:val="auto"/>
        </w:rPr>
        <w:t>Clinical guideline incorporation</w:t>
      </w:r>
      <w:r>
        <w:rPr>
          <w:rFonts w:ascii="Arial" w:cs="Arial" w:eastAsia="Arial" w:hAnsi="Arial"/>
          <w:sz w:val="14"/>
          <w:szCs w:val="14"/>
          <w:color w:val="auto"/>
        </w:rPr>
        <w:t>. We actively engage with professional societies to support the inclusion of our testing methodologies in clinical practice guidelines.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3"/>
        </w:numPr>
        <w:rPr>
          <w:rFonts w:ascii="Arial" w:cs="Arial" w:eastAsia="Arial" w:hAnsi="Arial"/>
          <w:sz w:val="14"/>
          <w:szCs w:val="14"/>
          <w:color w:val="auto"/>
        </w:rPr>
      </w:pPr>
      <w:r>
        <w:rPr>
          <w:rFonts w:ascii="Arial" w:cs="Arial" w:eastAsia="Arial" w:hAnsi="Arial"/>
          <w:sz w:val="14"/>
          <w:szCs w:val="14"/>
          <w:b w:val="1"/>
          <w:bCs w:val="1"/>
          <w:color w:val="auto"/>
        </w:rPr>
        <w:t>Test menu optimization</w:t>
      </w:r>
      <w:r>
        <w:rPr>
          <w:rFonts w:ascii="Arial" w:cs="Arial" w:eastAsia="Arial" w:hAnsi="Arial"/>
          <w:sz w:val="14"/>
          <w:szCs w:val="14"/>
          <w:color w:val="auto"/>
        </w:rPr>
        <w:t>. We evaluate reimbursement potential when developing new tests or expanding existing test menus to ensure alignment with payor policies.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3"/>
        </w:numPr>
        <w:rPr>
          <w:rFonts w:ascii="Arial" w:cs="Arial" w:eastAsia="Arial" w:hAnsi="Arial"/>
          <w:sz w:val="14"/>
          <w:szCs w:val="14"/>
          <w:color w:val="auto"/>
        </w:rPr>
      </w:pPr>
      <w:r>
        <w:rPr>
          <w:rFonts w:ascii="Arial" w:cs="Arial" w:eastAsia="Arial" w:hAnsi="Arial"/>
          <w:sz w:val="14"/>
          <w:szCs w:val="14"/>
          <w:b w:val="1"/>
          <w:bCs w:val="1"/>
          <w:color w:val="auto"/>
        </w:rPr>
        <w:t>Payor education</w:t>
      </w:r>
      <w:r>
        <w:rPr>
          <w:rFonts w:ascii="Arial" w:cs="Arial" w:eastAsia="Arial" w:hAnsi="Arial"/>
          <w:sz w:val="14"/>
          <w:szCs w:val="14"/>
          <w:color w:val="auto"/>
        </w:rPr>
        <w:t>. We maintain active engagement with medical directors at key payors to ensure understanding of our unique technology and clinical value proposition.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reimbursement landscape</w:t>
      </w:r>
    </w:p>
    <w:p>
      <w:pPr>
        <w:spacing w:after="0" w:line="110"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The reimbursement landscape for molecular diagnostics continues to evolve, with increasing emphasis on demonstrated clinical utility and economic value. We believe our approach to evidence generation, combined with our unique technology platform and differentiated products, positions us favorably for continued improvements in reimbursement.</w:t>
      </w:r>
    </w:p>
    <w:p>
      <w:pPr>
        <w:spacing w:after="0" w:line="59" w:lineRule="exact"/>
        <w:rPr>
          <w:sz w:val="20"/>
          <w:szCs w:val="20"/>
          <w:color w:val="auto"/>
        </w:rPr>
      </w:pPr>
    </w:p>
    <w:p>
      <w:pPr>
        <w:ind w:right="320"/>
        <w:spacing w:after="0" w:line="252" w:lineRule="auto"/>
        <w:rPr>
          <w:sz w:val="20"/>
          <w:szCs w:val="20"/>
          <w:color w:val="auto"/>
        </w:rPr>
      </w:pPr>
      <w:r>
        <w:rPr>
          <w:rFonts w:ascii="Arial" w:cs="Arial" w:eastAsia="Arial" w:hAnsi="Arial"/>
          <w:sz w:val="14"/>
          <w:szCs w:val="14"/>
          <w:color w:val="auto"/>
        </w:rPr>
        <w:t>As we expand our menu of tests and geographical reach, we anticipate further strengthening our reimbursement profile through various initiatives, including increasing in-network coverage with commercial and Managed Medicaid payors; adding additional Medicaid participation across states, and obtaining Medicare coverage for Northstar Response. We believe these initiatives will support continued growth in our realized ASPs and gross margin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153670</wp:posOffset>
            </wp:positionV>
            <wp:extent cx="4030980" cy="646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Our business is subject to and impacted by laws and regulations in the United States (at both the federal and state levels) and internationally that are subject to change. Some of these laws and regulations are particular to our laboratory business while others relate to conducting business generally and billing and reimbursement practices. In addition, we are subject to site inspections, claims audits, and other inquiries by certain federal and state governmental agencies.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Food and Drug Administration</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the United States, medical devices are subject to extensive regulation by the Food and Drug Administration (FDA) under the Federal Food, Drug, and Cosmetic Act (FDC Act) and its implementing regulations, and other federal and state statutes and regulations. The laws and regulations govern, among other things, medical device development, testing, labeling, storage, premarket clearance, de novo classification or premarket approval, post-market requirements, labeling, advertising and promotion and product sales and distribution. Unless subject to an exemption, to be commercially distributed in the United States, medical devices must receive from the FDA prior to marketing, clearance of a 510(k) premarket notification submission, grant of a request for de novo classification, or approval of an application for premarket approval (PMA).</w:t>
      </w:r>
    </w:p>
    <w:p>
      <w:pPr>
        <w:spacing w:after="0" w:line="77"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An in vitro diagnostic product (IVD) is a type of medical device that is intended for use in the diagnosis of diseases or conditions, including a determination of the state of health, in order to cure, mitigate, treat, or prevent disease or its sequelae. IVDs comprise reagents, instruments, and systems intended for use in the collection, preparation and examination of specimens from the human body. IVDs can be used to detect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80"/>
          </w:cols>
          <w:pgMar w:left="300" w:top="385"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presence of certain chemicals, genetic information or other biomarkers related to health or disease. IVDs include tests for disease prediction, prognosis, diagnosis, and screening (e.g., carrier screening). A subset of IVDs are known as analyte specific reagents (ASRs). An ASR is a single reagent (e.g., antibody, specific receptor protein, ligand, nucleic acid sequence) that, through specific binding or chemical reaction with substances in a specimen, is intended for use in a diagnostic application for the identification and quantification of an individual chemical substance in biological specimens. Most ASRs are exempt from the premarket review processes but must comply with general controls, as described below, including applicable provisions of the quality system regulation (QSR).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Device classifications</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The FDC Act classifies medical devices into one of three categories based on the risks associated with the device and the level of control necessary to provide reasonable assurance of safety and effectiveness.</w:t>
      </w:r>
    </w:p>
    <w:p>
      <w:pPr>
        <w:spacing w:after="0" w:line="69" w:lineRule="exact"/>
        <w:rPr>
          <w:sz w:val="20"/>
          <w:szCs w:val="20"/>
          <w:color w:val="auto"/>
        </w:rPr>
      </w:pPr>
    </w:p>
    <w:p>
      <w:pPr>
        <w:ind w:left="220" w:hanging="216"/>
        <w:spacing w:after="0"/>
        <w:tabs>
          <w:tab w:leader="none" w:pos="2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Class I devices are deemed to be low risk and are subject to the fewest regulatory controls. Many Class I devices are exempt from FDA premarket review requirements.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Class II devices, including some software products to the extent that they qualify as a device, are deemed to be moderate risk, and generally require 510(k) clearance.</w:t>
      </w:r>
    </w:p>
    <w:p>
      <w:pPr>
        <w:spacing w:after="0" w:line="111" w:lineRule="exact"/>
        <w:rPr>
          <w:rFonts w:ascii="Arial" w:cs="Arial" w:eastAsia="Arial" w:hAnsi="Arial"/>
          <w:sz w:val="14"/>
          <w:szCs w:val="14"/>
          <w:color w:val="auto"/>
        </w:rPr>
      </w:pPr>
    </w:p>
    <w:p>
      <w:pPr>
        <w:ind w:left="220" w:right="540" w:hanging="216"/>
        <w:spacing w:after="0" w:line="269" w:lineRule="auto"/>
        <w:tabs>
          <w:tab w:leader="none" w:pos="2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Class III devices are generally the highest risk devices and are subject to the highest level of regulatory control to provide reasonable assurance of the device’s safety and effectiveness. Class III devices typically require a PMA by the FDA before they are marketed.</w:t>
      </w:r>
    </w:p>
    <w:p>
      <w:pPr>
        <w:spacing w:after="0" w:line="59"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A clinical trial is almost always required to support a PMA application and is sometimes required for 510(k) clearance. All clinical trials of investigational devices must be conducted in compliance with any applicable FDA and Institutional Review Board requirements. Devices that are exempt from FDA premarket review requirements must nonetheless comply with post-market general controls as described below, unless the FDA has chosen otherwise.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FDA premarket clearance and approval requirements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4"/>
          <w:szCs w:val="14"/>
          <w:i w:val="1"/>
          <w:iCs w:val="1"/>
          <w:color w:val="auto"/>
        </w:rPr>
        <w:t xml:space="preserve">510(k) clearance. </w:t>
      </w:r>
      <w:r>
        <w:rPr>
          <w:rFonts w:ascii="Arial" w:cs="Arial" w:eastAsia="Arial" w:hAnsi="Arial"/>
          <w:sz w:val="14"/>
          <w:szCs w:val="14"/>
          <w:color w:val="auto"/>
        </w:rPr>
        <w:t>To obtain 510(k) clearance, a manufacturer must submit a premarket notification demonstrating to the FDA’s satisfaction that the proposed device is substantially</w:t>
      </w:r>
      <w:r>
        <w:rPr>
          <w:rFonts w:ascii="Arial" w:cs="Arial" w:eastAsia="Arial" w:hAnsi="Arial"/>
          <w:sz w:val="14"/>
          <w:szCs w:val="14"/>
          <w:i w:val="1"/>
          <w:iCs w:val="1"/>
          <w:color w:val="auto"/>
        </w:rPr>
        <w:t xml:space="preserve"> </w:t>
      </w:r>
      <w:r>
        <w:rPr>
          <w:rFonts w:ascii="Arial" w:cs="Arial" w:eastAsia="Arial" w:hAnsi="Arial"/>
          <w:sz w:val="14"/>
          <w:szCs w:val="14"/>
          <w:color w:val="auto"/>
        </w:rPr>
        <w:t>equivalent to a legally marketed predicate device. The FDA’s 510(k) clearance pathway usually takes from three to 12 months from submission, but it can take longer, particularly for a novel type of product.</w:t>
      </w:r>
    </w:p>
    <w:p>
      <w:pPr>
        <w:spacing w:after="0" w:line="8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i w:val="1"/>
          <w:iCs w:val="1"/>
          <w:color w:val="auto"/>
        </w:rPr>
        <w:t>PMA</w:t>
      </w:r>
      <w:r>
        <w:rPr>
          <w:rFonts w:ascii="Arial" w:cs="Arial" w:eastAsia="Arial" w:hAnsi="Arial"/>
          <w:sz w:val="14"/>
          <w:szCs w:val="14"/>
          <w:color w:val="auto"/>
        </w:rPr>
        <w:t>. The PMA pathway requires valid scientific evidence demonstrating to the FDA’s satisfaction the safety and effectiveness of the device for its intended use. The PMA pathway is</w:t>
      </w:r>
      <w:r>
        <w:rPr>
          <w:rFonts w:ascii="Arial" w:cs="Arial" w:eastAsia="Arial" w:hAnsi="Arial"/>
          <w:sz w:val="14"/>
          <w:szCs w:val="14"/>
          <w:i w:val="1"/>
          <w:iCs w:val="1"/>
          <w:color w:val="auto"/>
        </w:rPr>
        <w:t xml:space="preserve"> </w:t>
      </w:r>
      <w:r>
        <w:rPr>
          <w:rFonts w:ascii="Arial" w:cs="Arial" w:eastAsia="Arial" w:hAnsi="Arial"/>
          <w:sz w:val="14"/>
          <w:szCs w:val="14"/>
          <w:color w:val="auto"/>
        </w:rPr>
        <w:t>costly, lengthy, and uncertain. The PMA review process typically takes one to three years from submission but can take longer.</w:t>
      </w:r>
    </w:p>
    <w:p>
      <w:pPr>
        <w:spacing w:after="0" w:line="59"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i w:val="1"/>
          <w:iCs w:val="1"/>
          <w:color w:val="auto"/>
        </w:rPr>
        <w:t>De novo</w:t>
      </w:r>
      <w:r>
        <w:rPr>
          <w:rFonts w:ascii="Arial" w:cs="Arial" w:eastAsia="Arial" w:hAnsi="Arial"/>
          <w:sz w:val="14"/>
          <w:szCs w:val="14"/>
          <w:color w:val="auto"/>
        </w:rPr>
        <w:t>. If no predicate device can be identified, a device is automatically classified as Class III, requiring a PMA application. However, the FDA on its own initiative or at the request</w:t>
      </w:r>
      <w:r>
        <w:rPr>
          <w:rFonts w:ascii="Arial" w:cs="Arial" w:eastAsia="Arial" w:hAnsi="Arial"/>
          <w:sz w:val="14"/>
          <w:szCs w:val="14"/>
          <w:i w:val="1"/>
          <w:iCs w:val="1"/>
          <w:color w:val="auto"/>
        </w:rPr>
        <w:t xml:space="preserve"> </w:t>
      </w:r>
      <w:r>
        <w:rPr>
          <w:rFonts w:ascii="Arial" w:cs="Arial" w:eastAsia="Arial" w:hAnsi="Arial"/>
          <w:sz w:val="14"/>
          <w:szCs w:val="14"/>
          <w:color w:val="auto"/>
        </w:rPr>
        <w:t>of a manufacturer can reclassify as low- or moderate-risk device for which there is no predicate through the de novo classification process. The de novo route is intended to be less burdensome than the PMA process. The de novo route has historically been used for many IVD products.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Post-market general controls</w:t>
      </w:r>
      <w:r>
        <w:rPr>
          <w:rFonts w:ascii="Arial" w:cs="Arial" w:eastAsia="Arial" w:hAnsi="Arial"/>
          <w:sz w:val="13"/>
          <w:szCs w:val="13"/>
          <w:color w:val="auto"/>
        </w:rPr>
        <w:t>. After a device, including a device exempt from FDA premarket review, is placed on the market, numerous regulatory requirements apply. These include: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QSR, labeling regulations, registration and listing, the Medical Device Reporting regulation (and the Reports of Corrections and Removals regulation.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60"/>
          </w:cols>
          <w:pgMar w:left="300" w:top="38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The FDA enforces compliance with its requirements through inspection and market surveillance. If the FDA finds a violation, it can institute a wide variety of actions, ranging from issuing a Form 483 Notice of Inspectional Observations or sending an untitled or public warning letter, to enforcement actions such as fines, injunctions, and civil penalties; recall or seizure of products; operating restrictions, partial suspension or total shutdown of production; refusing requests for 510(k) clearance, de novo classification, or PMA approval of new products; withdrawing PMAs already granted; and criminal prosecution.</w:t>
      </w:r>
    </w:p>
    <w:p>
      <w:pPr>
        <w:spacing w:after="0" w:line="74"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i w:val="1"/>
          <w:iCs w:val="1"/>
          <w:color w:val="auto"/>
        </w:rPr>
        <w:t>Research use only</w:t>
      </w:r>
      <w:r>
        <w:rPr>
          <w:rFonts w:ascii="Arial" w:cs="Arial" w:eastAsia="Arial" w:hAnsi="Arial"/>
          <w:sz w:val="14"/>
          <w:szCs w:val="14"/>
          <w:color w:val="auto"/>
        </w:rPr>
        <w:t>. Research use only (RUO) products are exempt from FDA medical device requirements provided their manufacturers comply with specified labeling and</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restrictions on distribution and promotion.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An RUO product promoted for diagnostic use may be viewed by the FDA as adulterated and misbranded under the FDC Act and the manufacturer of such product could be subject to FDA enforcement activities. Our laboratory-developed tests (LDTs) use instruments and reagents labeled as RUO.</w:t>
      </w:r>
    </w:p>
    <w:p>
      <w:pPr>
        <w:spacing w:after="0" w:line="8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i w:val="1"/>
          <w:iCs w:val="1"/>
          <w:color w:val="auto"/>
        </w:rPr>
        <w:t>Laboratory-developed tests</w:t>
      </w:r>
      <w:r>
        <w:rPr>
          <w:rFonts w:ascii="Arial" w:cs="Arial" w:eastAsia="Arial" w:hAnsi="Arial"/>
          <w:sz w:val="14"/>
          <w:szCs w:val="14"/>
          <w:color w:val="auto"/>
        </w:rPr>
        <w:t>. Each of our genetic tests is an LDT. The FDA considers LDTs to be tests that are designed, developed, validated and used within a single laboratory. The</w:t>
      </w:r>
      <w:r>
        <w:rPr>
          <w:rFonts w:ascii="Arial" w:cs="Arial" w:eastAsia="Arial" w:hAnsi="Arial"/>
          <w:sz w:val="14"/>
          <w:szCs w:val="14"/>
          <w:i w:val="1"/>
          <w:iCs w:val="1"/>
          <w:color w:val="auto"/>
        </w:rPr>
        <w:t xml:space="preserve"> </w:t>
      </w:r>
      <w:r>
        <w:rPr>
          <w:rFonts w:ascii="Arial" w:cs="Arial" w:eastAsia="Arial" w:hAnsi="Arial"/>
          <w:sz w:val="14"/>
          <w:szCs w:val="14"/>
          <w:color w:val="auto"/>
        </w:rPr>
        <w:t>FDA had historically taken the position that it had the authority to regulate LDTs as medical devices under the FD&amp;C Act but exercised enforcement discretion until it recently rescinded LDT regulations indicating that it does not have the authority to require clearance, de novo classification, or approval of LDTs prior to market release. As a result, our molecular diagnostic products are not subject to FDA approval requirements.</w:t>
      </w:r>
    </w:p>
    <w:p>
      <w:pPr>
        <w:spacing w:after="0" w:line="192" w:lineRule="exact"/>
        <w:rPr>
          <w:sz w:val="20"/>
          <w:szCs w:val="20"/>
          <w:color w:val="auto"/>
        </w:rPr>
      </w:pPr>
    </w:p>
    <w:p>
      <w:pPr>
        <w:ind w:right="3840"/>
        <w:spacing w:after="0" w:line="397" w:lineRule="auto"/>
        <w:rPr>
          <w:sz w:val="20"/>
          <w:szCs w:val="20"/>
          <w:color w:val="auto"/>
        </w:rPr>
      </w:pPr>
      <w:r>
        <w:rPr>
          <w:rFonts w:ascii="Arial" w:cs="Arial" w:eastAsia="Arial" w:hAnsi="Arial"/>
          <w:sz w:val="14"/>
          <w:szCs w:val="14"/>
          <w:b w:val="1"/>
          <w:bCs w:val="1"/>
          <w:i w:val="1"/>
          <w:iCs w:val="1"/>
          <w:color w:val="auto"/>
        </w:rPr>
        <w:t xml:space="preserve">Clinical Laboratory Improvement Amendments of 1988, College of American Pathologists, and state regulations </w:t>
      </w:r>
      <w:r>
        <w:rPr>
          <w:rFonts w:ascii="Arial" w:cs="Arial" w:eastAsia="Arial" w:hAnsi="Arial"/>
          <w:sz w:val="14"/>
          <w:szCs w:val="14"/>
          <w:i w:val="1"/>
          <w:iCs w:val="1"/>
          <w:color w:val="auto"/>
        </w:rPr>
        <w:t>Clinical Laboratory Improvement Amendments (CLIA)</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As a clinical laboratory, we are required to hold certain federal and state licenses, certifications or permits to conduct our business. As to federal certifications, the Clinical Laboratory Improvement Amendments of 1988 (CLIA) establishes rigorous quality standards for all commercial laboratories that perform testing on human specimens for the purpose of providing information for the diagnosis, prevention, or treatment of disease or the assessment of the health or impairment of human beings. CLIA requires such laboratories to be certified by the federal government and mandates compliance with various operational, personnel, facility, administration, quality and proficiency testing requirements intended to ensure the accuracy, reliability and timeliness of patient test results. CLIA certification is also a prerequisite to be eligible to bill state and federal health care programs, as well as many commercial third-party payors, for laboratory testing services.</w:t>
      </w:r>
    </w:p>
    <w:p>
      <w:pPr>
        <w:spacing w:after="0" w:line="9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Our laboratories located in Menlo Park and Union City, California, are CLIA certified and must comply with all applicable CLIA regulations and standards. If a clinical laboratory is found to be out of compliance with CLIA standards, CMS may impose sanctions; suspend, limit or revoke the laboratory’s CLIA certificate (and prohibit the owner, operator or laboratory director from owning, operating, or directing a laboratory for two or more years following license revocation); subject the laboratory to a directed plan of correction, on-site monitoring, civil monetary penalties, civil actions for injunctive relief, criminal penalties; or suspension or exclusion from the Medicare and Medicaid programs.</w:t>
      </w:r>
    </w:p>
    <w:p>
      <w:pPr>
        <w:spacing w:after="0" w:line="85" w:lineRule="exact"/>
        <w:rPr>
          <w:sz w:val="20"/>
          <w:szCs w:val="20"/>
          <w:color w:val="auto"/>
        </w:rPr>
      </w:pPr>
    </w:p>
    <w:p>
      <w:pPr>
        <w:ind w:right="100"/>
        <w:spacing w:after="0" w:line="280" w:lineRule="auto"/>
        <w:rPr>
          <w:sz w:val="20"/>
          <w:szCs w:val="20"/>
          <w:color w:val="auto"/>
        </w:rPr>
      </w:pPr>
      <w:r>
        <w:rPr>
          <w:rFonts w:ascii="Arial" w:cs="Arial" w:eastAsia="Arial" w:hAnsi="Arial"/>
          <w:sz w:val="13"/>
          <w:szCs w:val="13"/>
          <w:color w:val="auto"/>
        </w:rPr>
        <w:t>CLIA provides that a state may adopt laboratory licensure requirements and regulations that are more stringent than those under federal law and requires compliance with such laws and regulations. A number of states have implemented their own more stringent laboratory regulatory requirements. State laws may require the laboratory to obtain state licensure and/or laboratory personnel to meet certain qualifications and obtain professional licensure, specify certain quality control procedures or facility requirements, or prescribe record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1260"/>
          </w:cols>
          <w:pgMar w:left="300" w:top="38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40"/>
        <w:spacing w:after="0" w:line="252" w:lineRule="auto"/>
        <w:rPr>
          <w:sz w:val="20"/>
          <w:szCs w:val="20"/>
          <w:color w:val="auto"/>
        </w:rPr>
      </w:pPr>
      <w:r>
        <w:rPr>
          <w:rFonts w:ascii="Arial" w:cs="Arial" w:eastAsia="Arial" w:hAnsi="Arial"/>
          <w:sz w:val="14"/>
          <w:szCs w:val="14"/>
          <w:color w:val="auto"/>
        </w:rPr>
        <w:t>maintenance requirements. Moreover, several states impose the same or similar state requirements on out-of-state laboratory testing specimens collected or received from, or test results reported back to, residents within that state. Therefore, we are required to meet certain laboratory licensing requirements for those states in which we offer services or from which we accept specimens, and that have adopted laboratory regulations beyond CLIA.</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College of American Pathologists (CAP)</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 College of American Pathologists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Our two laboratories have each been accredited by CAP, which means that our laboratories have been certified as following CAP standards and guidelines in operating the laboratory facility and in performing tests that ensure the quality of our test results.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California laboratory licensing</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In addition to federal certification requirements for laboratories under CLIA, we are required under California law to maintain a California state license for both our Menlo Park and Union City clinical laboratories, and to comply with California state laboratory laws and regulations, because our laboratories are located in California, and both facilities test specimens originating from California. Similar to the federal CLIA regulations, the California state laboratory laws and regulations establish standards for the operation of a clinical laboratory and performance of test services, including the education and experience requirements of the laboratory director and personnel (including requirements for documentation of competency), equipment validations, and quality management practices. All testing personnel must maintain a California state license or be supervised by licensed personnel, and our laboratory director must maintain an additional license issued by the California Department of Public Health (CDPH).</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Clinical laboratories are subject to both routine and complaint-initiated on-site inspections by the state. If a clinical laboratory is found to be out of compliance with California laboratory standards, the CDPH may suspend, restrict or revoke the California state laboratory license to operate the clinical laboratory (and exclude persons or entities from owning, operating, or directing a laboratory for two years following license revocation), assess civil money penalties, and/or impose specific corrective action plans, among other sanctions. Clinical laboratories must also provide notice to CDPH of any changes in the ownership, directorship, name or location of the laboratory. Failure to provide such notification may result in revocation of the state license and sanctions under the CLIA certificate. Any revocation of a CLIA certificate or exclusion from participation in Medicare or Medicaid programs may also result in suspension of the California state laboratory license.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York laboratory licensing</w:t>
      </w:r>
    </w:p>
    <w:p>
      <w:pPr>
        <w:spacing w:after="0" w:line="110"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In order to test specimens in our laboratories originating from, and return test results to, New York State, both of our laboratories are required to obtain a New York state laboratory permit and comply with New York state laboratory laws and regulations. We maintain a valid permit in the state of New York for the prenatal molecular genetic testing services furnished by our Union City laboratory and we are in the application process to obtain a permit in the state of New York for the oncology molecular genetic testing services furnished by our Menlo Park laboratory.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80"/>
          </w:cols>
          <w:pgMar w:left="300" w:top="385" w:right="3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New York state laboratory laws, regulations and rules are equal to or more stringent than the CLIA regulations and establish standards for the operation of a clinical laboratory and performance of test services, including education and experience requirements of a laboratory director and personnel, physical requirements of a laboratory facility, equipment validations, and quality management practices. The laboratory director(s) must maintain a Certificate of Qualification issued by the New York State Department of Health (DOH) in the permitted test categories.</w:t>
      </w:r>
    </w:p>
    <w:p>
      <w:pPr>
        <w:spacing w:after="0" w:line="74"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Under the New York state requirements, our clinical laboratory in Union City is, and our clinical laboratory in Menlo Park will be, subject to proficiency testing and on-site survey inspections conducted by the Clinical Laboratory Evaluation Program (CLEP) under the DOH. If a laboratory is found to be out of compliance with New York’s CLEP standards, the DOH may suspend, limit, revoke or annul the New York laboratory permit, censure the holder of the license or assess civil money penalties. Statutory or regulatory noncompliance may result in a laboratory’s operator, owners and/or laboratory director being found guilty of a misdemeanor under New York law. Clinical laboratories must also provide notice to the CLEP of any changes in ownership, directorship, name or location of the laboratory. Failure to provide such notification may result in revocation of the state license and sanctions under the CLIA certificate. Any revocation of a CLIA certificate or exclusion from participation in the Medicare or Medicaid programs may result in suspension of the New York laboratory permit.</w:t>
      </w:r>
    </w:p>
    <w:p>
      <w:pPr>
        <w:spacing w:after="0" w:line="90" w:lineRule="exact"/>
        <w:rPr>
          <w:sz w:val="20"/>
          <w:szCs w:val="20"/>
          <w:color w:val="auto"/>
        </w:rPr>
      </w:pPr>
    </w:p>
    <w:p>
      <w:pPr>
        <w:jc w:val="both"/>
        <w:ind w:right="180"/>
        <w:spacing w:after="0" w:line="252" w:lineRule="auto"/>
        <w:rPr>
          <w:sz w:val="20"/>
          <w:szCs w:val="20"/>
          <w:color w:val="auto"/>
        </w:rPr>
      </w:pPr>
      <w:r>
        <w:rPr>
          <w:rFonts w:ascii="Arial" w:cs="Arial" w:eastAsia="Arial" w:hAnsi="Arial"/>
          <w:sz w:val="14"/>
          <w:szCs w:val="14"/>
          <w:color w:val="auto"/>
        </w:rPr>
        <w:t>The DOH also must approve each LDT before the test is offered to patients located in New York. Our Union City clinical laboratory has received approval from New York’s CLEP to offer most of our prenatal tests that are performed in Union City. We are in the application process to obtain approval from New York’s CLEP to offer our Northstar Select test that is performed in our Menlo Park laboratory.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state laboratory licensing laws</w:t>
      </w:r>
    </w:p>
    <w:p>
      <w:pPr>
        <w:spacing w:after="0" w:line="110"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In addition to New York and California, certain other states require licensing of out-of-state laboratories under certain circumstances. We have obtained licenses in the states that we believe require us to do so based on our current operations, and believe we are in compliance with applicable state laboratory licensing laws, including Maryland, Pennsylvania, Rhode Island and the District of Columbia.</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Potential sanctions for violation of state statutes and regulations can include significant monetary fines, the rejection of license applications, the suspension or loss of various licenses, certificates and authorizations, and in some cases criminal penalties, which could harm our business. CLIA does not preempt state laws that have established laboratory quality standards that are more stringent than federal law.</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genetic testing and privacy laws</w:t>
      </w:r>
    </w:p>
    <w:p>
      <w:pPr>
        <w:spacing w:after="0" w:line="99"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Many states have implemented genetic testing and privacy laws imposing specific patient consent requirements and protecting test results. Under some state laws, we are prohibited from conducting genetic tests without appropriate documentation of patient (or parental/guardian) consent from the physician ordering the test. For example, Texas enacted legislation limiting use of genetic data applicable to companies offering direct-to-consumer (without health care provider involvement) genetic testing or collect, use, or otherwise analyze genetic data derived from individuals using such products or services, but exempt genetic data collected or generated by an entity subject to HIPAA. While we rely on physicians to obtain the required patient consent to perform genetic testing, the regulatory burden may be deemed to be our responsibility and such consents, or our compliance with applicable laws and regulations, could be challenged. Requirements of these laws and penalties for violations vary widely from state to state.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60"/>
          </w:cols>
          <w:pgMar w:left="300" w:top="385"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and state health care laws</w:t>
      </w:r>
    </w:p>
    <w:p>
      <w:pPr>
        <w:spacing w:after="0" w:line="99"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As a clinical laboratory, we are subject to certain federal and state laws and regulations relating to delivery of diagnostic healthcare. To meet the requirements of these laws and regulations, we have developed and operate a compliance program modeled after the general and specific guidance issued by the Office of Inspector General of the U.S. Department of Health and Human Services (HHS) and grounded in our company ethics and values. Although we believe that our compliance program and company culture support compliance with the various laws and regulations applicable to our business, we cannot ensure that government regulators will not identify potential deficiencies or violations in the conduct of our business activities. The Federal Civil Penalties Inflation Adjustment Act Improvements Act of 2015 provides for an annual, automatic adjustment of civil monetary penalties authorized under the Social Security Act to account for inflation, which are published in the Federal Register annually.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Federal physician self-referral prohibition</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We are subject to the federal physician self-referral prohibition (42 U.S.C. §1395nn), commonly known as the Stark Law, and to comparable state laws. Together these restrictions generally prohibit us from billing a patient or governmental or private payor for certain designated health services, including laboratory test services, when the physician ordering the service, or a member of such physician’s immediate family, has a financial relationship with our company, such as an ownership or investment interest in or compensation arrangement with us, unless the relationship meets an applicable exception. Several Stark Law exceptions are relevant to many common financial relationships involving clinical laboratories and referring physicians, including: fair market value compensation for the provision of certain laboratory items or services; payments by physicians to a laboratory; space and equipment rental arrangements, and personal services arrangements that satisfy certain criteria. No clinical laboratory may submit claims to the Medicare or Medicaid programs for items or services furnished in violation of the Stark Law. These prohibitions apply regardless of any intent by the parties to induce or reward referrals or the reasons for the financial relationship and the referral. Penalties for violating the Stark Law include significant civil penalties, such as the return of funds received for all prohibited referrals, fines, civil monetary penalties, exclusion from the federal healthcare programs, integrity oversight and reporting obligations. Any person who presents or causes to be presented a claim to the Medicare or Medicaid programs in violation of the Stark Law may be subject to civil monetary penalties – up to $ 30,868 in 2024 – per claim submission, an assessment of up to three times the amount claimed, and exclusion from participation in any federal health care program. A person who engages in a scheme to circumvent the Stark Law’s referral prohibition may be fined – up to $205,799 in 2024 – for each such arrangement or scheme. Claims submitted in violation of the Stark Law may not be paid by Medicare or Medicaid, and any person collecting any amounts with respect to any such prohibited claim is obligated to refund such amounts. In addition, knowing violations of the Stark Law may also serve as the basis for liability under the federal False Claims Act (FCA), which may result in additional civil penalties.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Federal Anti-Kickback law</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federal Anti-Kickback Statute (42 U.S.C. §1320a-7b), commonly known as AKS, makes it a felony for a person or entity, including a clinical laboratory, to knowingly and willfully offer, pay, solicit or receive any remuneration, directly or indirectly, overtly or covertly, in cash or in kind, to induce business that is reimbursable under any federal health care program. A person or entity does not need to have actual knowledge of the statute or specific intent to violate the AKS to have committed a violation if there is the requisite intent to commit the act. A violation of the federal Anti-Kickback Statute may result in imprisonment for up to ten years and/or criminal or civil fines – up to $104,330 (or $27,894 for each wrongful act) in 2024 – and exclusion from participation in federal health care programs. Claims submitted in violation of the federal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385" w:right="3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Anti-Kickback Statute may not be paid by a federal health care program, and any person collecting any amounts with respect to any such prohibited claim is obligated to refund such amounts. Although the AKS applies only to items and services reimbursable under any federal health care program, a number of states have passed statutes substantially similar to the AKS that apply to any payor. Penalties for violations of such state laws may include imprisonment and significant monetary penalties. Generally, courts have taken a broad interpretation of the scope of the AKS, holding that the statute may be violated if merely one purpose of a payment arrangement is to induce referrals or purchases. In addition to statutory exceptions to the AKS, regulations set forth in 42 C.F.R. § 1001.952 provide for a number of safe harbors for defined payment arrangements that will not be deemed improper remuneration. An arrangement must fully comply with each element of an applicable safe harbor to qualify for protection. Failure to meet the requirements of the safe harbor, however, does not render a payment arrangement per se illegal. Rather, the government must evaluate such arrangements on a case-by-case basis, taking into account all facts and circumstances. In addition, a knowing violation of the AKS constitutes a false or fraudulent claim under the FCA, which is discussed in greater detail below.</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False Claims Act</w:t>
      </w:r>
    </w:p>
    <w:p>
      <w:pPr>
        <w:spacing w:after="0" w:line="110"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The federal False Claims Act (31 U.S.C. §§ 3729-3733), commonly known as FCA, prohibits, among other things, a person from knowingly presenting, or causing to be presented, a false or fraudulent claim for payment or approval and from making, using, or causing to be made or used, a false record or statement material to a false or fraudulent claim to secure payment or retain an overpayment by the federal government. Violation of the federal False Claims Act may result in fines of up to three times the actual damages sustained by the government, plus mandatory civil penalties – up to approximately $28,619 in 2025 – per false claim or statement, imprisonment or both, reimbursement of the whistleblower’s attorneys’ fees, and possible exclusion from any federal health care programs. The penalties will continue to be adjusted, increasing each year to reflect changes in the inflation rate, pursuant to the 2015 Bipartisan Budget Act.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Civil Monetary Penalty Law</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 Civil Monetary Penalty Law (42 U.S.C. § 1320a-7a), commonly known as CMPL, imposes penalties against any person or entity that, among other things, is determined to have presented or caused to be presented a claim to a federal health care program that the person knows or should know is for an item or service that was not provided as claimed or is false or fraudulent. In addition, a person who offers or provides to a Medicare or Medicaid beneficiary any remuneration, that the person knows or should know is likely to influence the beneficiary’s selection of a particular provider, practitioner or supplier of Medicare or Medicaid payable items or services may be liable and subject to civil monetary penalties. A violation of the federal Civil Monetary Penalty statute may result in maximum civil fines – up to $124,732 in 2024 – plus treble damages and exclusion from participation in any federal health care program.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80"/>
          </w:cols>
          <w:pgMar w:left="300" w:top="386" w:right="3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Eliminating Kickbacks in Recovery Act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 Eliminating Kickbacks in Recovery Act of 2018 (18 U.S.C. §220), commonly known as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under the SUPPORT Act for the legislative purpose to help reduce opioid-related fraud and abuse. However, EKRA defines the term “laboratory” broadly and without reference to any connection to substance use disorder treatment. Moreover, EKRA applies to claims submitted to both government and commercial third-party payors. Violation of EKRA carries potential penalties of up to $200,000 in fines and imprisonment of up to ten years for each occurrence, and potential exclusion from participation in any federal health care program. The law includes a limited number of exceptions, some of which closely align with corresponding AKS safe harbors, and others that materially differ. Currently, there is no regulation interpreting or implementing EKRA, nor any guidance released by any federal agency regarding the scope of EKRA. The only case law issued to date involves decisions interpreting the EKRA as it applies to compensation of laboratory sales personnel hired as independent contractors, and the courts differ on interpretation and application of the law. These decisions are currently on appeal in the federal court of appeals. We cannot assure you that our relationships with physicians, hospitals, customers, or sales personnel will not be subject to scrutiny or will survive a challenge under EKRA. If imposed for any reason, sanctions under EKRA could have a negative effect on our business.</w:t>
      </w:r>
    </w:p>
    <w:p>
      <w:pPr>
        <w:spacing w:after="0" w:line="88" w:lineRule="exact"/>
        <w:rPr>
          <w:sz w:val="20"/>
          <w:szCs w:val="20"/>
          <w:color w:val="auto"/>
        </w:rPr>
      </w:pPr>
    </w:p>
    <w:p>
      <w:pPr>
        <w:ind w:right="20"/>
        <w:spacing w:after="0"/>
        <w:rPr>
          <w:sz w:val="20"/>
          <w:szCs w:val="20"/>
          <w:color w:val="auto"/>
        </w:rPr>
      </w:pPr>
      <w:r>
        <w:rPr>
          <w:rFonts w:ascii="Arial" w:cs="Arial" w:eastAsia="Arial" w:hAnsi="Arial"/>
          <w:sz w:val="14"/>
          <w:szCs w:val="14"/>
          <w:color w:val="auto"/>
        </w:rPr>
        <w:t>Because we operate a laboratory facility located in California and licensed by California’s DHS, California law is applicable to our business arrangements. California’s state anti-kickback statutes, Business and Professions Code Section 650 (which applies to all categories of payors) and Insurance Code Section 754, and its Medi-Cal anti-kickback statute, Welfare and Institutions Code Section 14107.2, are analogous to, and have been interpreted by the California Attorney General and California courts in substantially the same way as the federal government and the courts have interpreted, the federal Anti-Kickback Statute. A violation of Section 650 is punishable by up to one year of imprisonment, a fine up to $50,000, or both imprisonment and a fine. A violation of Section 14107.2 is punishable by imprisonment and fines of up to $10,000. The California Insurance Code includes similar prohibitions against any consideration for the referral or procurement of patients if a claim is submitted to a commercial insurer, CA Ins. Code § 750, which is punishable by criminal penalties mirroring those that apply to violations of Business and Professions Code Section 650.</w:t>
      </w:r>
    </w:p>
    <w:p>
      <w:pPr>
        <w:spacing w:after="0" w:line="90" w:lineRule="exact"/>
        <w:rPr>
          <w:sz w:val="20"/>
          <w:szCs w:val="20"/>
          <w:color w:val="auto"/>
        </w:rPr>
      </w:pPr>
    </w:p>
    <w:p>
      <w:pPr>
        <w:jc w:val="both"/>
        <w:ind w:right="220"/>
        <w:spacing w:after="0" w:line="252" w:lineRule="auto"/>
        <w:rPr>
          <w:sz w:val="20"/>
          <w:szCs w:val="20"/>
          <w:color w:val="auto"/>
        </w:rPr>
      </w:pPr>
      <w:r>
        <w:rPr>
          <w:rFonts w:ascii="Arial" w:cs="Arial" w:eastAsia="Arial" w:hAnsi="Arial"/>
          <w:sz w:val="14"/>
          <w:szCs w:val="14"/>
          <w:color w:val="auto"/>
        </w:rPr>
        <w:t>Because each of our laboratories holds a New York CLEP permit, we must comply with New York state laboratory statutes and regulations, which include anti-kickback provisions, Public Health Law Section 587, and Medicaid anti-kickback provisions, 18 NYCRR Section 515.2, related to laboratory services. The New York DOH may suspend, limit, revoke or annul the New York laboratory permit or otherwise discipline the permit holder for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153670</wp:posOffset>
            </wp:positionV>
            <wp:extent cx="4030980" cy="6464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We are, or may become, subject to numerous federal, state, local and foreign laws, regulations, standards, and guidance regarding data privacy and security.</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40"/>
          </w:cols>
          <w:pgMar w:left="300" w:top="385" w:right="3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federal Health Insurance Portability and Accountability Act of 1996 (HIPAA) created federal criminal statutes relating to privacy of personal data.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including as the result of a breach of unsecured protected health information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80" w:lineRule="exact"/>
        <w:rPr>
          <w:sz w:val="20"/>
          <w:szCs w:val="20"/>
          <w:color w:val="auto"/>
        </w:rPr>
      </w:pPr>
    </w:p>
    <w:p>
      <w:pPr>
        <w:jc w:val="both"/>
        <w:ind w:right="480"/>
        <w:spacing w:after="0" w:line="246" w:lineRule="auto"/>
        <w:rPr>
          <w:sz w:val="20"/>
          <w:szCs w:val="20"/>
          <w:color w:val="auto"/>
        </w:rPr>
      </w:pPr>
      <w:r>
        <w:rPr>
          <w:rFonts w:ascii="Arial" w:cs="Arial" w:eastAsia="Arial" w:hAnsi="Arial"/>
          <w:sz w:val="14"/>
          <w:szCs w:val="14"/>
          <w:color w:val="auto"/>
        </w:rPr>
        <w:t>HIPAA also prohibits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to have committed a violation.</w:t>
      </w:r>
    </w:p>
    <w:p>
      <w:pPr>
        <w:spacing w:after="0" w:line="85"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HIPAA, as amended by the Health Information Technology for Economic and Clinical Health Act of 2009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Many states are considering similar laws. Failure or perceived failure to comply with these laws, where applicable, can result in material adverse effects to our business, including the imposition of significant civil and/or criminal penalties and private litigation.</w:t>
      </w:r>
    </w:p>
    <w:p>
      <w:pPr>
        <w:spacing w:after="0" w:line="82" w:lineRule="exact"/>
        <w:rPr>
          <w:sz w:val="20"/>
          <w:szCs w:val="20"/>
          <w:color w:val="auto"/>
        </w:rPr>
      </w:pPr>
    </w:p>
    <w:p>
      <w:pPr>
        <w:spacing w:after="0" w:line="209" w:lineRule="auto"/>
        <w:rPr>
          <w:sz w:val="20"/>
          <w:szCs w:val="20"/>
          <w:color w:val="auto"/>
        </w:rPr>
      </w:pPr>
      <w:r>
        <w:rPr>
          <w:rFonts w:ascii="Arial" w:cs="Arial" w:eastAsia="Arial" w:hAnsi="Arial"/>
          <w:sz w:val="14"/>
          <w:szCs w:val="14"/>
          <w:color w:val="auto"/>
        </w:rPr>
        <w:t>As a health care provider, we are also subject to Section 4004 of the 21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Century Cures Act, or Cures Act, and regulations promulgated by HHS related to patient access to electronic PHI, or EHI, to promote interoperability and to ensure the access, exchange, or use of EHI.</w:t>
      </w:r>
    </w:p>
    <w:p>
      <w:pPr>
        <w:spacing w:after="0" w:line="90" w:lineRule="exact"/>
        <w:rPr>
          <w:sz w:val="20"/>
          <w:szCs w:val="20"/>
          <w:color w:val="auto"/>
        </w:rPr>
      </w:pPr>
    </w:p>
    <w:p>
      <w:pPr>
        <w:jc w:val="both"/>
        <w:ind w:right="140"/>
        <w:spacing w:after="0" w:line="252" w:lineRule="auto"/>
        <w:rPr>
          <w:sz w:val="20"/>
          <w:szCs w:val="20"/>
          <w:color w:val="auto"/>
        </w:rPr>
      </w:pPr>
      <w:r>
        <w:rPr>
          <w:rFonts w:ascii="Arial" w:cs="Arial" w:eastAsia="Arial" w:hAnsi="Arial"/>
          <w:sz w:val="14"/>
          <w:szCs w:val="14"/>
          <w:color w:val="auto"/>
        </w:rPr>
        <w:t>Various U.S. states have implemented similar restrictive requirements regulating the use and disclosure of health information and other personal information that are not necessarily preempted by HIPAA or that regulate different information than HIPAA. The California Consumer Privacy Act (CCPA), which went into effect January 1, 2020, and California Privacy Rights Act of 2020 (CPRA), which went into effect on January 1, 2023,</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60"/>
          </w:cols>
          <w:pgMar w:left="300" w:top="38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which created additional obligations with respect to certain data relating to consumers, significantly expands the CCPA, is an example of the increasingly stringent privacy laws at the state level in the United States. The CCPA also created a private right of action with statutory damages for certain data breaches, thereby potentially increasing risks associated with a data breach. However, the CCPA and CPRA include an exemption for HIPAA covered entities such as our laboratory. The California Confidentiality of Medical Information Act, which protects the confidentiality of individually identifiable medical information obtained by health care providers and their contractors, is much broader than HIPAA and the data protected is also broader than HIPAA.</w:t>
      </w:r>
    </w:p>
    <w:p>
      <w:pPr>
        <w:spacing w:after="0" w:line="77"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In addition,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 and the Texas Data Privacy and Security Act became effective in 2024. These state privacy laws dictate how we can collect, use, store, sell, share, analyze or process personal identifying information and/or consumer or health data received or generated by our business operations.</w:t>
      </w:r>
    </w:p>
    <w:p>
      <w:pPr>
        <w:spacing w:after="0" w:line="85"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Outside the United States, there are an increasing number of laws and regulations governing the collection, use and processing of personal data. For example, the European Union’s General Data Protection Regulation (EU GDPR) applies to any company established in the European Economic Area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It is possible that state, federal (including legislative and executive branch initiatives), and foreign healthcare reform measures may be adopted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173355</wp:posOffset>
            </wp:positionV>
            <wp:extent cx="4030980" cy="646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culture and values</w:t>
      </w:r>
    </w:p>
    <w:p>
      <w:pPr>
        <w:spacing w:after="0" w:line="9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BillionToOne was founded on the mission of removing the fear of the unknown by providing molecular diagnostics that are accurate, fast, and accessible. To fulfill our mission, we are dedicated to fostering a high-performance culture where every individual, regardless of level or position, feels empowered to solve significant problems and make a notable impact. Our vision is to challenge the status quo that makes healthcare opaque and financially out of reach for many. We are focused on building a corporate culture that nurtures innovation, creative problem solving, and a strong sense of purpose with patient and caregiver mindsets at the forefront. Our core values are: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385"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left="220" w:right="280" w:hanging="216"/>
        <w:spacing w:after="0" w:line="269" w:lineRule="auto"/>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Patient-Centered</w:t>
      </w:r>
      <w:r>
        <w:rPr>
          <w:rFonts w:ascii="Arial" w:cs="Arial" w:eastAsia="Arial" w:hAnsi="Arial"/>
          <w:sz w:val="14"/>
          <w:szCs w:val="14"/>
          <w:color w:val="auto"/>
        </w:rPr>
        <w:t>. We place patients at the forefront of everything we do. We expect all team members to make business decisions guided by the best interest of patients,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the highest ethical standards.</w:t>
      </w:r>
    </w:p>
    <w:p>
      <w:pPr>
        <w:spacing w:after="0" w:line="69" w:lineRule="exact"/>
        <w:rPr>
          <w:rFonts w:ascii="Arial" w:cs="Arial" w:eastAsia="Arial" w:hAnsi="Arial"/>
          <w:sz w:val="14"/>
          <w:szCs w:val="14"/>
          <w:color w:val="auto"/>
        </w:rPr>
      </w:pPr>
    </w:p>
    <w:p>
      <w:pPr>
        <w:ind w:left="220" w:right="640" w:hanging="216"/>
        <w:spacing w:after="0" w:line="269" w:lineRule="auto"/>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Creative and Innovative</w:t>
      </w:r>
      <w:r>
        <w:rPr>
          <w:rFonts w:ascii="Arial" w:cs="Arial" w:eastAsia="Arial" w:hAnsi="Arial"/>
          <w:sz w:val="14"/>
          <w:szCs w:val="14"/>
          <w:color w:val="auto"/>
        </w:rPr>
        <w:t>. We create a workplace where all team members are enabled and encouraged to bring new ideas and new ways of thinking to solve significant</w:t>
      </w:r>
      <w:r>
        <w:rPr>
          <w:rFonts w:ascii="Arial" w:cs="Arial" w:eastAsia="Arial" w:hAnsi="Arial"/>
          <w:sz w:val="14"/>
          <w:szCs w:val="14"/>
          <w:b w:val="1"/>
          <w:bCs w:val="1"/>
          <w:color w:val="auto"/>
        </w:rPr>
        <w:t xml:space="preserve"> </w:t>
      </w:r>
      <w:r>
        <w:rPr>
          <w:rFonts w:ascii="Arial" w:cs="Arial" w:eastAsia="Arial" w:hAnsi="Arial"/>
          <w:sz w:val="14"/>
          <w:szCs w:val="14"/>
          <w:color w:val="auto"/>
        </w:rPr>
        <w:t>problems.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Profoundly Impactful</w:t>
      </w:r>
      <w:r>
        <w:rPr>
          <w:rFonts w:ascii="Arial" w:cs="Arial" w:eastAsia="Arial" w:hAnsi="Arial"/>
          <w:sz w:val="14"/>
          <w:szCs w:val="14"/>
          <w:color w:val="auto"/>
        </w:rPr>
        <w:t>. We seek to revolutionize the molecular diagnostics industry by empowering patients with timely knowledge.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Internally Motivated and Passionate</w:t>
      </w:r>
      <w:r>
        <w:rPr>
          <w:rFonts w:ascii="Arial" w:cs="Arial" w:eastAsia="Arial" w:hAnsi="Arial"/>
          <w:sz w:val="14"/>
          <w:szCs w:val="14"/>
          <w:color w:val="auto"/>
        </w:rPr>
        <w:t>. We seek to revolutionize the molecular diagnostics industry by empowering patients with timely knowledge.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Kindly Inquisitive and Collaborative</w:t>
      </w:r>
      <w:r>
        <w:rPr>
          <w:rFonts w:ascii="Arial" w:cs="Arial" w:eastAsia="Arial" w:hAnsi="Arial"/>
          <w:sz w:val="14"/>
          <w:szCs w:val="14"/>
          <w:color w:val="auto"/>
        </w:rPr>
        <w:t>. We value an environment where employees are empowered to explore new ideas and work together constructively despite our differences.</w:t>
      </w:r>
    </w:p>
    <w:p>
      <w:pPr>
        <w:spacing w:after="0" w:line="111" w:lineRule="exact"/>
        <w:rPr>
          <w:rFonts w:ascii="Arial" w:cs="Arial" w:eastAsia="Arial" w:hAnsi="Arial"/>
          <w:sz w:val="14"/>
          <w:szCs w:val="14"/>
          <w:color w:val="auto"/>
        </w:rPr>
      </w:pPr>
    </w:p>
    <w:p>
      <w:pPr>
        <w:ind w:left="220" w:right="40" w:hanging="216"/>
        <w:spacing w:after="0" w:line="269" w:lineRule="auto"/>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b w:val="1"/>
          <w:bCs w:val="1"/>
          <w:color w:val="auto"/>
        </w:rPr>
        <w:t>Rational and Deliberate</w:t>
      </w:r>
      <w:r>
        <w:rPr>
          <w:rFonts w:ascii="Arial" w:cs="Arial" w:eastAsia="Arial" w:hAnsi="Arial"/>
          <w:sz w:val="14"/>
          <w:szCs w:val="14"/>
          <w:color w:val="auto"/>
        </w:rPr>
        <w:t>. We expect all team members to make business decisions with thought and purpose. The choices we make should be guided by the best interests of our</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our patients, and the highest ethical standards.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Talent development, compensation and retention</w:t>
      </w:r>
    </w:p>
    <w:p>
      <w:pPr>
        <w:spacing w:after="0" w:line="11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We focus on attracting, retaining, and cultivating highly-talented employees, with the goal of hiring the top 1% from the application pool. Due to our highly technical and competitive industry, we believe recruiting and retaining highly-talented personnel is key to our ability to execute our business strategy and maintain competitive margins.</w:t>
      </w:r>
    </w:p>
    <w:p>
      <w:pPr>
        <w:spacing w:after="0" w:line="5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offer our employees competitive pay, equity compensation, a retirement savings package with company matching, and other benefits such as four months of paid time off at full salary for parental or family leave, as well as incentive plans. The principal purposes of these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85"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spacing w:after="0" w:line="5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As of June 30, 2025, we had 620 employees, all of which were full-time employees. Of these employees, 117 were engaged in research and development activities and the remaining employees are engaged in laboratory operations, sales or administrative activities. None of our employees are represented by a labor union or covered by collective bargaining agreements, and we believe our relationship with our employees is good.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capital resources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385" w:right="3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168275</wp:posOffset>
            </wp:positionV>
            <wp:extent cx="4030980" cy="6464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30980"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80"/>
        <w:spacing w:after="0" w:line="252" w:lineRule="auto"/>
        <w:rPr>
          <w:sz w:val="20"/>
          <w:szCs w:val="20"/>
          <w:color w:val="auto"/>
        </w:rPr>
      </w:pPr>
      <w:r>
        <w:rPr>
          <w:rFonts w:ascii="Arial" w:cs="Arial" w:eastAsia="Arial" w:hAnsi="Arial"/>
          <w:sz w:val="14"/>
          <w:szCs w:val="14"/>
          <w:color w:val="auto"/>
        </w:rPr>
        <w:t>Our headquarters is located in Menlo Park, California, where we lease approximately 36,000 square feet of office and laboratory space pursuant to a lease that expires in February 2031. We also lease approximately 90,000 square feet of office and laboratory space in Union City, California, pursuant to a lease that expires in June 2033. We have an option to extend this lease for an additional five years.</w:t>
      </w:r>
    </w:p>
    <w:p>
      <w:pPr>
        <w:spacing w:after="0" w:line="8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To support our planned growth, we have also entered into a lease for a new facility with 220,000 square feet of office and custom laboratory space located in Austin, Texas, expected to commence on or before December 31, 2026, and expiring in October 2042, with an option to extend for an additional seven years. Once the facility is fully utilized, we expect our potential testing capacity to be nearly triple our current capabilities. We also have commercial leases for patient service centers in various cities, for an aggregate of approximately 8,000 square feet as of June 30, 2025. We expect to enter into additional leases for patient service centers in the ordinary course.</w:t>
      </w:r>
    </w:p>
    <w:p>
      <w:pPr>
        <w:spacing w:after="0" w:line="74"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We believe that our current facilities are adequate to meet our current needs and that, should it be needed, suitable additional or alternative space will be available to accommodate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146685</wp:posOffset>
            </wp:positionV>
            <wp:extent cx="4030980" cy="6527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309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From time to time, we are involved in legal claims, regulatory investigations, inquiries, proceedings and other legal matters arising from the normal course of business and typical for our industry. Although no formal legal proceeding has been instituted, from time to time, we receive requests from governmental agencies, or third parties working on their behalf, for documents and information related to our products. 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w:t>
      </w:r>
    </w:p>
    <w:p>
      <w:pPr>
        <w:spacing w:after="0" w:line="87"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Litigation or any other legal, regulatory or administrative proceedings, regardless of the outcome, can result in substantial cost and diversion of our resources, including our management’s time and attention, and there can be no assurances that favorable final outcomes will be obtained. For additional information on risks relating to legal proceedings, see the section titled “Risk Factors—Risks Related to Our Business and Strategy—We are involved in legal proceedings, regulatory investigations and inquiries and other legal matters, which may have an adverse effect on our business, financial condition, results of operations and prospects.”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40"/>
          </w:cols>
          <w:pgMar w:left="300" w:top="385" w:right="3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175895</wp:posOffset>
            </wp:positionV>
            <wp:extent cx="5436870" cy="70364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436870" cy="7036435"/>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our executive officers and directors, including their ages as of October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Age</w:t>
            </w:r>
          </w:p>
        </w:tc>
        <w:tc>
          <w:tcPr>
            <w:tcW w:w="64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Position(s)</w:t>
            </w:r>
          </w:p>
        </w:tc>
      </w:tr>
      <w:tr>
        <w:trPr>
          <w:trHeight w:val="64"/>
        </w:trPr>
        <w:tc>
          <w:tcPr>
            <w:tcW w:w="36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420" w:type="dxa"/>
            <w:vAlign w:val="bottom"/>
          </w:tcPr>
          <w:p>
            <w:pPr>
              <w:spacing w:after="0"/>
              <w:rPr>
                <w:sz w:val="5"/>
                <w:szCs w:val="5"/>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b w:val="1"/>
                <w:bCs w:val="1"/>
                <w:i w:val="1"/>
                <w:iCs w:val="1"/>
                <w:color w:val="auto"/>
              </w:rPr>
              <w:t>Executive officers and employee directors</w:t>
            </w:r>
          </w:p>
        </w:tc>
        <w:tc>
          <w:tcPr>
            <w:tcW w:w="1220" w:type="dxa"/>
            <w:vAlign w:val="bottom"/>
            <w:shd w:val="clear" w:color="auto" w:fill="E5E5E5"/>
          </w:tcPr>
          <w:p>
            <w:pPr>
              <w:spacing w:after="0"/>
              <w:rPr>
                <w:sz w:val="13"/>
                <w:szCs w:val="13"/>
                <w:color w:val="auto"/>
              </w:rPr>
            </w:pPr>
          </w:p>
        </w:tc>
        <w:tc>
          <w:tcPr>
            <w:tcW w:w="6420" w:type="dxa"/>
            <w:vAlign w:val="bottom"/>
            <w:shd w:val="clear" w:color="auto" w:fill="E5E5E5"/>
          </w:tcPr>
          <w:p>
            <w:pPr>
              <w:spacing w:after="0"/>
              <w:rPr>
                <w:sz w:val="13"/>
                <w:szCs w:val="13"/>
                <w:color w:val="auto"/>
              </w:rPr>
            </w:pPr>
          </w:p>
        </w:tc>
      </w:tr>
      <w:tr>
        <w:trPr>
          <w:trHeight w:val="254"/>
        </w:trPr>
        <w:tc>
          <w:tcPr>
            <w:tcW w:w="3640" w:type="dxa"/>
            <w:vAlign w:val="bottom"/>
          </w:tcPr>
          <w:p>
            <w:pPr>
              <w:spacing w:after="0"/>
              <w:rPr>
                <w:sz w:val="20"/>
                <w:szCs w:val="20"/>
                <w:color w:val="auto"/>
              </w:rPr>
            </w:pPr>
            <w:r>
              <w:rPr>
                <w:rFonts w:ascii="Arial" w:cs="Arial" w:eastAsia="Arial" w:hAnsi="Arial"/>
                <w:sz w:val="14"/>
                <w:szCs w:val="14"/>
                <w:color w:val="auto"/>
              </w:rPr>
              <w:t>Oguzhan Atay, PhD</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37</w:t>
            </w:r>
          </w:p>
        </w:tc>
        <w:tc>
          <w:tcPr>
            <w:tcW w:w="6420" w:type="dxa"/>
            <w:vAlign w:val="bottom"/>
          </w:tcPr>
          <w:p>
            <w:pPr>
              <w:ind w:left="120"/>
              <w:spacing w:after="0"/>
              <w:rPr>
                <w:sz w:val="20"/>
                <w:szCs w:val="20"/>
                <w:color w:val="auto"/>
              </w:rPr>
            </w:pPr>
            <w:r>
              <w:rPr>
                <w:rFonts w:ascii="Arial" w:cs="Arial" w:eastAsia="Arial" w:hAnsi="Arial"/>
                <w:sz w:val="14"/>
                <w:szCs w:val="14"/>
                <w:color w:val="auto"/>
              </w:rPr>
              <w:t>Chief Executive Officer and Chair of the Board</w:t>
            </w:r>
          </w:p>
        </w:tc>
      </w:tr>
      <w:tr>
        <w:trPr>
          <w:trHeight w:val="71"/>
        </w:trPr>
        <w:tc>
          <w:tcPr>
            <w:tcW w:w="3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420" w:type="dxa"/>
            <w:vAlign w:val="bottom"/>
          </w:tcPr>
          <w:p>
            <w:pPr>
              <w:spacing w:after="0"/>
              <w:rPr>
                <w:sz w:val="6"/>
                <w:szCs w:val="6"/>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David Tsao, PhD</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36</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President, Chief Technology Officer and Director</w:t>
            </w:r>
          </w:p>
        </w:tc>
      </w:tr>
      <w:tr>
        <w:trPr>
          <w:trHeight w:val="254"/>
        </w:trPr>
        <w:tc>
          <w:tcPr>
            <w:tcW w:w="3640" w:type="dxa"/>
            <w:vAlign w:val="bottom"/>
          </w:tcPr>
          <w:p>
            <w:pPr>
              <w:spacing w:after="0"/>
              <w:rPr>
                <w:sz w:val="20"/>
                <w:szCs w:val="20"/>
                <w:color w:val="auto"/>
              </w:rPr>
            </w:pPr>
            <w:r>
              <w:rPr>
                <w:rFonts w:ascii="Arial" w:cs="Arial" w:eastAsia="Arial" w:hAnsi="Arial"/>
                <w:sz w:val="14"/>
                <w:szCs w:val="14"/>
                <w:color w:val="auto"/>
              </w:rPr>
              <w:t>Ross Taylor</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62</w:t>
            </w:r>
          </w:p>
        </w:tc>
        <w:tc>
          <w:tcPr>
            <w:tcW w:w="6420" w:type="dxa"/>
            <w:vAlign w:val="bottom"/>
          </w:tcPr>
          <w:p>
            <w:pPr>
              <w:ind w:left="120"/>
              <w:spacing w:after="0"/>
              <w:rPr>
                <w:sz w:val="20"/>
                <w:szCs w:val="20"/>
                <w:color w:val="auto"/>
              </w:rPr>
            </w:pPr>
            <w:r>
              <w:rPr>
                <w:rFonts w:ascii="Arial" w:cs="Arial" w:eastAsia="Arial" w:hAnsi="Arial"/>
                <w:sz w:val="14"/>
                <w:szCs w:val="14"/>
                <w:color w:val="auto"/>
              </w:rPr>
              <w:t>Chief Financial Officer</w:t>
            </w:r>
          </w:p>
        </w:tc>
      </w:tr>
      <w:tr>
        <w:trPr>
          <w:trHeight w:val="71"/>
        </w:trPr>
        <w:tc>
          <w:tcPr>
            <w:tcW w:w="3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420" w:type="dxa"/>
            <w:vAlign w:val="bottom"/>
          </w:tcPr>
          <w:p>
            <w:pPr>
              <w:spacing w:after="0"/>
              <w:rPr>
                <w:sz w:val="6"/>
                <w:szCs w:val="6"/>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Shan Riku Sakakibara</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42</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Chief Product Officer</w:t>
            </w:r>
          </w:p>
        </w:tc>
      </w:tr>
      <w:tr>
        <w:trPr>
          <w:trHeight w:val="254"/>
        </w:trPr>
        <w:tc>
          <w:tcPr>
            <w:tcW w:w="3640" w:type="dxa"/>
            <w:vAlign w:val="bottom"/>
          </w:tcPr>
          <w:p>
            <w:pPr>
              <w:spacing w:after="0"/>
              <w:rPr>
                <w:sz w:val="20"/>
                <w:szCs w:val="20"/>
                <w:color w:val="auto"/>
              </w:rPr>
            </w:pPr>
            <w:r>
              <w:rPr>
                <w:rFonts w:ascii="Arial" w:cs="Arial" w:eastAsia="Arial" w:hAnsi="Arial"/>
                <w:sz w:val="14"/>
                <w:szCs w:val="14"/>
                <w:color w:val="auto"/>
              </w:rPr>
              <w:t>Thomas Lynch</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58</w:t>
            </w:r>
          </w:p>
        </w:tc>
        <w:tc>
          <w:tcPr>
            <w:tcW w:w="6420" w:type="dxa"/>
            <w:vAlign w:val="bottom"/>
          </w:tcPr>
          <w:p>
            <w:pPr>
              <w:ind w:left="120"/>
              <w:spacing w:after="0"/>
              <w:rPr>
                <w:sz w:val="20"/>
                <w:szCs w:val="20"/>
                <w:color w:val="auto"/>
              </w:rPr>
            </w:pPr>
            <w:r>
              <w:rPr>
                <w:rFonts w:ascii="Arial" w:cs="Arial" w:eastAsia="Arial" w:hAnsi="Arial"/>
                <w:sz w:val="14"/>
                <w:szCs w:val="14"/>
                <w:color w:val="auto"/>
              </w:rPr>
              <w:t>General Counsel, Chief Compliance Officer and Secretary</w:t>
            </w:r>
          </w:p>
        </w:tc>
      </w:tr>
      <w:tr>
        <w:trPr>
          <w:trHeight w:val="71"/>
        </w:trPr>
        <w:tc>
          <w:tcPr>
            <w:tcW w:w="3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420" w:type="dxa"/>
            <w:vAlign w:val="bottom"/>
          </w:tcPr>
          <w:p>
            <w:pPr>
              <w:spacing w:after="0"/>
              <w:rPr>
                <w:sz w:val="6"/>
                <w:szCs w:val="6"/>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Nancy Johnson</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62</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Senior Vice President of Sales and Commercial Operations</w:t>
            </w:r>
          </w:p>
        </w:tc>
      </w:tr>
      <w:tr>
        <w:trPr>
          <w:trHeight w:val="254"/>
        </w:trPr>
        <w:tc>
          <w:tcPr>
            <w:tcW w:w="3640" w:type="dxa"/>
            <w:vAlign w:val="bottom"/>
          </w:tcPr>
          <w:p>
            <w:pPr>
              <w:spacing w:after="0"/>
              <w:rPr>
                <w:sz w:val="20"/>
                <w:szCs w:val="20"/>
                <w:color w:val="auto"/>
              </w:rPr>
            </w:pPr>
            <w:r>
              <w:rPr>
                <w:rFonts w:ascii="Arial" w:cs="Arial" w:eastAsia="Arial" w:hAnsi="Arial"/>
                <w:sz w:val="14"/>
                <w:szCs w:val="14"/>
                <w:color w:val="auto"/>
              </w:rPr>
              <w:t>John ten Bosch, PhD</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50</w:t>
            </w:r>
          </w:p>
        </w:tc>
        <w:tc>
          <w:tcPr>
            <w:tcW w:w="6420" w:type="dxa"/>
            <w:vAlign w:val="bottom"/>
          </w:tcPr>
          <w:p>
            <w:pPr>
              <w:ind w:left="120"/>
              <w:spacing w:after="0"/>
              <w:rPr>
                <w:sz w:val="20"/>
                <w:szCs w:val="20"/>
                <w:color w:val="auto"/>
              </w:rPr>
            </w:pPr>
            <w:r>
              <w:rPr>
                <w:rFonts w:ascii="Arial" w:cs="Arial" w:eastAsia="Arial" w:hAnsi="Arial"/>
                <w:sz w:val="14"/>
                <w:szCs w:val="14"/>
                <w:color w:val="auto"/>
              </w:rPr>
              <w:t>Senior Vice President of Laboratory Operations</w:t>
            </w:r>
          </w:p>
        </w:tc>
      </w:tr>
      <w:tr>
        <w:trPr>
          <w:trHeight w:val="71"/>
        </w:trPr>
        <w:tc>
          <w:tcPr>
            <w:tcW w:w="3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420" w:type="dxa"/>
            <w:vAlign w:val="bottom"/>
          </w:tcPr>
          <w:p>
            <w:pPr>
              <w:spacing w:after="0"/>
              <w:rPr>
                <w:sz w:val="6"/>
                <w:szCs w:val="6"/>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John Lister</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50</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Chief Administrative Officer</w:t>
            </w:r>
          </w:p>
        </w:tc>
      </w:tr>
      <w:tr>
        <w:trPr>
          <w:trHeight w:val="262"/>
        </w:trPr>
        <w:tc>
          <w:tcPr>
            <w:tcW w:w="3640" w:type="dxa"/>
            <w:vAlign w:val="bottom"/>
          </w:tcPr>
          <w:p>
            <w:pPr>
              <w:spacing w:after="0"/>
              <w:rPr>
                <w:sz w:val="20"/>
                <w:szCs w:val="20"/>
                <w:color w:val="auto"/>
              </w:rPr>
            </w:pPr>
            <w:r>
              <w:rPr>
                <w:rFonts w:ascii="Arial" w:cs="Arial" w:eastAsia="Arial" w:hAnsi="Arial"/>
                <w:sz w:val="14"/>
                <w:szCs w:val="14"/>
                <w:b w:val="1"/>
                <w:bCs w:val="1"/>
                <w:i w:val="1"/>
                <w:iCs w:val="1"/>
                <w:color w:val="auto"/>
              </w:rPr>
              <w:t>Non-employee directors</w:t>
            </w:r>
          </w:p>
        </w:tc>
        <w:tc>
          <w:tcPr>
            <w:tcW w:w="1220" w:type="dxa"/>
            <w:vAlign w:val="bottom"/>
          </w:tcPr>
          <w:p>
            <w:pPr>
              <w:spacing w:after="0"/>
              <w:rPr>
                <w:sz w:val="22"/>
                <w:szCs w:val="22"/>
                <w:color w:val="auto"/>
              </w:rPr>
            </w:pPr>
          </w:p>
        </w:tc>
        <w:tc>
          <w:tcPr>
            <w:tcW w:w="6420" w:type="dxa"/>
            <w:vAlign w:val="bottom"/>
          </w:tcPr>
          <w:p>
            <w:pPr>
              <w:spacing w:after="0"/>
              <w:rPr>
                <w:sz w:val="22"/>
                <w:szCs w:val="22"/>
                <w:color w:val="auto"/>
              </w:rPr>
            </w:pPr>
          </w:p>
        </w:tc>
      </w:tr>
      <w:tr>
        <w:trPr>
          <w:trHeight w:val="63"/>
        </w:trPr>
        <w:tc>
          <w:tcPr>
            <w:tcW w:w="36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420" w:type="dxa"/>
            <w:vAlign w:val="bottom"/>
          </w:tcPr>
          <w:p>
            <w:pPr>
              <w:spacing w:after="0"/>
              <w:rPr>
                <w:sz w:val="5"/>
                <w:szCs w:val="5"/>
                <w:color w:val="auto"/>
              </w:rPr>
            </w:pP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Thomas Bremner</w:t>
            </w:r>
            <w:r>
              <w:rPr>
                <w:rFonts w:ascii="Arial" w:cs="Arial" w:eastAsia="Arial" w:hAnsi="Arial"/>
                <w:sz w:val="18"/>
                <w:szCs w:val="18"/>
                <w:color w:val="auto"/>
                <w:vertAlign w:val="superscript"/>
              </w:rPr>
              <w:t>(1)(2)</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43</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Director</w:t>
            </w:r>
          </w:p>
        </w:tc>
      </w:tr>
      <w:tr>
        <w:trPr>
          <w:trHeight w:val="325"/>
        </w:trPr>
        <w:tc>
          <w:tcPr>
            <w:tcW w:w="3640" w:type="dxa"/>
            <w:vAlign w:val="bottom"/>
          </w:tcPr>
          <w:p>
            <w:pPr>
              <w:spacing w:after="0"/>
              <w:rPr>
                <w:sz w:val="20"/>
                <w:szCs w:val="20"/>
                <w:color w:val="auto"/>
              </w:rPr>
            </w:pPr>
            <w:r>
              <w:rPr>
                <w:rFonts w:ascii="Arial" w:cs="Arial" w:eastAsia="Arial" w:hAnsi="Arial"/>
                <w:sz w:val="14"/>
                <w:szCs w:val="14"/>
                <w:color w:val="auto"/>
              </w:rPr>
              <w:t>Firat Ileri</w:t>
            </w:r>
            <w:r>
              <w:rPr>
                <w:rFonts w:ascii="Arial" w:cs="Arial" w:eastAsia="Arial" w:hAnsi="Arial"/>
                <w:sz w:val="20"/>
                <w:szCs w:val="20"/>
                <w:color w:val="auto"/>
                <w:vertAlign w:val="superscript"/>
              </w:rPr>
              <w:t>(2)(3)</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38</w:t>
            </w:r>
          </w:p>
        </w:tc>
        <w:tc>
          <w:tcPr>
            <w:tcW w:w="642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57"/>
        </w:trPr>
        <w:tc>
          <w:tcPr>
            <w:tcW w:w="36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Krishna Swaroop Kolluri</w:t>
            </w:r>
            <w:r>
              <w:rPr>
                <w:rFonts w:ascii="Arial" w:cs="Arial" w:eastAsia="Arial" w:hAnsi="Arial"/>
                <w:sz w:val="18"/>
                <w:szCs w:val="18"/>
                <w:color w:val="auto"/>
                <w:vertAlign w:val="superscript"/>
              </w:rPr>
              <w:t>(2)</w:t>
            </w:r>
          </w:p>
        </w:tc>
        <w:tc>
          <w:tcPr>
            <w:tcW w:w="1220" w:type="dxa"/>
            <w:vAlign w:val="bottom"/>
            <w:shd w:val="clear" w:color="auto" w:fill="E5E5E5"/>
          </w:tcPr>
          <w:p>
            <w:pPr>
              <w:jc w:val="right"/>
              <w:ind w:right="71"/>
              <w:spacing w:after="0" w:line="157" w:lineRule="exact"/>
              <w:rPr>
                <w:sz w:val="20"/>
                <w:szCs w:val="20"/>
                <w:color w:val="auto"/>
              </w:rPr>
            </w:pPr>
            <w:r>
              <w:rPr>
                <w:rFonts w:ascii="Arial" w:cs="Arial" w:eastAsia="Arial" w:hAnsi="Arial"/>
                <w:sz w:val="14"/>
                <w:szCs w:val="14"/>
                <w:color w:val="auto"/>
              </w:rPr>
              <w:t>61</w:t>
            </w:r>
          </w:p>
        </w:tc>
        <w:tc>
          <w:tcPr>
            <w:tcW w:w="642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Director</w:t>
            </w:r>
          </w:p>
        </w:tc>
      </w:tr>
      <w:tr>
        <w:trPr>
          <w:trHeight w:val="353"/>
        </w:trPr>
        <w:tc>
          <w:tcPr>
            <w:tcW w:w="3640" w:type="dxa"/>
            <w:vAlign w:val="bottom"/>
          </w:tcPr>
          <w:p>
            <w:pPr>
              <w:spacing w:after="0"/>
              <w:rPr>
                <w:sz w:val="20"/>
                <w:szCs w:val="20"/>
                <w:color w:val="auto"/>
              </w:rPr>
            </w:pPr>
            <w:r>
              <w:rPr>
                <w:rFonts w:ascii="Arial" w:cs="Arial" w:eastAsia="Arial" w:hAnsi="Arial"/>
                <w:sz w:val="14"/>
                <w:szCs w:val="14"/>
                <w:color w:val="auto"/>
              </w:rPr>
              <w:t>Akshay Rai</w:t>
            </w:r>
            <w:r>
              <w:rPr>
                <w:rFonts w:ascii="Arial" w:cs="Arial" w:eastAsia="Arial" w:hAnsi="Arial"/>
                <w:sz w:val="20"/>
                <w:szCs w:val="20"/>
                <w:color w:val="auto"/>
                <w:vertAlign w:val="superscript"/>
              </w:rPr>
              <w:t>(1)</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41</w:t>
            </w:r>
          </w:p>
        </w:tc>
        <w:tc>
          <w:tcPr>
            <w:tcW w:w="6420" w:type="dxa"/>
            <w:vAlign w:val="bottom"/>
          </w:tcPr>
          <w:p>
            <w:pPr>
              <w:ind w:left="12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16280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89" w:lineRule="exact"/>
        <w:rPr>
          <w:sz w:val="20"/>
          <w:szCs w:val="20"/>
          <w:color w:val="auto"/>
        </w:rPr>
      </w:pPr>
    </w:p>
    <w:p>
      <w:pPr>
        <w:ind w:left="320" w:hanging="316"/>
        <w:spacing w:after="0"/>
        <w:tabs>
          <w:tab w:leader="none" w:pos="32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Member of the audit committee immediately after the effectiveness of the registration statement of which this prospectus forms a part.</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Lead 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employee directors</w:t>
      </w:r>
    </w:p>
    <w:p>
      <w:pPr>
        <w:spacing w:after="0" w:line="115"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b w:val="1"/>
          <w:bCs w:val="1"/>
          <w:i w:val="1"/>
          <w:iCs w:val="1"/>
          <w:color w:val="auto"/>
        </w:rPr>
        <w:t xml:space="preserve">Oguzhan Atay </w:t>
      </w:r>
      <w:r>
        <w:rPr>
          <w:rFonts w:ascii="Arial" w:cs="Arial" w:eastAsia="Arial" w:hAnsi="Arial"/>
          <w:sz w:val="14"/>
          <w:szCs w:val="14"/>
          <w:color w:val="auto"/>
        </w:rPr>
        <w:t>is our Chief Executive Officer and Co-Founder, having led the Company since its inception in 2016, and also serves as the Chair of our Board of Directors. Dr. Atay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received his PhD in Biology from Stanford University, where his work was published on the cover of Cell Systems. He graduated summa cum laude and Phi Beta Kappa from Princeton University with a bachelor’s in molecular biology and minors in physics, computer science, and applied mathematics. We believe that Dr. Atay is qualified to serve on our Board of Directors because of his experience as our co-founder and Chief Executive Officer, his co-development of our molecular counting platform, and his extensive knowledge of the precision diagnostics industry.</w:t>
      </w:r>
    </w:p>
    <w:p>
      <w:pPr>
        <w:spacing w:after="0" w:line="77" w:lineRule="exact"/>
        <w:rPr>
          <w:sz w:val="20"/>
          <w:szCs w:val="20"/>
          <w:color w:val="auto"/>
        </w:rPr>
      </w:pPr>
    </w:p>
    <w:p>
      <w:pPr>
        <w:ind w:right="180"/>
        <w:spacing w:after="0" w:line="280" w:lineRule="auto"/>
        <w:rPr>
          <w:sz w:val="20"/>
          <w:szCs w:val="20"/>
          <w:color w:val="auto"/>
        </w:rPr>
      </w:pPr>
      <w:r>
        <w:rPr>
          <w:rFonts w:ascii="Arial" w:cs="Arial" w:eastAsia="Arial" w:hAnsi="Arial"/>
          <w:sz w:val="13"/>
          <w:szCs w:val="13"/>
          <w:b w:val="1"/>
          <w:bCs w:val="1"/>
          <w:i w:val="1"/>
          <w:iCs w:val="1"/>
          <w:color w:val="auto"/>
        </w:rPr>
        <w:t xml:space="preserve">David Tsao </w:t>
      </w:r>
      <w:r>
        <w:rPr>
          <w:rFonts w:ascii="Arial" w:cs="Arial" w:eastAsia="Arial" w:hAnsi="Arial"/>
          <w:sz w:val="13"/>
          <w:szCs w:val="13"/>
          <w:color w:val="auto"/>
        </w:rPr>
        <w:t>is our President, Chief Technology Officer and Co-Founder, having been with the Company since its inception in 2016, and also serves as a member of our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Dr. Tsao oversees all technology developments at BillionToOne. He received a PhD in bioengineering from Rice University, where he was awarded a nanobiology training fellowship. He graduated cum laude from Princeton University with a bachelor’s in physics and minors in biophysics and engineering management systems. While at Princeton, he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1280"/>
          </w:cols>
          <w:pgMar w:left="300" w:top="385"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was twice awarded the Shenstone Prize in physics. We believe that Dr. Tsao is qualified to serve on our Board of Directors because of his co-development of our molecular counting platform, extensive technical expertise in molecular biology, and deep knowledge of the precision diagnostics industry.</w:t>
      </w:r>
    </w:p>
    <w:p>
      <w:pPr>
        <w:spacing w:after="0" w:line="59"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i w:val="1"/>
          <w:iCs w:val="1"/>
          <w:color w:val="auto"/>
        </w:rPr>
        <w:t xml:space="preserve">Ross Taylor </w:t>
      </w:r>
      <w:r>
        <w:rPr>
          <w:rFonts w:ascii="Arial" w:cs="Arial" w:eastAsia="Arial" w:hAnsi="Arial"/>
          <w:sz w:val="14"/>
          <w:szCs w:val="14"/>
          <w:color w:val="auto"/>
        </w:rPr>
        <w:t>has served as our Chief Financial Officer since January 2024, bringing three decades of financial leadership to the Company. Prior to joining BillionToOne, Mr. Taylor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Chief Financial Officer for Codexis, Inc., a publicly traded enzyme engineering company, from 2019 to February 2023. Previously, he served as Chief Financial Officer of Abaxis, Inc., a publicly traded medical technology company, acquired by Zoetis for $2.0 billion. At Abaxis, he first held the role of Vice President of Business Development &amp; Investor Relations from 2014 to 2015, before being appointed CFO from August 2015 through the company’s successful acquisition in July 2018. Early in his career, Mr. Taylor spent more than a decade as an equity research analyst at leading Wall Street firms including CL King &amp; Associates, UBS, Smith Barney, and CJ Lawrence, providing deep expertise in capital markets and strategic financial planning. Mr. Taylor holds an MBA from Columbia Business School and a B.A. in economics from Duke University.</w:t>
      </w:r>
    </w:p>
    <w:p>
      <w:pPr>
        <w:spacing w:after="0" w:line="90"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b w:val="1"/>
          <w:bCs w:val="1"/>
          <w:i w:val="1"/>
          <w:iCs w:val="1"/>
          <w:color w:val="auto"/>
        </w:rPr>
        <w:t xml:space="preserve">Shan Riku Sakakibara </w:t>
      </w:r>
      <w:r>
        <w:rPr>
          <w:rFonts w:ascii="Arial" w:cs="Arial" w:eastAsia="Arial" w:hAnsi="Arial"/>
          <w:sz w:val="14"/>
          <w:szCs w:val="14"/>
          <w:color w:val="auto"/>
        </w:rPr>
        <w:t>joined BillionToOne in 2019 as one of our first employees and currently serves as our Chief Product Officer. Prior to her role as Chief Product Officer, Ms. Riku</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Sakakibara served in other executive positions, most recently as Senior Vice President of Product. Ms. Riku Sakakibara oversees both clinical and software product management, marketing, translational research, and clinical and medical affairs at BillionToOne. Ms. Riku Sakakibara has over 15 years of experience in launching and managing a wide range of products from software products to precision diagnostics clinical assays. Previously, Ms. Riku Sakakibara served as a Senior Product Manager and Portfolio Strategy Manager at Natera, Inc. from 2015 to 2017. Ms. Riku Sakakibara started her career at McKinsey &amp; Co., where she worked with Fortune 100 companies. Ms. Riku Sakakibara graduated with a B.S. in chemistry from Massachusetts Institute of Technology, holds an MBA from Stanford University, and an MPA/ID from Harvard University.</w:t>
      </w:r>
    </w:p>
    <w:p>
      <w:pPr>
        <w:spacing w:after="0" w:line="90" w:lineRule="exact"/>
        <w:rPr>
          <w:sz w:val="20"/>
          <w:szCs w:val="20"/>
          <w:color w:val="auto"/>
        </w:rPr>
      </w:pPr>
    </w:p>
    <w:p>
      <w:pPr>
        <w:ind w:right="60"/>
        <w:spacing w:after="0"/>
        <w:rPr>
          <w:sz w:val="20"/>
          <w:szCs w:val="20"/>
          <w:color w:val="auto"/>
        </w:rPr>
      </w:pPr>
      <w:r>
        <w:rPr>
          <w:rFonts w:ascii="Arial" w:cs="Arial" w:eastAsia="Arial" w:hAnsi="Arial"/>
          <w:sz w:val="14"/>
          <w:szCs w:val="14"/>
          <w:b w:val="1"/>
          <w:bCs w:val="1"/>
          <w:i w:val="1"/>
          <w:iCs w:val="1"/>
          <w:color w:val="auto"/>
        </w:rPr>
        <w:t xml:space="preserve">Thomas Lynch </w:t>
      </w:r>
      <w:r>
        <w:rPr>
          <w:rFonts w:ascii="Arial" w:cs="Arial" w:eastAsia="Arial" w:hAnsi="Arial"/>
          <w:sz w:val="14"/>
          <w:szCs w:val="14"/>
          <w:color w:val="auto"/>
        </w:rPr>
        <w:t>joined BillionToOne as our General Counsel in October 2022. Mr. Lynch brings over two decades of experience leading legal teams. Prior to joining us, he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Chief Compliance Officer, Advanced Healthcare Solutions at Fortive Corporation, a publicly traded provider of connected workflow solutions technologies, from April 2021 to October 2022. From 2018 to April 2021, Mr. Lynch served as the Chief Legal Officer at Nuwellis, a publicly traded medical device company. From 2015 to 2018, Mr. Lynch served as the Chief Administrative Officer and General Counsel at Orexigen Therapeutics, a publicly traded biotechnology company, which filed a voluntary petition for Chapter 11 bankruptcy in March 2018. In June 2018, Mr. Lynch was appointed as president of Orexigen Therapeutics to manage its restructuring. Mr. Lynch also held various senior legal and compliance positions at Boston Scientific Corporation and Novartis Pharma, earlier in his career. Mr. Lynch began his legal career at Dorsey &amp; Whitney LLP. Mr. Lynch earned a B.A. in history from Stanford University, a JD from Boston College Law School and an MA in teaching from the University of St. Thomas, where he serves as an Adjunct Professor of Law.</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b w:val="1"/>
          <w:bCs w:val="1"/>
          <w:i w:val="1"/>
          <w:iCs w:val="1"/>
          <w:color w:val="auto"/>
        </w:rPr>
        <w:t xml:space="preserve">Nancy Johnson </w:t>
      </w:r>
      <w:r>
        <w:rPr>
          <w:rFonts w:ascii="Arial" w:cs="Arial" w:eastAsia="Arial" w:hAnsi="Arial"/>
          <w:sz w:val="14"/>
          <w:szCs w:val="14"/>
          <w:color w:val="auto"/>
        </w:rPr>
        <w:t>joined BillionToOne in April 2019, even prior to the initial commercialization of our products, and has built both our prenatal and oncology commercial organizations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our Senior Vice President of Sales and Commercial Operations. Ms. Johnson brings more than 20 years of diagnostic sales leadership experience in both start-up and large-scale sales organizations. Most recently, Ms. Johnson played a key role in commercial strategy and execution at Foundation Medicine, a publicly traded molecular information company, that was acquired by Roche during her tenure. Prior to Foundation Medicine, she held several commercial leadership positions at various molecular diagnostic companies. Ms. Johnson started her career as a board-certified Medical Technologist and earned a B.S. in medical technology from Creighton University.</w:t>
      </w:r>
    </w:p>
    <w:p>
      <w:pPr>
        <w:spacing w:after="0" w:line="87"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b w:val="1"/>
          <w:bCs w:val="1"/>
          <w:i w:val="1"/>
          <w:iCs w:val="1"/>
          <w:color w:val="auto"/>
        </w:rPr>
        <w:t xml:space="preserve">John ten Bosch </w:t>
      </w:r>
      <w:r>
        <w:rPr>
          <w:rFonts w:ascii="Arial" w:cs="Arial" w:eastAsia="Arial" w:hAnsi="Arial"/>
          <w:sz w:val="14"/>
          <w:szCs w:val="14"/>
          <w:color w:val="auto"/>
        </w:rPr>
        <w:t>joined BillionToOne in September 2020 as our Laboratory Director and has since been promoted multiple times, most recently to the role of Senior Vice President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Laboratory Operations. Dr. ten Bosch brings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1280"/>
          </w:cols>
          <w:pgMar w:left="300" w:top="385" w:right="3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over 15 years of experience leading high-complexity CLIA laboratories, with expertise in regulatory oversight, clinical laboratory operations, and test development. Prior to joining BillionToOne, he worked at Kaiser Permanente from 2012 to 2020, where he served as both Laboratory Director and Director of Quality for the Molecular Pathology and Cytogenetics laboratories. Dr. ten Bosch graduated magna cum laude from the University of California, Davis with a B.S. in Genetics. He earned his Ph.D. in Molecular and Cell Biology from the University of California, Berkeley, and completed postdoctoral fellowships at Stanford and UCLA.</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i w:val="1"/>
          <w:iCs w:val="1"/>
          <w:color w:val="auto"/>
        </w:rPr>
        <w:t xml:space="preserve">John Lister </w:t>
      </w:r>
      <w:r>
        <w:rPr>
          <w:rFonts w:ascii="Arial" w:cs="Arial" w:eastAsia="Arial" w:hAnsi="Arial"/>
          <w:sz w:val="14"/>
          <w:szCs w:val="14"/>
          <w:color w:val="auto"/>
        </w:rPr>
        <w:t>joined BillionToOne in July 2025 as our Chief Administrative Officer. Prior to joining BillionToOne, Mr. Lister served as Chief Operating Officer of the Tidepool Project,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diabetes software company, from June 2022 through June 2025. From January 2020 through January 2023, Mr. Lister provided strategic commercial, corporate finance and legal advice to companies in the healthcare space, including Tandem Diabetes, Zoe Global, WaveForm Diabetes and Candid Dental. Previously, Mr. Lister worked for Dexcom, Inc., a publicly-traded producer of continuous glucose monitoring systems, from 2008 to 2019. Mr Lister served in various executive positions at Dexcom, including as General Counsel &amp; Head of Human Resources from 2008 to 2015, and as General Manager for Dexcom’s International business from 2015 to 2019. Mr. Lister began his career as an attorney at Fenwick &amp; West LLP. Mr. Lister earned a B.A. in government and literature from Claremont McKenna College and a JD from University of San Francisco Law School.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0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b w:val="1"/>
          <w:bCs w:val="1"/>
          <w:i w:val="1"/>
          <w:iCs w:val="1"/>
          <w:color w:val="auto"/>
        </w:rPr>
        <w:t xml:space="preserve">Thomas Bremner </w:t>
      </w:r>
      <w:r>
        <w:rPr>
          <w:rFonts w:ascii="Arial" w:cs="Arial" w:eastAsia="Arial" w:hAnsi="Arial"/>
          <w:sz w:val="14"/>
          <w:szCs w:val="14"/>
          <w:color w:val="auto"/>
        </w:rPr>
        <w:t>has been a member of our Board of Directors since March 2022. Mr. Bremner is currently a partner of the Growth Equity team of Adams Street Partners, LLC,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global private equity investment management firm, and has been employed by Adams Street since 2013. Mr. Bremner’s experience with the growth and development of healthcare companies provides our Board of Directors with a unique perspective on our long-term strategy. Mr. Bremner holds a B.S. in finance from the University of Dayton and an MBA from University of Chicago Booth School of Business. We believe that Mr. Bremner is qualified to serve on our Board of Directors because of his years of experience as an advisor to a wide range of healthcare companies.</w:t>
      </w:r>
    </w:p>
    <w:p>
      <w:pPr>
        <w:spacing w:after="0" w:line="8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b w:val="1"/>
          <w:bCs w:val="1"/>
          <w:i w:val="1"/>
          <w:iCs w:val="1"/>
          <w:color w:val="auto"/>
        </w:rPr>
        <w:t xml:space="preserve">Krishna Swaroop Kolluri </w:t>
      </w:r>
      <w:r>
        <w:rPr>
          <w:rFonts w:ascii="Arial" w:cs="Arial" w:eastAsia="Arial" w:hAnsi="Arial"/>
          <w:sz w:val="14"/>
          <w:szCs w:val="14"/>
          <w:color w:val="auto"/>
        </w:rPr>
        <w:t>has been a member of our Board of Directors since 2019. Mr. Kolluri has over 30 years of experience as a successful serial entrepreneur, CEO, senior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executive, and venture capitalist Mr. Kolluri is a founding partner of Neotribe Ventures, an investment firm founded in 2017 that invests in breakthrough technology companies. Prior founding Neotribe, Mr. Kolluri was the General Partner of New Enterprise Associates from 2006 to 2016, focusing on venture financing with early stage companies. Mr. Kolluri received a B.Tech. in Mechanical Engineering from the Indian Institute of Technology Madras, India, and his Masters in Industrial Engineering from the University at Buffalo. We believe that Mr. Kolluri is qualified to serve on our Board of Directors because of his extensive executive management and venture capital experience.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Firat Ileri </w:t>
      </w:r>
      <w:r>
        <w:rPr>
          <w:rFonts w:ascii="Arial" w:cs="Arial" w:eastAsia="Arial" w:hAnsi="Arial"/>
          <w:sz w:val="14"/>
          <w:szCs w:val="14"/>
          <w:color w:val="auto"/>
        </w:rPr>
        <w:t>has been a member of our Board of Directors since 2019. Mr. Ileri is currently the managing partner of Hummingbird Ventures a global venture capital firm with over</w:t>
      </w:r>
    </w:p>
    <w:p>
      <w:pPr>
        <w:spacing w:after="0" w:line="10" w:lineRule="exact"/>
        <w:rPr>
          <w:sz w:val="20"/>
          <w:szCs w:val="20"/>
          <w:color w:val="auto"/>
        </w:rPr>
      </w:pPr>
    </w:p>
    <w:p>
      <w:pPr>
        <w:jc w:val="both"/>
        <w:ind w:right="140"/>
        <w:spacing w:after="0" w:line="241" w:lineRule="auto"/>
        <w:rPr>
          <w:sz w:val="20"/>
          <w:szCs w:val="20"/>
          <w:color w:val="auto"/>
        </w:rPr>
      </w:pPr>
      <w:r>
        <w:rPr>
          <w:rFonts w:ascii="Arial" w:cs="Arial" w:eastAsia="Arial" w:hAnsi="Arial"/>
          <w:sz w:val="14"/>
          <w:szCs w:val="14"/>
          <w:color w:val="auto"/>
        </w:rPr>
        <w:t>$1 billion in assets under management, which he joined in 2012. Mr. Ileri earned his B.S. in electrical engineering and computer science and in management science, and a Masters of Engineering in electrical engineering and computer science, all from Massachusetts Institute of Technology. We believe that Mr. Ileri is qualified to serve on our Board of Directors because of his venture capital experience in the biopharmaceutical and technology industries.</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b w:val="1"/>
          <w:bCs w:val="1"/>
          <w:i w:val="1"/>
          <w:iCs w:val="1"/>
          <w:color w:val="auto"/>
        </w:rPr>
        <w:t xml:space="preserve">Akshay Rai </w:t>
      </w:r>
      <w:r>
        <w:rPr>
          <w:rFonts w:ascii="Arial" w:cs="Arial" w:eastAsia="Arial" w:hAnsi="Arial"/>
          <w:sz w:val="14"/>
          <w:szCs w:val="14"/>
          <w:color w:val="auto"/>
        </w:rPr>
        <w:t>has been a member of our Board of Directors since May 2024. Mr. Rai is a professional investor with over 18 years of experience investing in public and private equities,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a focus on healthcare and life sciences. He currently leads U.S. healthcare investments for Premji Invest, investing in growth stage private companies. Mr. Rai has been with Premji Invest since July 2010 and helped establish the U.S. healthcare investments practice for the firm, which includes investments in companies like Moderna, Devoted Health and Iora Health, among others. Prior to joining Premji Invest, Mr. Rai was part of the equity research team at Citigroup in India.</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1280"/>
          </w:cols>
          <w:pgMar w:left="300" w:top="385" w:right="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Mr. Rai holds a bachelor of engineering degree from National Institute of Technology Karnataka and an MBA from the Indian Institute of Management Bangalore. We believe that Mr. Rai is qualified to serve on our Board of Directors because of his investment experience with both private and public healthcare companies.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our executive officers or directors.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After the completion of this offering, the number of directors will be fixed by our Board of Directors, subject to the terms of our Post-IPO Certificate of Incorporation and Post-IPO Bylaws as each are in effect after this offering. Each of our current directors will continue to serve as a director until the election and qualification of his or her successor, or until his or her earlier death, resignation, or removal. In accordance with the terms of our Post-IPO Certificate of Incorporation and Post-IPO Bylaws that will be effective immediately prior to the completion of this offering, our Board will be divided into three classes, Class I, Class II, and Class III, with members of each class serving staggered three-year terms. Effective immediately prior to the completion of this offering, our Board will be divided into the following classes:</w:t>
      </w:r>
    </w:p>
    <w:p>
      <w:pPr>
        <w:spacing w:after="0" w:line="87" w:lineRule="exact"/>
        <w:rPr>
          <w:sz w:val="20"/>
          <w:szCs w:val="20"/>
          <w:color w:val="auto"/>
        </w:rPr>
      </w:pPr>
    </w:p>
    <w:p>
      <w:pPr>
        <w:ind w:left="220" w:hanging="216"/>
        <w:spacing w:after="0"/>
        <w:tabs>
          <w:tab w:leader="none" w:pos="2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Class I, which will consist of Oguzhan Atay and Akshay Rai, whose terms will expire at our first annual meeting of stockholders to be held after the completion of this offering;</w:t>
      </w:r>
    </w:p>
    <w:p>
      <w:pPr>
        <w:spacing w:after="0" w:line="111" w:lineRule="exact"/>
        <w:rPr>
          <w:rFonts w:ascii="Arial" w:cs="Arial" w:eastAsia="Arial" w:hAnsi="Arial"/>
          <w:sz w:val="14"/>
          <w:szCs w:val="14"/>
          <w:color w:val="auto"/>
        </w:rPr>
      </w:pPr>
    </w:p>
    <w:p>
      <w:pPr>
        <w:ind w:left="220" w:right="420" w:hanging="216"/>
        <w:spacing w:after="0" w:line="269" w:lineRule="auto"/>
        <w:tabs>
          <w:tab w:leader="none" w:pos="2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Class II, which will consist of David Tsao and Thomas Bremner, whose terms will expire at our second annual meeting of stockholders to be held after the completion of this offering; and</w:t>
      </w:r>
    </w:p>
    <w:p>
      <w:pPr>
        <w:spacing w:after="0" w:line="69" w:lineRule="exact"/>
        <w:rPr>
          <w:rFonts w:ascii="Arial" w:cs="Arial" w:eastAsia="Arial" w:hAnsi="Arial"/>
          <w:sz w:val="14"/>
          <w:szCs w:val="14"/>
          <w:color w:val="auto"/>
        </w:rPr>
      </w:pPr>
    </w:p>
    <w:p>
      <w:pPr>
        <w:ind w:left="220" w:right="280" w:hanging="216"/>
        <w:spacing w:after="0" w:line="269" w:lineRule="auto"/>
        <w:tabs>
          <w:tab w:leader="none" w:pos="2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Class III, which will consist of Firat Ileri and Krishna Swaroop Kolluri, whose terms will expire at our third annual meeting of stockholders to be held after the completion of this offering.</w:t>
      </w:r>
    </w:p>
    <w:p>
      <w:pPr>
        <w:spacing w:after="0" w:line="59"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is currently six members and may be changed only by resolution by a majority of the Board. We expect that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changes in our control or management. Once our Class B common stock no longer represents a majority of voting power of our outstanding capital stock, no member of our Board may be removed from office by our stockholders except for cause by the affirmative vote of two-thirds of the voting power of our then-outstanding capital stock.</w:t>
      </w:r>
    </w:p>
    <w:p>
      <w:pPr>
        <w:spacing w:after="0" w:line="90"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Our directors were elected to and currently serve on the Board of Directors pursuant to the Voting Agreement. See the section titled “Certain relationships and related party transactions—Voting agreement.” This agreement will terminate upon the completion of this offering, after which there will be no further contractual obligations regarding the election of our directors. Following this offering, pursuant to the listing standards of Nasdaq, our director nominees must either be selected, or recommended for the Board’s selection, by independent directors constituting a majority of the Board’s independent directors in a vote in which only independent directors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1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Our Board of Directors has undertaken a review of the independence of the directors and considered whether any director has a material relationship with us that could compromise his or her ability to exercise</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1220"/>
          </w:cols>
          <w:pgMar w:left="300" w:top="385" w:right="3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independent judgment in carrying out his or her responsibilities. Based upon information requested from and provided by each director concerning such director’s background, employment and affiliations, including family relationships, our Board of Directors determined that Thomas Bremner, Krishna Swaroop Kolluri, Firat Ileri, and Akshay Rai representing four of our six directors, are “independent directors” as defined under current rules and regulations of the SEC and the listing standards of the Nasdaq Global Select Market (Nasdaq). In making these determinations, our Board considered the current and prior relationships that each non-employee director has with our company and all other facts and circumstances that our Board deemed relevant in determining their independence, including the beneficial ownership of our capital stock by each non-employee director and the transactions involving them described in “Certain relationships and related party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115" w:lineRule="exact"/>
        <w:rPr>
          <w:sz w:val="20"/>
          <w:szCs w:val="20"/>
          <w:color w:val="auto"/>
        </w:rPr>
      </w:pPr>
    </w:p>
    <w:p>
      <w:pPr>
        <w:jc w:val="both"/>
        <w:ind w:right="360"/>
        <w:spacing w:after="0" w:line="252" w:lineRule="auto"/>
        <w:rPr>
          <w:sz w:val="20"/>
          <w:szCs w:val="20"/>
          <w:color w:val="auto"/>
        </w:rPr>
      </w:pPr>
      <w:r>
        <w:rPr>
          <w:rFonts w:ascii="Arial" w:cs="Arial" w:eastAsia="Arial" w:hAnsi="Arial"/>
          <w:sz w:val="14"/>
          <w:szCs w:val="14"/>
          <w:color w:val="auto"/>
        </w:rPr>
        <w:t>Our Board of Directors is currently chaired by our Chief Executive Officer and Co-Founder, Dr. Atay. Our Board of Directors does not have a policy that requires the roles of Chief Executive Officer and Chairman of the Board to be separate. The Board believes that Mr. Atay’s service as both Chief Executive Officer and Chairman of the Board is in the best interest of us and our stockholders.</w:t>
      </w:r>
    </w:p>
    <w:p>
      <w:pPr>
        <w:spacing w:after="0" w:line="7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Our corporate governance guidelines, which will be in effect upon the effectiveness of the registration statement of which this prospectus forms a part, provide that, if the chairperson of our Board of Directors is not an independent director, the Board will appoint an independent director as a lead independent director. Firat Ileri currently serves as our lead independent director. The lead independent director’s responsibilities include: facilitating communication between management, the independent directors, and the Chairman of the Board; actively participating in setting agendas for Board meetings; presiding at executive sessions of the Board; and performing such other duties as specified by the Board. Our corporate governance guidelines further provide that the Board periodically reviews its leadership structure and may separate or combine the roles of the Chairman of the Board and Chief Executive Officer when and if it deems it advisable and in the best interests of the Company and its stockholders to do so.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that address risks inherent in their respective areas of oversight. For example, our audit committee, which will be constituted prior to the completion of this offering, will be responsible for overseeing the management of risks associated with our financial reporting, accounting and auditing matters; our compensation committee oversees the management of risks associated with our compensation policies and programs; and our full Board will oversee the management of risks associated with director independence, conflicts of interest, composition and organization of our Board of Directors and director succession planning.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1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Our Board of Directors has established a compensation committee, and intends to establish an audit committee in connection with this offering, each of which is expected to have the composition and responsibilities described below upon the effectiveness of the registration statement of which this prospectus forms a part. As permitted by the listing standards of Nasdaq, the independent directors on our Board will fulfill the responsibilities of a nominating and corporate governance committee. From time to time, our Board may establish other committees to facilitate the management of our business.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1280"/>
          </w:cols>
          <w:pgMar w:left="300" w:top="385"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3"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Upon the effectiveness of the registration statement of which this prospectus forms a part, our audit committee will consist of Akshay Rai and Thomas Bremner, with Mr. Bremner serving as the chairperson, and each of whom our Board of Directors will determine meets the independence requirements for audit committee members under the listing standards of Nasdaq and Rule 10A-3 of the Exchange Act, and the financial literacy requirements under the rules and regulations of Nasdaq and the SEC. In addition, our Board of Directors has determined that Mr. Bremner is an audit committee “financial expert” as defined by Item 407(d) of Regulation S-K under the Securities Act. Pursuant to Nasdaq’s phase-in rules for newly listed companies, we have one year from the date on which we are first listed on Nasdaq for our audit committee to be made up of three independent directors. We intend to appoint an additional independent director to our audit committee within the applicable time period. Our audit committee will, among other things:</w:t>
      </w:r>
    </w:p>
    <w:p>
      <w:pPr>
        <w:spacing w:after="0" w:line="90" w:lineRule="exact"/>
        <w:rPr>
          <w:sz w:val="20"/>
          <w:szCs w:val="20"/>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select and oversee the independent registered public accounting firm;</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review and resolve any disagreements arising between management and the independent registered public accounting firm;</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review and approve audit and any non-audit services provided by the independent registered public accounting firm;</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help oversee our internal controls and disclosure controls and procedures;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develop procedures for employees to anonymously submit accounting or audit concerns;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review policies on risk assessment and risk management;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review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will operate under a written charter that satisfies the applicable rules of the SEC and the listing standards of Nasdaq.</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3"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Our compensation committee consists of Thomas Bremner, Krishna Swaroop Kolluri and Firat Ileri, with Mr. Kolluri serving as the chairperson, and each of whom our Board of Directors will determine is a non-employee member of our Board of Directors as defined in Rule 16b-3 under the Exchange Act. The composition of our compensation committee will meet the requirements for independence under the current listing standards of Nasdaq and current SEC rules and regulations. Our compensation committee will, among other things:</w:t>
      </w:r>
    </w:p>
    <w:p>
      <w:pPr>
        <w:spacing w:after="0" w:line="64" w:lineRule="exact"/>
        <w:rPr>
          <w:sz w:val="20"/>
          <w:szCs w:val="20"/>
          <w:color w:val="auto"/>
        </w:rPr>
      </w:pPr>
    </w:p>
    <w:p>
      <w:pPr>
        <w:ind w:left="220" w:right="640" w:hanging="216"/>
        <w:spacing w:after="0" w:line="269" w:lineRule="auto"/>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review and approve (or recommend to independent members of our Board of Directors) executive officer compensatory arrangements and succession plans, and ensure compliance with all legal and regulatory requirements;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review and recommend to our Board of Directors the compensation to be paid to non-employee members of the Board of Directors;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review, approve, and administer our employee benefit and equity incentive plans;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administer our policy for the recovery of erroneously awarded compensation;</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review and establish general compensation and benefits policies, as well as our overall compensation philosophy;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retain compensation consultants and other advisors.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1280"/>
          </w:cols>
          <w:pgMar w:left="300" w:top="385" w:right="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committee will operate under a written charter that satisfies the applicable rules of the SEC and the listing standards of Nasdaq.</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Concurrently with this offering, we intend to adopt an amended and restated Code of Conduct applicable to all of our employees, executive officers, and directors. Following the completion of this offering, the Code of Conduct will be available on our website at https://billiontoone.com/. We expect that any amendments to the Code of Conduct, or any waivers of its requirements for directors and officers, will be disclosed on our website as required by applicable law or the listing standards of Nasdaq. The inclusion of our website address in this prospectus does not include or incorporate by reference into this prospectus the information on or accessible through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our company, nor have they ever been an officer or employee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Drs. Atay and Tsao serve as our directors as well as our Chief Executive Officer and Chief Technology Officer, respectively. Neither of them has received any compensation for their service as directors for the year ended December 31, 2024. The compensation received by each of Drs. Atay and Tsao as employees is set forth in the section titled “Executive compensation—Summary compensation table.”</w:t>
      </w:r>
    </w:p>
    <w:p>
      <w:pPr>
        <w:spacing w:after="0" w:line="80" w:lineRule="exact"/>
        <w:rPr>
          <w:sz w:val="20"/>
          <w:szCs w:val="20"/>
          <w:color w:val="auto"/>
        </w:rPr>
      </w:pPr>
    </w:p>
    <w:p>
      <w:pPr>
        <w:ind w:right="420"/>
        <w:spacing w:after="0" w:line="309" w:lineRule="auto"/>
        <w:rPr>
          <w:sz w:val="20"/>
          <w:szCs w:val="20"/>
          <w:color w:val="auto"/>
        </w:rPr>
      </w:pPr>
      <w:r>
        <w:rPr>
          <w:rFonts w:ascii="Arial" w:cs="Arial" w:eastAsia="Arial" w:hAnsi="Arial"/>
          <w:sz w:val="13"/>
          <w:szCs w:val="13"/>
          <w:color w:val="auto"/>
        </w:rPr>
        <w:t>During the year ended December 31, 2024, we did not pay any fees to, make any equity awards or non-equity awards to, or pay any other compensation to the non-employee members of our Board of Directors, other than reimbursement of direct expenses incurred in connection with attending meetings of our Board of Directors or its committees.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1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w:t>
      </w:r>
    </w:p>
    <w:p>
      <w:pPr>
        <w:spacing w:after="0" w:line="6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1180"/>
          </w:cols>
          <w:pgMar w:left="300" w:top="385" w:right="4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Our named executive officers, which consist of our principal executive officer and our two other most highly compensated officers for our fiscal year ended December 31, 2024, are:</w:t>
      </w:r>
    </w:p>
    <w:p>
      <w:pPr>
        <w:spacing w:after="0" w:line="112" w:lineRule="exact"/>
        <w:rPr>
          <w:sz w:val="20"/>
          <w:szCs w:val="20"/>
          <w:color w:val="auto"/>
        </w:rPr>
      </w:pPr>
    </w:p>
    <w:p>
      <w:pPr>
        <w:ind w:left="220" w:hanging="216"/>
        <w:spacing w:after="0"/>
        <w:tabs>
          <w:tab w:leader="none" w:pos="2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Oguzhan Atay, PhD, Chief Executive Officer;</w:t>
      </w:r>
    </w:p>
    <w:p>
      <w:pPr>
        <w:spacing w:after="0" w:line="10" w:lineRule="exact"/>
        <w:rPr>
          <w:rFonts w:ascii="Arial" w:cs="Arial" w:eastAsia="Arial" w:hAnsi="Arial"/>
          <w:sz w:val="14"/>
          <w:szCs w:val="14"/>
          <w:color w:val="auto"/>
        </w:rPr>
      </w:pPr>
    </w:p>
    <w:p>
      <w:pPr>
        <w:ind w:left="220" w:hanging="216"/>
        <w:spacing w:after="0" w:line="234" w:lineRule="auto"/>
        <w:tabs>
          <w:tab w:leader="none" w:pos="2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Ross Taylor, Chief Financial Officer; and</w:t>
      </w:r>
    </w:p>
    <w:p>
      <w:pPr>
        <w:ind w:left="220" w:hanging="216"/>
        <w:spacing w:after="0"/>
        <w:tabs>
          <w:tab w:leader="none" w:pos="2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Nancy Johnson, Senior Vice President of Sales and Commercial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jc w:val="right"/>
              <w:ind w:right="174"/>
              <w:spacing w:after="0"/>
              <w:rPr>
                <w:sz w:val="20"/>
                <w:szCs w:val="20"/>
                <w:color w:val="auto"/>
              </w:rPr>
            </w:pPr>
            <w:r>
              <w:rPr>
                <w:rFonts w:ascii="Arial" w:cs="Arial" w:eastAsia="Arial" w:hAnsi="Arial"/>
                <w:sz w:val="13"/>
                <w:szCs w:val="13"/>
                <w:b w:val="1"/>
                <w:bCs w:val="1"/>
                <w:color w:val="auto"/>
              </w:rPr>
              <w:t>Non-equity</w:t>
            </w: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right"/>
              <w:ind w:right="174"/>
              <w:spacing w:after="0" w:line="147" w:lineRule="exact"/>
              <w:rPr>
                <w:sz w:val="20"/>
                <w:szCs w:val="20"/>
                <w:color w:val="auto"/>
              </w:rPr>
            </w:pPr>
            <w:r>
              <w:rPr>
                <w:rFonts w:ascii="Arial" w:cs="Arial" w:eastAsia="Arial" w:hAnsi="Arial"/>
                <w:sz w:val="13"/>
                <w:szCs w:val="13"/>
                <w:b w:val="1"/>
                <w:bCs w:val="1"/>
                <w:color w:val="auto"/>
              </w:rPr>
              <w:t>Option</w:t>
            </w:r>
          </w:p>
        </w:tc>
        <w:tc>
          <w:tcPr>
            <w:tcW w:w="1300" w:type="dxa"/>
            <w:vAlign w:val="bottom"/>
          </w:tcPr>
          <w:p>
            <w:pPr>
              <w:jc w:val="right"/>
              <w:ind w:right="174"/>
              <w:spacing w:after="0" w:line="147" w:lineRule="exact"/>
              <w:rPr>
                <w:sz w:val="20"/>
                <w:szCs w:val="20"/>
                <w:color w:val="auto"/>
              </w:rPr>
            </w:pPr>
            <w:r>
              <w:rPr>
                <w:rFonts w:ascii="Arial" w:cs="Arial" w:eastAsia="Arial" w:hAnsi="Arial"/>
                <w:sz w:val="13"/>
                <w:szCs w:val="13"/>
                <w:b w:val="1"/>
                <w:bCs w:val="1"/>
                <w:color w:val="auto"/>
              </w:rPr>
              <w:t>incentive plan</w:t>
            </w:r>
          </w:p>
        </w:tc>
        <w:tc>
          <w:tcPr>
            <w:tcW w:w="1300" w:type="dxa"/>
            <w:vAlign w:val="bottom"/>
          </w:tcPr>
          <w:p>
            <w:pPr>
              <w:jc w:val="right"/>
              <w:ind w:right="154"/>
              <w:spacing w:after="0" w:line="147" w:lineRule="exact"/>
              <w:rPr>
                <w:sz w:val="20"/>
                <w:szCs w:val="20"/>
                <w:color w:val="auto"/>
              </w:rPr>
            </w:pPr>
            <w:r>
              <w:rPr>
                <w:rFonts w:ascii="Arial" w:cs="Arial" w:eastAsia="Arial" w:hAnsi="Arial"/>
                <w:sz w:val="13"/>
                <w:szCs w:val="13"/>
                <w:b w:val="1"/>
                <w:bCs w:val="1"/>
                <w:color w:val="auto"/>
              </w:rPr>
              <w:t>All other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right"/>
              <w:ind w:right="133"/>
              <w:spacing w:after="0" w:line="147" w:lineRule="exact"/>
              <w:rPr>
                <w:sz w:val="20"/>
                <w:szCs w:val="20"/>
                <w:color w:val="auto"/>
              </w:rPr>
            </w:pPr>
            <w:r>
              <w:rPr>
                <w:rFonts w:ascii="Arial" w:cs="Arial" w:eastAsia="Arial" w:hAnsi="Arial"/>
                <w:sz w:val="13"/>
                <w:szCs w:val="13"/>
                <w:b w:val="1"/>
                <w:bCs w:val="1"/>
                <w:color w:val="auto"/>
              </w:rPr>
              <w:t>Salary</w:t>
            </w:r>
          </w:p>
        </w:tc>
        <w:tc>
          <w:tcPr>
            <w:tcW w:w="900" w:type="dxa"/>
            <w:vAlign w:val="bottom"/>
          </w:tcPr>
          <w:p>
            <w:pPr>
              <w:jc w:val="right"/>
              <w:ind w:right="133"/>
              <w:spacing w:after="0" w:line="147" w:lineRule="exact"/>
              <w:rPr>
                <w:sz w:val="20"/>
                <w:szCs w:val="20"/>
                <w:color w:val="auto"/>
              </w:rPr>
            </w:pPr>
            <w:r>
              <w:rPr>
                <w:rFonts w:ascii="Arial" w:cs="Arial" w:eastAsia="Arial" w:hAnsi="Arial"/>
                <w:sz w:val="13"/>
                <w:szCs w:val="13"/>
                <w:b w:val="1"/>
                <w:bCs w:val="1"/>
                <w:color w:val="auto"/>
              </w:rPr>
              <w:t>Bonus</w:t>
            </w:r>
          </w:p>
        </w:tc>
        <w:tc>
          <w:tcPr>
            <w:tcW w:w="1060" w:type="dxa"/>
            <w:vAlign w:val="bottom"/>
          </w:tcPr>
          <w:p>
            <w:pPr>
              <w:jc w:val="right"/>
              <w:ind w:right="174"/>
              <w:spacing w:after="0" w:line="147" w:lineRule="exact"/>
              <w:rPr>
                <w:sz w:val="20"/>
                <w:szCs w:val="20"/>
                <w:color w:val="auto"/>
              </w:rPr>
            </w:pPr>
            <w:r>
              <w:rPr>
                <w:rFonts w:ascii="Arial" w:cs="Arial" w:eastAsia="Arial" w:hAnsi="Arial"/>
                <w:sz w:val="13"/>
                <w:szCs w:val="13"/>
                <w:b w:val="1"/>
                <w:bCs w:val="1"/>
                <w:color w:val="auto"/>
              </w:rPr>
              <w:t>awards</w:t>
            </w:r>
          </w:p>
        </w:tc>
        <w:tc>
          <w:tcPr>
            <w:tcW w:w="1300" w:type="dxa"/>
            <w:vAlign w:val="bottom"/>
          </w:tcPr>
          <w:p>
            <w:pPr>
              <w:jc w:val="right"/>
              <w:ind w:right="174"/>
              <w:spacing w:after="0" w:line="147" w:lineRule="exact"/>
              <w:rPr>
                <w:sz w:val="20"/>
                <w:szCs w:val="20"/>
                <w:color w:val="auto"/>
              </w:rPr>
            </w:pPr>
            <w:r>
              <w:rPr>
                <w:rFonts w:ascii="Arial" w:cs="Arial" w:eastAsia="Arial" w:hAnsi="Arial"/>
                <w:sz w:val="13"/>
                <w:szCs w:val="13"/>
                <w:b w:val="1"/>
                <w:bCs w:val="1"/>
                <w:color w:val="auto"/>
              </w:rPr>
              <w:t>compensation</w:t>
            </w:r>
          </w:p>
        </w:tc>
        <w:tc>
          <w:tcPr>
            <w:tcW w:w="1300" w:type="dxa"/>
            <w:vAlign w:val="bottom"/>
          </w:tcPr>
          <w:p>
            <w:pPr>
              <w:jc w:val="right"/>
              <w:ind w:right="154"/>
              <w:spacing w:after="0" w:line="147" w:lineRule="exact"/>
              <w:rPr>
                <w:sz w:val="20"/>
                <w:szCs w:val="20"/>
                <w:color w:val="auto"/>
              </w:rPr>
            </w:pPr>
            <w:r>
              <w:rPr>
                <w:rFonts w:ascii="Arial" w:cs="Arial" w:eastAsia="Arial" w:hAnsi="Arial"/>
                <w:sz w:val="13"/>
                <w:szCs w:val="13"/>
                <w:b w:val="1"/>
                <w:bCs w:val="1"/>
                <w:color w:val="auto"/>
              </w:rPr>
              <w:t>compensation</w:t>
            </w:r>
          </w:p>
        </w:tc>
        <w:tc>
          <w:tcPr>
            <w:tcW w:w="90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Year</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(1)</w:t>
            </w:r>
          </w:p>
        </w:tc>
        <w:tc>
          <w:tcPr>
            <w:tcW w:w="1060" w:type="dxa"/>
            <w:vAlign w:val="bottom"/>
            <w:tcBorders>
              <w:bottom w:val="single" w:sz="8" w:color="auto"/>
            </w:tcBorders>
          </w:tcPr>
          <w:p>
            <w:pPr>
              <w:jc w:val="right"/>
              <w:ind w:right="174"/>
              <w:spacing w:after="0" w:line="15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(2)</w:t>
            </w:r>
          </w:p>
        </w:tc>
        <w:tc>
          <w:tcPr>
            <w:tcW w:w="1300" w:type="dxa"/>
            <w:vAlign w:val="bottom"/>
            <w:tcBorders>
              <w:bottom w:val="single" w:sz="8" w:color="auto"/>
            </w:tcBorders>
          </w:tcPr>
          <w:p>
            <w:pPr>
              <w:jc w:val="right"/>
              <w:ind w:right="174"/>
              <w:spacing w:after="0" w:line="15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(3)</w:t>
            </w:r>
          </w:p>
        </w:tc>
        <w:tc>
          <w:tcPr>
            <w:tcW w:w="1300" w:type="dxa"/>
            <w:vAlign w:val="bottom"/>
            <w:tcBorders>
              <w:bottom w:val="single" w:sz="8" w:color="auto"/>
            </w:tcBorders>
          </w:tcPr>
          <w:p>
            <w:pPr>
              <w:jc w:val="right"/>
              <w:ind w:right="154"/>
              <w:spacing w:after="0" w:line="15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5"/>
        </w:trPr>
        <w:tc>
          <w:tcPr>
            <w:tcW w:w="4120" w:type="dxa"/>
            <w:vAlign w:val="bottom"/>
            <w:shd w:val="clear" w:color="auto" w:fill="E5E5E5"/>
          </w:tcPr>
          <w:p>
            <w:pPr>
              <w:spacing w:after="0" w:line="135" w:lineRule="exact"/>
              <w:rPr>
                <w:sz w:val="20"/>
                <w:szCs w:val="20"/>
                <w:color w:val="auto"/>
              </w:rPr>
            </w:pPr>
            <w:r>
              <w:rPr>
                <w:rFonts w:ascii="Arial" w:cs="Arial" w:eastAsia="Arial" w:hAnsi="Arial"/>
                <w:sz w:val="14"/>
                <w:szCs w:val="14"/>
                <w:color w:val="auto"/>
              </w:rPr>
              <w:t>Oguzhan Atay, PhD</w:t>
            </w:r>
          </w:p>
        </w:tc>
        <w:tc>
          <w:tcPr>
            <w:tcW w:w="800" w:type="dxa"/>
            <w:vAlign w:val="bottom"/>
            <w:vMerge w:val="restart"/>
            <w:shd w:val="clear" w:color="auto" w:fill="E5E5E5"/>
          </w:tcPr>
          <w:p>
            <w:pPr>
              <w:jc w:val="right"/>
              <w:ind w:right="112"/>
              <w:spacing w:after="0"/>
              <w:rPr>
                <w:sz w:val="20"/>
                <w:szCs w:val="20"/>
                <w:color w:val="auto"/>
              </w:rPr>
            </w:pPr>
            <w:r>
              <w:rPr>
                <w:rFonts w:ascii="Arial" w:cs="Arial" w:eastAsia="Arial" w:hAnsi="Arial"/>
                <w:sz w:val="14"/>
                <w:szCs w:val="14"/>
                <w:color w:val="auto"/>
              </w:rPr>
              <w:t>2024</w:t>
            </w:r>
          </w:p>
        </w:tc>
        <w:tc>
          <w:tcPr>
            <w:tcW w:w="900" w:type="dxa"/>
            <w:vAlign w:val="bottom"/>
            <w:vMerge w:val="restart"/>
            <w:shd w:val="clear" w:color="auto" w:fill="E5E5E5"/>
          </w:tcPr>
          <w:p>
            <w:pPr>
              <w:jc w:val="right"/>
              <w:ind w:right="133"/>
              <w:spacing w:after="0"/>
              <w:rPr>
                <w:sz w:val="20"/>
                <w:szCs w:val="20"/>
                <w:color w:val="auto"/>
              </w:rPr>
            </w:pPr>
            <w:r>
              <w:rPr>
                <w:rFonts w:ascii="Arial" w:cs="Arial" w:eastAsia="Arial" w:hAnsi="Arial"/>
                <w:sz w:val="14"/>
                <w:szCs w:val="14"/>
                <w:color w:val="auto"/>
              </w:rPr>
              <w:t>303,739</w:t>
            </w:r>
          </w:p>
        </w:tc>
        <w:tc>
          <w:tcPr>
            <w:tcW w:w="900" w:type="dxa"/>
            <w:vAlign w:val="bottom"/>
            <w:vMerge w:val="restart"/>
            <w:shd w:val="clear" w:color="auto" w:fill="E5E5E5"/>
          </w:tcPr>
          <w:p>
            <w:pPr>
              <w:jc w:val="right"/>
              <w:ind w:right="133"/>
              <w:spacing w:after="0"/>
              <w:rPr>
                <w:sz w:val="20"/>
                <w:szCs w:val="20"/>
                <w:color w:val="auto"/>
              </w:rPr>
            </w:pPr>
            <w:r>
              <w:rPr>
                <w:rFonts w:ascii="Arial" w:cs="Arial" w:eastAsia="Arial" w:hAnsi="Arial"/>
                <w:sz w:val="14"/>
                <w:szCs w:val="14"/>
                <w:color w:val="auto"/>
              </w:rPr>
              <w:t>55,722</w:t>
            </w:r>
          </w:p>
        </w:tc>
        <w:tc>
          <w:tcPr>
            <w:tcW w:w="1060" w:type="dxa"/>
            <w:vAlign w:val="bottom"/>
            <w:vMerge w:val="restart"/>
            <w:shd w:val="clear" w:color="auto" w:fill="E5E5E5"/>
          </w:tcPr>
          <w:p>
            <w:pPr>
              <w:jc w:val="right"/>
              <w:ind w:right="174"/>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5E5E5"/>
          </w:tcPr>
          <w:p>
            <w:pPr>
              <w:jc w:val="right"/>
              <w:ind w:right="174"/>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5E5E5"/>
          </w:tcPr>
          <w:p>
            <w:pPr>
              <w:jc w:val="right"/>
              <w:ind w:right="154"/>
              <w:spacing w:after="0"/>
              <w:rPr>
                <w:sz w:val="20"/>
                <w:szCs w:val="20"/>
                <w:color w:val="auto"/>
              </w:rPr>
            </w:pPr>
            <w:r>
              <w:rPr>
                <w:rFonts w:ascii="Arial" w:cs="Arial" w:eastAsia="Arial" w:hAnsi="Arial"/>
                <w:sz w:val="14"/>
                <w:szCs w:val="14"/>
                <w:color w:val="auto"/>
              </w:rPr>
              <w:t>11,603</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371,064</w:t>
            </w:r>
          </w:p>
        </w:tc>
        <w:tc>
          <w:tcPr>
            <w:tcW w:w="0" w:type="dxa"/>
            <w:vAlign w:val="bottom"/>
          </w:tcPr>
          <w:p>
            <w:pPr>
              <w:spacing w:after="0"/>
              <w:rPr>
                <w:sz w:val="1"/>
                <w:szCs w:val="1"/>
                <w:color w:val="auto"/>
              </w:rPr>
            </w:pPr>
          </w:p>
        </w:tc>
      </w:tr>
      <w:tr>
        <w:trPr>
          <w:trHeight w:val="170"/>
        </w:trPr>
        <w:tc>
          <w:tcPr>
            <w:tcW w:w="4120" w:type="dxa"/>
            <w:vAlign w:val="bottom"/>
            <w:shd w:val="clear" w:color="auto" w:fill="E5E5E5"/>
          </w:tcPr>
          <w:p>
            <w:pPr>
              <w:ind w:left="140"/>
              <w:spacing w:after="0"/>
              <w:rPr>
                <w:sz w:val="20"/>
                <w:szCs w:val="20"/>
                <w:color w:val="auto"/>
              </w:rPr>
            </w:pPr>
            <w:r>
              <w:rPr>
                <w:rFonts w:ascii="Arial" w:cs="Arial" w:eastAsia="Arial" w:hAnsi="Arial"/>
                <w:sz w:val="14"/>
                <w:szCs w:val="14"/>
                <w:i w:val="1"/>
                <w:iCs w:val="1"/>
                <w:color w:val="auto"/>
              </w:rPr>
              <w:t>Chief Executive Officer</w:t>
            </w:r>
          </w:p>
        </w:tc>
        <w:tc>
          <w:tcPr>
            <w:tcW w:w="8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1060" w:type="dxa"/>
            <w:vAlign w:val="bottom"/>
            <w:vMerge w:val="continue"/>
            <w:shd w:val="clear" w:color="auto" w:fill="E5E5E5"/>
          </w:tcPr>
          <w:p>
            <w:pPr>
              <w:spacing w:after="0"/>
              <w:rPr>
                <w:sz w:val="14"/>
                <w:szCs w:val="14"/>
                <w:color w:val="auto"/>
              </w:rPr>
            </w:pPr>
          </w:p>
        </w:tc>
        <w:tc>
          <w:tcPr>
            <w:tcW w:w="1300" w:type="dxa"/>
            <w:vAlign w:val="bottom"/>
            <w:vMerge w:val="continue"/>
            <w:shd w:val="clear" w:color="auto" w:fill="E5E5E5"/>
          </w:tcPr>
          <w:p>
            <w:pPr>
              <w:spacing w:after="0"/>
              <w:rPr>
                <w:sz w:val="14"/>
                <w:szCs w:val="14"/>
                <w:color w:val="auto"/>
              </w:rPr>
            </w:pPr>
          </w:p>
        </w:tc>
        <w:tc>
          <w:tcPr>
            <w:tcW w:w="13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line="145" w:lineRule="exact"/>
              <w:rPr>
                <w:sz w:val="20"/>
                <w:szCs w:val="20"/>
                <w:color w:val="auto"/>
              </w:rPr>
            </w:pPr>
            <w:r>
              <w:rPr>
                <w:rFonts w:ascii="Arial" w:cs="Arial" w:eastAsia="Arial" w:hAnsi="Arial"/>
                <w:sz w:val="14"/>
                <w:szCs w:val="14"/>
                <w:color w:val="auto"/>
              </w:rPr>
              <w:t>Ross Taylor</w:t>
            </w: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color w:val="auto"/>
              </w:rPr>
              <w:t>2024</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296,969</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148,899</w:t>
            </w: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color w:val="auto"/>
              </w:rPr>
              <w:t>1,611,750</w:t>
            </w:r>
          </w:p>
        </w:tc>
        <w:tc>
          <w:tcPr>
            <w:tcW w:w="1300" w:type="dxa"/>
            <w:vAlign w:val="bottom"/>
            <w:vMerge w:val="restart"/>
          </w:tcPr>
          <w:p>
            <w:pPr>
              <w:jc w:val="right"/>
              <w:ind w:right="174"/>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54"/>
              <w:spacing w:after="0"/>
              <w:rPr>
                <w:sz w:val="20"/>
                <w:szCs w:val="20"/>
                <w:color w:val="auto"/>
              </w:rPr>
            </w:pPr>
            <w:r>
              <w:rPr>
                <w:rFonts w:ascii="Arial" w:cs="Arial" w:eastAsia="Arial" w:hAnsi="Arial"/>
                <w:sz w:val="14"/>
                <w:szCs w:val="14"/>
                <w:color w:val="auto"/>
              </w:rPr>
              <w:t>4,829</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2,063,447</w:t>
            </w:r>
          </w:p>
        </w:tc>
        <w:tc>
          <w:tcPr>
            <w:tcW w:w="0" w:type="dxa"/>
            <w:vAlign w:val="bottom"/>
          </w:tcPr>
          <w:p>
            <w:pPr>
              <w:spacing w:after="0"/>
              <w:rPr>
                <w:sz w:val="1"/>
                <w:szCs w:val="1"/>
                <w:color w:val="auto"/>
              </w:rPr>
            </w:pPr>
          </w:p>
        </w:tc>
      </w:tr>
      <w:tr>
        <w:trPr>
          <w:trHeight w:val="170"/>
        </w:trPr>
        <w:tc>
          <w:tcPr>
            <w:tcW w:w="4120" w:type="dxa"/>
            <w:vAlign w:val="bottom"/>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12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Nancy Johnson</w:t>
            </w:r>
          </w:p>
        </w:tc>
        <w:tc>
          <w:tcPr>
            <w:tcW w:w="800" w:type="dxa"/>
            <w:vAlign w:val="bottom"/>
            <w:vMerge w:val="restart"/>
            <w:shd w:val="clear" w:color="auto" w:fill="E5E5E5"/>
          </w:tcPr>
          <w:p>
            <w:pPr>
              <w:jc w:val="right"/>
              <w:ind w:right="112"/>
              <w:spacing w:after="0"/>
              <w:rPr>
                <w:sz w:val="20"/>
                <w:szCs w:val="20"/>
                <w:color w:val="auto"/>
              </w:rPr>
            </w:pPr>
            <w:r>
              <w:rPr>
                <w:rFonts w:ascii="Arial" w:cs="Arial" w:eastAsia="Arial" w:hAnsi="Arial"/>
                <w:sz w:val="14"/>
                <w:szCs w:val="14"/>
                <w:color w:val="auto"/>
              </w:rPr>
              <w:t>2024</w:t>
            </w:r>
          </w:p>
        </w:tc>
        <w:tc>
          <w:tcPr>
            <w:tcW w:w="900" w:type="dxa"/>
            <w:vAlign w:val="bottom"/>
            <w:vMerge w:val="restart"/>
            <w:shd w:val="clear" w:color="auto" w:fill="E5E5E5"/>
          </w:tcPr>
          <w:p>
            <w:pPr>
              <w:jc w:val="right"/>
              <w:ind w:right="133"/>
              <w:spacing w:after="0"/>
              <w:rPr>
                <w:sz w:val="20"/>
                <w:szCs w:val="20"/>
                <w:color w:val="auto"/>
              </w:rPr>
            </w:pPr>
            <w:r>
              <w:rPr>
                <w:rFonts w:ascii="Arial" w:cs="Arial" w:eastAsia="Arial" w:hAnsi="Arial"/>
                <w:sz w:val="14"/>
                <w:szCs w:val="14"/>
                <w:color w:val="auto"/>
              </w:rPr>
              <w:t>256,764</w:t>
            </w:r>
          </w:p>
        </w:tc>
        <w:tc>
          <w:tcPr>
            <w:tcW w:w="900" w:type="dxa"/>
            <w:vAlign w:val="bottom"/>
            <w:vMerge w:val="restart"/>
            <w:shd w:val="clear" w:color="auto" w:fill="E5E5E5"/>
          </w:tcPr>
          <w:p>
            <w:pPr>
              <w:jc w:val="right"/>
              <w:ind w:right="133"/>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5E5E5"/>
          </w:tcPr>
          <w:p>
            <w:pPr>
              <w:jc w:val="right"/>
              <w:ind w:right="174"/>
              <w:spacing w:after="0"/>
              <w:rPr>
                <w:sz w:val="20"/>
                <w:szCs w:val="20"/>
                <w:color w:val="auto"/>
              </w:rPr>
            </w:pPr>
            <w:r>
              <w:rPr>
                <w:rFonts w:ascii="Arial" w:cs="Arial" w:eastAsia="Arial" w:hAnsi="Arial"/>
                <w:sz w:val="14"/>
                <w:szCs w:val="14"/>
                <w:color w:val="auto"/>
              </w:rPr>
              <w:t>234,400</w:t>
            </w:r>
          </w:p>
        </w:tc>
        <w:tc>
          <w:tcPr>
            <w:tcW w:w="1300" w:type="dxa"/>
            <w:vAlign w:val="bottom"/>
            <w:vMerge w:val="restart"/>
            <w:shd w:val="clear" w:color="auto" w:fill="E5E5E5"/>
          </w:tcPr>
          <w:p>
            <w:pPr>
              <w:jc w:val="right"/>
              <w:ind w:right="174"/>
              <w:spacing w:after="0"/>
              <w:rPr>
                <w:sz w:val="20"/>
                <w:szCs w:val="20"/>
                <w:color w:val="auto"/>
              </w:rPr>
            </w:pPr>
            <w:r>
              <w:rPr>
                <w:rFonts w:ascii="Arial" w:cs="Arial" w:eastAsia="Arial" w:hAnsi="Arial"/>
                <w:sz w:val="14"/>
                <w:szCs w:val="14"/>
                <w:color w:val="auto"/>
              </w:rPr>
              <w:t>129,383</w:t>
            </w:r>
          </w:p>
        </w:tc>
        <w:tc>
          <w:tcPr>
            <w:tcW w:w="1300" w:type="dxa"/>
            <w:vAlign w:val="bottom"/>
            <w:vMerge w:val="restart"/>
            <w:shd w:val="clear" w:color="auto" w:fill="E5E5E5"/>
          </w:tcPr>
          <w:p>
            <w:pPr>
              <w:jc w:val="right"/>
              <w:ind w:right="154"/>
              <w:spacing w:after="0"/>
              <w:rPr>
                <w:sz w:val="20"/>
                <w:szCs w:val="20"/>
                <w:color w:val="auto"/>
              </w:rPr>
            </w:pPr>
            <w:r>
              <w:rPr>
                <w:rFonts w:ascii="Arial" w:cs="Arial" w:eastAsia="Arial" w:hAnsi="Arial"/>
                <w:sz w:val="14"/>
                <w:szCs w:val="14"/>
                <w:color w:val="auto"/>
              </w:rPr>
              <w:t>20,603</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641,150</w:t>
            </w:r>
          </w:p>
        </w:tc>
        <w:tc>
          <w:tcPr>
            <w:tcW w:w="0" w:type="dxa"/>
            <w:vAlign w:val="bottom"/>
          </w:tcPr>
          <w:p>
            <w:pPr>
              <w:spacing w:after="0"/>
              <w:rPr>
                <w:sz w:val="1"/>
                <w:szCs w:val="1"/>
                <w:color w:val="auto"/>
              </w:rPr>
            </w:pPr>
          </w:p>
        </w:tc>
      </w:tr>
      <w:tr>
        <w:trPr>
          <w:trHeight w:val="170"/>
        </w:trPr>
        <w:tc>
          <w:tcPr>
            <w:tcW w:w="4120" w:type="dxa"/>
            <w:vAlign w:val="bottom"/>
            <w:shd w:val="clear" w:color="auto" w:fill="E5E5E5"/>
          </w:tcPr>
          <w:p>
            <w:pPr>
              <w:ind w:left="140"/>
              <w:spacing w:after="0"/>
              <w:rPr>
                <w:sz w:val="20"/>
                <w:szCs w:val="20"/>
                <w:color w:val="auto"/>
              </w:rPr>
            </w:pPr>
            <w:r>
              <w:rPr>
                <w:rFonts w:ascii="Arial" w:cs="Arial" w:eastAsia="Arial" w:hAnsi="Arial"/>
                <w:sz w:val="14"/>
                <w:szCs w:val="14"/>
                <w:i w:val="1"/>
                <w:iCs w:val="1"/>
                <w:color w:val="auto"/>
              </w:rPr>
              <w:t>Senior Vice President of Sales and Commercial Operations</w:t>
            </w:r>
          </w:p>
        </w:tc>
        <w:tc>
          <w:tcPr>
            <w:tcW w:w="8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1060" w:type="dxa"/>
            <w:vAlign w:val="bottom"/>
            <w:vMerge w:val="continue"/>
            <w:shd w:val="clear" w:color="auto" w:fill="E5E5E5"/>
          </w:tcPr>
          <w:p>
            <w:pPr>
              <w:spacing w:after="0"/>
              <w:rPr>
                <w:sz w:val="14"/>
                <w:szCs w:val="14"/>
                <w:color w:val="auto"/>
              </w:rPr>
            </w:pPr>
          </w:p>
        </w:tc>
        <w:tc>
          <w:tcPr>
            <w:tcW w:w="1300" w:type="dxa"/>
            <w:vAlign w:val="bottom"/>
            <w:vMerge w:val="continue"/>
            <w:shd w:val="clear" w:color="auto" w:fill="E5E5E5"/>
          </w:tcPr>
          <w:p>
            <w:pPr>
              <w:spacing w:after="0"/>
              <w:rPr>
                <w:sz w:val="14"/>
                <w:szCs w:val="14"/>
                <w:color w:val="auto"/>
              </w:rPr>
            </w:pPr>
          </w:p>
        </w:tc>
        <w:tc>
          <w:tcPr>
            <w:tcW w:w="1300" w:type="dxa"/>
            <w:vAlign w:val="bottom"/>
            <w:vMerge w:val="continue"/>
            <w:shd w:val="clear" w:color="auto" w:fill="E5E5E5"/>
          </w:tcPr>
          <w:p>
            <w:pPr>
              <w:spacing w:after="0"/>
              <w:rPr>
                <w:sz w:val="14"/>
                <w:szCs w:val="14"/>
                <w:color w:val="auto"/>
              </w:rPr>
            </w:pPr>
          </w:p>
        </w:tc>
        <w:tc>
          <w:tcPr>
            <w:tcW w:w="90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279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22795" cy="6350"/>
                    </a:xfrm>
                    <a:prstGeom prst="rect">
                      <a:avLst/>
                    </a:prstGeom>
                    <a:noFill/>
                  </pic:spPr>
                </pic:pic>
              </a:graphicData>
            </a:graphic>
          </wp:anchor>
        </w:drawing>
      </w:r>
    </w:p>
    <w:p>
      <w:pPr>
        <w:spacing w:after="0" w:line="200" w:lineRule="exact"/>
        <w:rPr>
          <w:sz w:val="20"/>
          <w:szCs w:val="20"/>
          <w:color w:val="auto"/>
        </w:rPr>
      </w:pPr>
    </w:p>
    <w:p>
      <w:pPr>
        <w:ind w:left="320" w:right="260" w:hanging="316"/>
        <w:spacing w:after="0" w:line="286" w:lineRule="auto"/>
        <w:tabs>
          <w:tab w:leader="none" w:pos="32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amount in this column reported for Dr. Atay represents a cash incentive bonus earned with respect to fiscal year 2024 that was paid in 2025. The amount in this column reported for Mr. Taylor represents (i) $100,000 in a sign-on bonus paid to Mr. Taylor in connection with commencement of employment with us and (ii) a cash incentive bonus of $48,899 earned with respect to fiscal year 2024 that was paid in 2025.</w:t>
      </w:r>
    </w:p>
    <w:p>
      <w:pPr>
        <w:spacing w:after="0" w:line="19" w:lineRule="exact"/>
        <w:rPr>
          <w:rFonts w:ascii="Arial" w:cs="Arial" w:eastAsia="Arial" w:hAnsi="Arial"/>
          <w:sz w:val="10"/>
          <w:szCs w:val="10"/>
          <w:color w:val="auto"/>
        </w:rPr>
      </w:pPr>
    </w:p>
    <w:p>
      <w:pPr>
        <w:ind w:left="320" w:right="20" w:hanging="316"/>
        <w:spacing w:after="0" w:line="286" w:lineRule="auto"/>
        <w:tabs>
          <w:tab w:leader="none" w:pos="32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amounts in this column represent the aggregate grant date fair value of option awards granted to the named executive officer, computed in accordance with FASB ASC Topic No. 718. See Note 10 of the notes to our audited financial statements included elsewhere in this prospectus for a discussion of the assumptions made by us in determining the grant date fair value of our equity awards.</w:t>
      </w:r>
    </w:p>
    <w:p>
      <w:pPr>
        <w:spacing w:after="0" w:line="19" w:lineRule="exact"/>
        <w:rPr>
          <w:rFonts w:ascii="Arial" w:cs="Arial" w:eastAsia="Arial" w:hAnsi="Arial"/>
          <w:sz w:val="10"/>
          <w:szCs w:val="10"/>
          <w:color w:val="auto"/>
        </w:rPr>
      </w:pPr>
    </w:p>
    <w:p>
      <w:pPr>
        <w:ind w:left="320" w:right="300" w:hanging="316"/>
        <w:spacing w:after="0" w:line="286" w:lineRule="auto"/>
        <w:tabs>
          <w:tab w:leader="none" w:pos="32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This amount relates to commissions earned under a sales commission arrangement established for Ms. Johnson. Pursuant to this arrangement, Ms. Johnson was eligible to earn commissions for each fiscal quarter based upon her percentage achievement of specific sales targets established for each fiscal quarter.</w:t>
      </w:r>
    </w:p>
    <w:p>
      <w:pPr>
        <w:spacing w:after="0" w:line="19" w:lineRule="exact"/>
        <w:rPr>
          <w:rFonts w:ascii="Arial" w:cs="Arial" w:eastAsia="Arial" w:hAnsi="Arial"/>
          <w:sz w:val="10"/>
          <w:szCs w:val="10"/>
          <w:color w:val="auto"/>
        </w:rPr>
      </w:pPr>
    </w:p>
    <w:p>
      <w:pPr>
        <w:ind w:left="320" w:right="60" w:hanging="316"/>
        <w:spacing w:after="0" w:line="286" w:lineRule="auto"/>
        <w:tabs>
          <w:tab w:leader="none" w:pos="32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amounts in this column reported for Dr. Atay and Mr. Taylor represent matching contributions under our 401(k) plan. The amount in this column reported for Ms. Johnson represents: (i) $9,000 in car allowance for use of her personal vehicle and (ii) $11,602 in matching contributions under our 401(k) plan.</w:t>
      </w:r>
    </w:p>
    <w:p>
      <w:pPr>
        <w:spacing w:after="0" w:line="177" w:lineRule="exact"/>
        <w:rPr>
          <w:sz w:val="20"/>
          <w:szCs w:val="20"/>
          <w:color w:val="auto"/>
        </w:rPr>
      </w:pPr>
    </w:p>
    <w:p>
      <w:pPr>
        <w:ind w:right="4260"/>
        <w:spacing w:after="0" w:line="371" w:lineRule="auto"/>
        <w:rPr>
          <w:sz w:val="20"/>
          <w:szCs w:val="20"/>
          <w:color w:val="auto"/>
        </w:rPr>
      </w:pPr>
      <w:r>
        <w:rPr>
          <w:rFonts w:ascii="Arial" w:cs="Arial" w:eastAsia="Arial" w:hAnsi="Arial"/>
          <w:sz w:val="17"/>
          <w:szCs w:val="17"/>
          <w:b w:val="1"/>
          <w:bCs w:val="1"/>
          <w:color w:val="auto"/>
        </w:rPr>
        <w:t xml:space="preserve">Narrative explanation of compensation arrangements with our named executive officers </w:t>
      </w:r>
      <w:r>
        <w:rPr>
          <w:rFonts w:ascii="Arial" w:cs="Arial" w:eastAsia="Arial" w:hAnsi="Arial"/>
          <w:sz w:val="17"/>
          <w:szCs w:val="17"/>
          <w:b w:val="1"/>
          <w:bCs w:val="1"/>
          <w:i w:val="1"/>
          <w:iCs w:val="1"/>
          <w:color w:val="auto"/>
        </w:rPr>
        <w:t>Base salaries and annual incentive opportunities</w:t>
      </w:r>
    </w:p>
    <w:p>
      <w:pPr>
        <w:spacing w:after="0" w:line="241" w:lineRule="auto"/>
        <w:rPr>
          <w:sz w:val="20"/>
          <w:szCs w:val="20"/>
          <w:color w:val="auto"/>
        </w:rPr>
      </w:pPr>
      <w:r>
        <w:rPr>
          <w:rFonts w:ascii="Arial" w:cs="Arial" w:eastAsia="Arial" w:hAnsi="Arial"/>
          <w:sz w:val="14"/>
          <w:szCs w:val="14"/>
          <w:color w:val="auto"/>
        </w:rPr>
        <w:t>We pay each of our executives, including our named executive officers, a base salary to compensate them for services rendered to our company. As of December 31, 2024, our named executive officers base salaries were as follows: $306,000 for Dr. Atay, $306,000 for Mr. Taylor, and $270,300 for Ms. Johnson. In addition, each of our named executive officers has previously become eligible to be considered for a discretionary annual incentive bonus, subject to their continued employment through the date that bonuses are paid. Our Board of Directors has approved an increase of each named executive officer’s base salary to $700,000 for Dr. Atay, $500,000 for Mr. Taylor and $400,000 for Ms. Johnson, and set the target amount of each named executive officer’s annual incentive bonus opportunity to an amount equal to 100% for Dr. Atay, 50% for Mr. Taylor and 30% for Ms. Johnson, in each case effective as of the closing date of this offering.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1280"/>
          </w:cols>
          <w:pgMar w:left="300" w:top="385" w:right="3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03" w:lineRule="exact"/>
        <w:rPr>
          <w:sz w:val="20"/>
          <w:szCs w:val="20"/>
          <w:color w:val="auto"/>
        </w:rPr>
      </w:pPr>
    </w:p>
    <w:p>
      <w:pPr>
        <w:ind w:right="240"/>
        <w:spacing w:after="0" w:line="269" w:lineRule="auto"/>
        <w:rPr>
          <w:sz w:val="20"/>
          <w:szCs w:val="20"/>
          <w:color w:val="auto"/>
        </w:rPr>
      </w:pPr>
      <w:r>
        <w:rPr>
          <w:rFonts w:ascii="Arial" w:cs="Arial" w:eastAsia="Arial" w:hAnsi="Arial"/>
          <w:sz w:val="14"/>
          <w:szCs w:val="14"/>
          <w:color w:val="auto"/>
        </w:rPr>
        <w:t>Historically, the equity compensation granted to our named executive officers has consisted of stock options. For a description of the stock options granted to our named executive officers in fiscal year 2024, please see the “Outstanding equity awards at 2024 fiscal year-end”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 and perquisites</w:t>
      </w:r>
    </w:p>
    <w:p>
      <w:pPr>
        <w:spacing w:after="0" w:line="103"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color w:val="auto"/>
        </w:rPr>
        <w:t>Our named executive officers are eligible to participate in our health and welfare plans to the same extent as are full-time employees generally. We generally do not provide our named executive officers with perquisites or other personal benefits.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03"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We have established a 401(k) tax-deferred savings plan, which permits participants, including our named executive officers, to make contributions by salary deduction pursuant to Section 401(k) of the Internal Revenue Code. Our named executive officers are eligible to participate in the 401(k) plan on the same terms as other full-time employees, including a 100% company matching contribution of the first 3% of an employee’s contribution, and then 50% of the next 2% of an employee’s contribution.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 with named executive officers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previously entered into an employment offer letter agreement with each named executive officer that sets forth the initial terms and conditions of the named executive officer’s employment, including initial base salary, equity grants and employee benefits eligibility. In addition, prior to this offering, our Board of Directors has approved the Severance Plan (as defined below) pursuant to which our named executive officers will be participants and will each be eligible to receive certain severance and change in control benefits, as described in “—Severance and change in control benefits” below. The Severance Plan will supersede and replace any existing employment or severance agreement between the Company and our named executive officers.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ectPr>
          <w:pgSz w:w="11900" w:h="16838" w:orient="portrait"/>
          <w:cols w:equalWidth="0" w:num="1">
            <w:col w:w="11280"/>
          </w:cols>
          <w:pgMar w:left="300" w:top="386" w:right="3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2024 fiscal year-end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each unexercised option held by each of our named executive officers as of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vesting schedule applicable to each outstanding award is described in the footnotes to the table below.</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noted, all of the outstanding equity awards reported in the following table were granted under our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62800" cy="133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3760" w:type="dxa"/>
            <w:vAlign w:val="bottom"/>
          </w:tcPr>
          <w:p>
            <w:pPr>
              <w:jc w:val="right"/>
              <w:ind w:right="194"/>
              <w:spacing w:after="0"/>
              <w:rPr>
                <w:sz w:val="20"/>
                <w:szCs w:val="20"/>
                <w:color w:val="auto"/>
              </w:rPr>
            </w:pPr>
            <w:r>
              <w:rPr>
                <w:rFonts w:ascii="Arial" w:cs="Arial" w:eastAsia="Arial" w:hAnsi="Arial"/>
                <w:sz w:val="13"/>
                <w:szCs w:val="13"/>
                <w:b w:val="1"/>
                <w:bCs w:val="1"/>
                <w:color w:val="auto"/>
              </w:rPr>
              <w:t>Number of</w:t>
            </w:r>
          </w:p>
        </w:tc>
        <w:tc>
          <w:tcPr>
            <w:tcW w:w="1460" w:type="dxa"/>
            <w:vAlign w:val="bottom"/>
          </w:tcPr>
          <w:p>
            <w:pPr>
              <w:jc w:val="right"/>
              <w:ind w:right="315"/>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3760" w:type="dxa"/>
            <w:vAlign w:val="bottom"/>
          </w:tcPr>
          <w:p>
            <w:pPr>
              <w:jc w:val="right"/>
              <w:ind w:right="194"/>
              <w:spacing w:after="0" w:line="147" w:lineRule="exact"/>
              <w:rPr>
                <w:sz w:val="20"/>
                <w:szCs w:val="20"/>
                <w:color w:val="auto"/>
              </w:rPr>
            </w:pPr>
            <w:r>
              <w:rPr>
                <w:rFonts w:ascii="Arial" w:cs="Arial" w:eastAsia="Arial" w:hAnsi="Arial"/>
                <w:sz w:val="13"/>
                <w:szCs w:val="13"/>
                <w:b w:val="1"/>
                <w:bCs w:val="1"/>
                <w:color w:val="auto"/>
              </w:rPr>
              <w:t>securities</w:t>
            </w:r>
          </w:p>
        </w:tc>
        <w:tc>
          <w:tcPr>
            <w:tcW w:w="1460" w:type="dxa"/>
            <w:vAlign w:val="bottom"/>
          </w:tcPr>
          <w:p>
            <w:pPr>
              <w:jc w:val="right"/>
              <w:ind w:right="315"/>
              <w:spacing w:after="0" w:line="147" w:lineRule="exact"/>
              <w:rPr>
                <w:sz w:val="20"/>
                <w:szCs w:val="20"/>
                <w:color w:val="auto"/>
              </w:rPr>
            </w:pPr>
            <w:r>
              <w:rPr>
                <w:rFonts w:ascii="Arial" w:cs="Arial" w:eastAsia="Arial" w:hAnsi="Arial"/>
                <w:sz w:val="13"/>
                <w:szCs w:val="13"/>
                <w:b w:val="1"/>
                <w:bCs w:val="1"/>
                <w:color w:val="auto"/>
              </w:rPr>
              <w:t>securities</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3760" w:type="dxa"/>
            <w:vAlign w:val="bottom"/>
          </w:tcPr>
          <w:p>
            <w:pPr>
              <w:jc w:val="right"/>
              <w:ind w:right="194"/>
              <w:spacing w:after="0" w:line="147" w:lineRule="exact"/>
              <w:rPr>
                <w:sz w:val="20"/>
                <w:szCs w:val="20"/>
                <w:color w:val="auto"/>
              </w:rPr>
            </w:pPr>
            <w:r>
              <w:rPr>
                <w:rFonts w:ascii="Arial" w:cs="Arial" w:eastAsia="Arial" w:hAnsi="Arial"/>
                <w:sz w:val="13"/>
                <w:szCs w:val="13"/>
                <w:b w:val="1"/>
                <w:bCs w:val="1"/>
                <w:color w:val="auto"/>
              </w:rPr>
              <w:t>underlying</w:t>
            </w:r>
          </w:p>
        </w:tc>
        <w:tc>
          <w:tcPr>
            <w:tcW w:w="1460" w:type="dxa"/>
            <w:vAlign w:val="bottom"/>
          </w:tcPr>
          <w:p>
            <w:pPr>
              <w:jc w:val="right"/>
              <w:ind w:right="315"/>
              <w:spacing w:after="0" w:line="147" w:lineRule="exact"/>
              <w:rPr>
                <w:sz w:val="20"/>
                <w:szCs w:val="20"/>
                <w:color w:val="auto"/>
              </w:rPr>
            </w:pPr>
            <w:r>
              <w:rPr>
                <w:rFonts w:ascii="Arial" w:cs="Arial" w:eastAsia="Arial" w:hAnsi="Arial"/>
                <w:sz w:val="13"/>
                <w:szCs w:val="13"/>
                <w:b w:val="1"/>
                <w:bCs w:val="1"/>
                <w:color w:val="auto"/>
              </w:rPr>
              <w:t>underlying</w:t>
            </w:r>
          </w:p>
        </w:tc>
        <w:tc>
          <w:tcPr>
            <w:tcW w:w="102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3760" w:type="dxa"/>
            <w:vAlign w:val="bottom"/>
          </w:tcPr>
          <w:p>
            <w:pPr>
              <w:jc w:val="right"/>
              <w:ind w:right="194"/>
              <w:spacing w:after="0" w:line="136" w:lineRule="exact"/>
              <w:rPr>
                <w:sz w:val="20"/>
                <w:szCs w:val="20"/>
                <w:color w:val="auto"/>
              </w:rPr>
            </w:pPr>
            <w:r>
              <w:rPr>
                <w:rFonts w:ascii="Arial" w:cs="Arial" w:eastAsia="Arial" w:hAnsi="Arial"/>
                <w:sz w:val="13"/>
                <w:szCs w:val="13"/>
                <w:b w:val="1"/>
                <w:bCs w:val="1"/>
                <w:color w:val="auto"/>
              </w:rPr>
              <w:t>unexercised</w:t>
            </w:r>
          </w:p>
        </w:tc>
        <w:tc>
          <w:tcPr>
            <w:tcW w:w="1460" w:type="dxa"/>
            <w:vAlign w:val="bottom"/>
          </w:tcPr>
          <w:p>
            <w:pPr>
              <w:jc w:val="right"/>
              <w:ind w:right="315"/>
              <w:spacing w:after="0" w:line="136" w:lineRule="exact"/>
              <w:rPr>
                <w:sz w:val="20"/>
                <w:szCs w:val="20"/>
                <w:color w:val="auto"/>
              </w:rPr>
            </w:pPr>
            <w:r>
              <w:rPr>
                <w:rFonts w:ascii="Arial" w:cs="Arial" w:eastAsia="Arial" w:hAnsi="Arial"/>
                <w:sz w:val="13"/>
                <w:szCs w:val="13"/>
                <w:b w:val="1"/>
                <w:bCs w:val="1"/>
                <w:color w:val="auto"/>
              </w:rPr>
              <w:t>unexercised</w:t>
            </w:r>
          </w:p>
        </w:tc>
        <w:tc>
          <w:tcPr>
            <w:tcW w:w="10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3760" w:type="dxa"/>
            <w:vAlign w:val="bottom"/>
          </w:tcPr>
          <w:p>
            <w:pPr>
              <w:jc w:val="right"/>
              <w:ind w:right="194"/>
              <w:spacing w:after="0" w:line="147" w:lineRule="exact"/>
              <w:rPr>
                <w:sz w:val="20"/>
                <w:szCs w:val="20"/>
                <w:color w:val="auto"/>
              </w:rPr>
            </w:pPr>
            <w:r>
              <w:rPr>
                <w:rFonts w:ascii="Arial" w:cs="Arial" w:eastAsia="Arial" w:hAnsi="Arial"/>
                <w:sz w:val="13"/>
                <w:szCs w:val="13"/>
                <w:b w:val="1"/>
                <w:bCs w:val="1"/>
                <w:color w:val="auto"/>
              </w:rPr>
              <w:t>options</w:t>
            </w:r>
          </w:p>
        </w:tc>
        <w:tc>
          <w:tcPr>
            <w:tcW w:w="1460" w:type="dxa"/>
            <w:vAlign w:val="bottom"/>
          </w:tcPr>
          <w:p>
            <w:pPr>
              <w:jc w:val="right"/>
              <w:ind w:right="315"/>
              <w:spacing w:after="0" w:line="147" w:lineRule="exact"/>
              <w:rPr>
                <w:sz w:val="20"/>
                <w:szCs w:val="20"/>
                <w:color w:val="auto"/>
              </w:rPr>
            </w:pPr>
            <w:r>
              <w:rPr>
                <w:rFonts w:ascii="Arial" w:cs="Arial" w:eastAsia="Arial" w:hAnsi="Arial"/>
                <w:sz w:val="13"/>
                <w:szCs w:val="13"/>
                <w:b w:val="1"/>
                <w:bCs w:val="1"/>
                <w:color w:val="auto"/>
              </w:rPr>
              <w:t>options</w:t>
            </w:r>
          </w:p>
        </w:tc>
        <w:tc>
          <w:tcPr>
            <w:tcW w:w="1020" w:type="dxa"/>
            <w:vAlign w:val="bottom"/>
          </w:tcPr>
          <w:p>
            <w:pPr>
              <w:jc w:val="right"/>
              <w:ind w:right="213"/>
              <w:spacing w:after="0" w:line="147" w:lineRule="exact"/>
              <w:rPr>
                <w:sz w:val="20"/>
                <w:szCs w:val="20"/>
                <w:color w:val="auto"/>
              </w:rPr>
            </w:pPr>
            <w:r>
              <w:rPr>
                <w:rFonts w:ascii="Arial" w:cs="Arial" w:eastAsia="Arial" w:hAnsi="Arial"/>
                <w:sz w:val="13"/>
                <w:szCs w:val="13"/>
                <w:b w:val="1"/>
                <w:bCs w:val="1"/>
                <w:color w:val="auto"/>
              </w:rPr>
              <w:t>exercise</w:t>
            </w:r>
          </w:p>
        </w:tc>
        <w:tc>
          <w:tcPr>
            <w:tcW w:w="10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3760" w:type="dxa"/>
            <w:vAlign w:val="bottom"/>
          </w:tcPr>
          <w:p>
            <w:pPr>
              <w:jc w:val="right"/>
              <w:ind w:right="194"/>
              <w:spacing w:after="0" w:line="147" w:lineRule="exact"/>
              <w:rPr>
                <w:sz w:val="20"/>
                <w:szCs w:val="20"/>
                <w:color w:val="auto"/>
              </w:rPr>
            </w:pPr>
            <w:r>
              <w:rPr>
                <w:rFonts w:ascii="Arial" w:cs="Arial" w:eastAsia="Arial" w:hAnsi="Arial"/>
                <w:sz w:val="13"/>
                <w:szCs w:val="13"/>
                <w:b w:val="1"/>
                <w:bCs w:val="1"/>
                <w:color w:val="auto"/>
              </w:rPr>
              <w:t>exercisable</w:t>
            </w:r>
          </w:p>
        </w:tc>
        <w:tc>
          <w:tcPr>
            <w:tcW w:w="1460" w:type="dxa"/>
            <w:vAlign w:val="bottom"/>
          </w:tcPr>
          <w:p>
            <w:pPr>
              <w:jc w:val="right"/>
              <w:ind w:right="315"/>
              <w:spacing w:after="0" w:line="147" w:lineRule="exact"/>
              <w:rPr>
                <w:sz w:val="20"/>
                <w:szCs w:val="20"/>
                <w:color w:val="auto"/>
              </w:rPr>
            </w:pPr>
            <w:r>
              <w:rPr>
                <w:rFonts w:ascii="Arial" w:cs="Arial" w:eastAsia="Arial" w:hAnsi="Arial"/>
                <w:sz w:val="13"/>
                <w:szCs w:val="13"/>
                <w:b w:val="1"/>
                <w:bCs w:val="1"/>
                <w:color w:val="auto"/>
              </w:rPr>
              <w:t>unexercisable</w:t>
            </w:r>
          </w:p>
        </w:tc>
        <w:tc>
          <w:tcPr>
            <w:tcW w:w="1020" w:type="dxa"/>
            <w:vAlign w:val="bottom"/>
          </w:tcPr>
          <w:p>
            <w:pPr>
              <w:jc w:val="right"/>
              <w:ind w:right="213"/>
              <w:spacing w:after="0" w:line="147" w:lineRule="exact"/>
              <w:rPr>
                <w:sz w:val="20"/>
                <w:szCs w:val="20"/>
                <w:color w:val="auto"/>
              </w:rPr>
            </w:pPr>
            <w:r>
              <w:rPr>
                <w:rFonts w:ascii="Arial" w:cs="Arial" w:eastAsia="Arial" w:hAnsi="Arial"/>
                <w:sz w:val="13"/>
                <w:szCs w:val="13"/>
                <w:b w:val="1"/>
                <w:bCs w:val="1"/>
                <w:color w:val="auto"/>
              </w:rPr>
              <w:t>price</w:t>
            </w:r>
          </w:p>
        </w:tc>
        <w:tc>
          <w:tcPr>
            <w:tcW w:w="10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8"/>
        </w:trPr>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48"/>
        </w:trPr>
        <w:tc>
          <w:tcPr>
            <w:tcW w:w="400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Oguzhan Atay, PhD</w:t>
            </w:r>
          </w:p>
        </w:tc>
        <w:tc>
          <w:tcPr>
            <w:tcW w:w="3760" w:type="dxa"/>
            <w:vAlign w:val="bottom"/>
            <w:shd w:val="clear" w:color="auto" w:fill="E5E5E5"/>
          </w:tcPr>
          <w:p>
            <w:pPr>
              <w:jc w:val="right"/>
              <w:ind w:right="194"/>
              <w:spacing w:after="0" w:line="148" w:lineRule="exact"/>
              <w:rPr>
                <w:sz w:val="20"/>
                <w:szCs w:val="20"/>
                <w:color w:val="auto"/>
              </w:rPr>
            </w:pPr>
            <w:r>
              <w:rPr>
                <w:rFonts w:ascii="Arial" w:cs="Arial" w:eastAsia="Arial" w:hAnsi="Arial"/>
                <w:sz w:val="14"/>
                <w:szCs w:val="14"/>
                <w:color w:val="auto"/>
              </w:rPr>
              <w:t>640,000</w:t>
            </w:r>
          </w:p>
        </w:tc>
        <w:tc>
          <w:tcPr>
            <w:tcW w:w="1460" w:type="dxa"/>
            <w:vAlign w:val="bottom"/>
            <w:shd w:val="clear" w:color="auto" w:fill="E5E5E5"/>
          </w:tcPr>
          <w:p>
            <w:pPr>
              <w:jc w:val="right"/>
              <w:ind w:right="315"/>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13"/>
              <w:spacing w:after="0" w:line="148" w:lineRule="exact"/>
              <w:rPr>
                <w:sz w:val="20"/>
                <w:szCs w:val="20"/>
                <w:color w:val="auto"/>
              </w:rPr>
            </w:pPr>
            <w:r>
              <w:rPr>
                <w:rFonts w:ascii="Arial" w:cs="Arial" w:eastAsia="Arial" w:hAnsi="Arial"/>
                <w:sz w:val="14"/>
                <w:szCs w:val="14"/>
                <w:color w:val="auto"/>
              </w:rPr>
              <w:t>2.80</w:t>
            </w:r>
          </w:p>
        </w:tc>
        <w:tc>
          <w:tcPr>
            <w:tcW w:w="104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06/07/2031</w:t>
            </w:r>
          </w:p>
        </w:tc>
        <w:tc>
          <w:tcPr>
            <w:tcW w:w="0" w:type="dxa"/>
            <w:vAlign w:val="bottom"/>
          </w:tcPr>
          <w:p>
            <w:pPr>
              <w:spacing w:after="0"/>
              <w:rPr>
                <w:sz w:val="1"/>
                <w:szCs w:val="1"/>
                <w:color w:val="auto"/>
              </w:rPr>
            </w:pPr>
          </w:p>
        </w:tc>
      </w:tr>
      <w:tr>
        <w:trPr>
          <w:trHeight w:val="157"/>
        </w:trPr>
        <w:tc>
          <w:tcPr>
            <w:tcW w:w="4000" w:type="dxa"/>
            <w:vAlign w:val="bottom"/>
          </w:tcPr>
          <w:p>
            <w:pPr>
              <w:spacing w:after="0" w:line="157" w:lineRule="exact"/>
              <w:rPr>
                <w:sz w:val="20"/>
                <w:szCs w:val="20"/>
                <w:color w:val="auto"/>
              </w:rPr>
            </w:pPr>
            <w:r>
              <w:rPr>
                <w:rFonts w:ascii="Arial" w:cs="Arial" w:eastAsia="Arial" w:hAnsi="Arial"/>
                <w:sz w:val="14"/>
                <w:szCs w:val="14"/>
                <w:color w:val="auto"/>
              </w:rPr>
              <w:t>Ross Taylor</w:t>
            </w:r>
          </w:p>
        </w:tc>
        <w:tc>
          <w:tcPr>
            <w:tcW w:w="376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175"/>
              <w:spacing w:after="0" w:line="157" w:lineRule="exact"/>
              <w:rPr>
                <w:sz w:val="20"/>
                <w:szCs w:val="20"/>
                <w:color w:val="auto"/>
              </w:rPr>
            </w:pPr>
            <w:r>
              <w:rPr>
                <w:rFonts w:ascii="Arial" w:cs="Arial" w:eastAsia="Arial" w:hAnsi="Arial"/>
                <w:sz w:val="13"/>
                <w:szCs w:val="13"/>
                <w:color w:val="auto"/>
              </w:rPr>
              <w:t>175,000</w:t>
            </w:r>
            <w:r>
              <w:rPr>
                <w:rFonts w:ascii="Arial" w:cs="Arial" w:eastAsia="Arial" w:hAnsi="Arial"/>
                <w:sz w:val="18"/>
                <w:szCs w:val="18"/>
                <w:color w:val="auto"/>
                <w:vertAlign w:val="superscript"/>
              </w:rPr>
              <w:t>(1)</w:t>
            </w:r>
          </w:p>
        </w:tc>
        <w:tc>
          <w:tcPr>
            <w:tcW w:w="1020" w:type="dxa"/>
            <w:vAlign w:val="bottom"/>
          </w:tcPr>
          <w:p>
            <w:pPr>
              <w:jc w:val="right"/>
              <w:ind w:right="213"/>
              <w:spacing w:after="0" w:line="157" w:lineRule="exact"/>
              <w:rPr>
                <w:sz w:val="20"/>
                <w:szCs w:val="20"/>
                <w:color w:val="auto"/>
              </w:rPr>
            </w:pPr>
            <w:r>
              <w:rPr>
                <w:rFonts w:ascii="Arial" w:cs="Arial" w:eastAsia="Arial" w:hAnsi="Arial"/>
                <w:sz w:val="14"/>
                <w:szCs w:val="14"/>
                <w:color w:val="auto"/>
              </w:rPr>
              <w:t>11.55</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01/13/2034</w:t>
            </w:r>
          </w:p>
        </w:tc>
        <w:tc>
          <w:tcPr>
            <w:tcW w:w="0" w:type="dxa"/>
            <w:vAlign w:val="bottom"/>
          </w:tcPr>
          <w:p>
            <w:pPr>
              <w:spacing w:after="0"/>
              <w:rPr>
                <w:sz w:val="1"/>
                <w:szCs w:val="1"/>
                <w:color w:val="auto"/>
              </w:rPr>
            </w:pPr>
          </w:p>
        </w:tc>
      </w:tr>
      <w:tr>
        <w:trPr>
          <w:trHeight w:val="157"/>
        </w:trPr>
        <w:tc>
          <w:tcPr>
            <w:tcW w:w="400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Nancy Johnson</w:t>
            </w:r>
          </w:p>
        </w:tc>
        <w:tc>
          <w:tcPr>
            <w:tcW w:w="3760" w:type="dxa"/>
            <w:vAlign w:val="bottom"/>
            <w:shd w:val="clear" w:color="auto" w:fill="E5E5E5"/>
          </w:tcPr>
          <w:p>
            <w:pPr>
              <w:jc w:val="right"/>
              <w:ind w:right="194"/>
              <w:spacing w:after="0" w:line="157" w:lineRule="exact"/>
              <w:rPr>
                <w:sz w:val="20"/>
                <w:szCs w:val="20"/>
                <w:color w:val="auto"/>
              </w:rPr>
            </w:pPr>
            <w:r>
              <w:rPr>
                <w:rFonts w:ascii="Arial" w:cs="Arial" w:eastAsia="Arial" w:hAnsi="Arial"/>
                <w:sz w:val="14"/>
                <w:szCs w:val="14"/>
                <w:color w:val="auto"/>
              </w:rPr>
              <w:t>833</w:t>
            </w:r>
          </w:p>
        </w:tc>
        <w:tc>
          <w:tcPr>
            <w:tcW w:w="1460" w:type="dxa"/>
            <w:vAlign w:val="bottom"/>
            <w:shd w:val="clear" w:color="auto" w:fill="E5E5E5"/>
          </w:tcPr>
          <w:p>
            <w:pPr>
              <w:jc w:val="right"/>
              <w:ind w:right="175"/>
              <w:spacing w:after="0" w:line="157" w:lineRule="exact"/>
              <w:rPr>
                <w:sz w:val="20"/>
                <w:szCs w:val="20"/>
                <w:color w:val="auto"/>
              </w:rPr>
            </w:pPr>
            <w:r>
              <w:rPr>
                <w:rFonts w:ascii="Arial" w:cs="Arial" w:eastAsia="Arial" w:hAnsi="Arial"/>
                <w:sz w:val="13"/>
                <w:szCs w:val="13"/>
                <w:color w:val="auto"/>
              </w:rPr>
              <w:t>19,167</w:t>
            </w:r>
            <w:r>
              <w:rPr>
                <w:rFonts w:ascii="Arial" w:cs="Arial" w:eastAsia="Arial" w:hAnsi="Arial"/>
                <w:sz w:val="18"/>
                <w:szCs w:val="18"/>
                <w:color w:val="auto"/>
                <w:vertAlign w:val="superscript"/>
              </w:rPr>
              <w:t>(2)</w:t>
            </w:r>
          </w:p>
        </w:tc>
        <w:tc>
          <w:tcPr>
            <w:tcW w:w="1020" w:type="dxa"/>
            <w:vAlign w:val="bottom"/>
            <w:shd w:val="clear" w:color="auto" w:fill="E5E5E5"/>
          </w:tcPr>
          <w:p>
            <w:pPr>
              <w:jc w:val="right"/>
              <w:ind w:right="213"/>
              <w:spacing w:after="0" w:line="157" w:lineRule="exact"/>
              <w:rPr>
                <w:sz w:val="20"/>
                <w:szCs w:val="20"/>
                <w:color w:val="auto"/>
              </w:rPr>
            </w:pPr>
            <w:r>
              <w:rPr>
                <w:rFonts w:ascii="Arial" w:cs="Arial" w:eastAsia="Arial" w:hAnsi="Arial"/>
                <w:sz w:val="14"/>
                <w:szCs w:val="14"/>
                <w:color w:val="auto"/>
              </w:rPr>
              <w:t>17.12</w:t>
            </w:r>
          </w:p>
        </w:tc>
        <w:tc>
          <w:tcPr>
            <w:tcW w:w="10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10/16/2034</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376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11,666</w:t>
            </w:r>
          </w:p>
        </w:tc>
        <w:tc>
          <w:tcPr>
            <w:tcW w:w="1460" w:type="dxa"/>
            <w:vAlign w:val="bottom"/>
          </w:tcPr>
          <w:p>
            <w:pPr>
              <w:jc w:val="right"/>
              <w:ind w:right="175"/>
              <w:spacing w:after="0" w:line="157" w:lineRule="exact"/>
              <w:rPr>
                <w:sz w:val="20"/>
                <w:szCs w:val="20"/>
                <w:color w:val="auto"/>
              </w:rPr>
            </w:pPr>
            <w:r>
              <w:rPr>
                <w:rFonts w:ascii="Arial" w:cs="Arial" w:eastAsia="Arial" w:hAnsi="Arial"/>
                <w:sz w:val="13"/>
                <w:szCs w:val="13"/>
                <w:color w:val="auto"/>
              </w:rPr>
              <w:t>28,334</w:t>
            </w:r>
            <w:r>
              <w:rPr>
                <w:rFonts w:ascii="Arial" w:cs="Arial" w:eastAsia="Arial" w:hAnsi="Arial"/>
                <w:sz w:val="18"/>
                <w:szCs w:val="18"/>
                <w:color w:val="auto"/>
                <w:vertAlign w:val="superscript"/>
              </w:rPr>
              <w:t>(3)</w:t>
            </w:r>
          </w:p>
        </w:tc>
        <w:tc>
          <w:tcPr>
            <w:tcW w:w="1020" w:type="dxa"/>
            <w:vAlign w:val="bottom"/>
          </w:tcPr>
          <w:p>
            <w:pPr>
              <w:jc w:val="right"/>
              <w:ind w:right="213"/>
              <w:spacing w:after="0" w:line="157" w:lineRule="exact"/>
              <w:rPr>
                <w:sz w:val="20"/>
                <w:szCs w:val="20"/>
                <w:color w:val="auto"/>
              </w:rPr>
            </w:pPr>
            <w:r>
              <w:rPr>
                <w:rFonts w:ascii="Arial" w:cs="Arial" w:eastAsia="Arial" w:hAnsi="Arial"/>
                <w:sz w:val="14"/>
                <w:szCs w:val="14"/>
                <w:color w:val="auto"/>
              </w:rPr>
              <w:t>11.55</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10/17/2033</w:t>
            </w:r>
          </w:p>
        </w:tc>
        <w:tc>
          <w:tcPr>
            <w:tcW w:w="0" w:type="dxa"/>
            <w:vAlign w:val="bottom"/>
          </w:tcPr>
          <w:p>
            <w:pPr>
              <w:spacing w:after="0"/>
              <w:rPr>
                <w:sz w:val="1"/>
                <w:szCs w:val="1"/>
                <w:color w:val="auto"/>
              </w:rPr>
            </w:pPr>
          </w:p>
        </w:tc>
      </w:tr>
      <w:tr>
        <w:trPr>
          <w:trHeight w:val="157"/>
        </w:trPr>
        <w:tc>
          <w:tcPr>
            <w:tcW w:w="4000" w:type="dxa"/>
            <w:vAlign w:val="bottom"/>
            <w:shd w:val="clear" w:color="auto" w:fill="E5E5E5"/>
          </w:tcPr>
          <w:p>
            <w:pPr>
              <w:spacing w:after="0"/>
              <w:rPr>
                <w:sz w:val="13"/>
                <w:szCs w:val="13"/>
                <w:color w:val="auto"/>
              </w:rPr>
            </w:pPr>
          </w:p>
        </w:tc>
        <w:tc>
          <w:tcPr>
            <w:tcW w:w="3760" w:type="dxa"/>
            <w:vAlign w:val="bottom"/>
            <w:shd w:val="clear" w:color="auto" w:fill="E5E5E5"/>
          </w:tcPr>
          <w:p>
            <w:pPr>
              <w:jc w:val="right"/>
              <w:ind w:right="194"/>
              <w:spacing w:after="0" w:line="157" w:lineRule="exact"/>
              <w:rPr>
                <w:sz w:val="20"/>
                <w:szCs w:val="20"/>
                <w:color w:val="auto"/>
              </w:rPr>
            </w:pPr>
            <w:r>
              <w:rPr>
                <w:rFonts w:ascii="Arial" w:cs="Arial" w:eastAsia="Arial" w:hAnsi="Arial"/>
                <w:sz w:val="14"/>
                <w:szCs w:val="14"/>
                <w:color w:val="auto"/>
              </w:rPr>
              <w:t>20,312</w:t>
            </w:r>
          </w:p>
        </w:tc>
        <w:tc>
          <w:tcPr>
            <w:tcW w:w="1460" w:type="dxa"/>
            <w:vAlign w:val="bottom"/>
            <w:shd w:val="clear" w:color="auto" w:fill="E5E5E5"/>
          </w:tcPr>
          <w:p>
            <w:pPr>
              <w:jc w:val="right"/>
              <w:ind w:right="175"/>
              <w:spacing w:after="0" w:line="157" w:lineRule="exact"/>
              <w:rPr>
                <w:sz w:val="20"/>
                <w:szCs w:val="20"/>
                <w:color w:val="auto"/>
              </w:rPr>
            </w:pPr>
            <w:r>
              <w:rPr>
                <w:rFonts w:ascii="Arial" w:cs="Arial" w:eastAsia="Arial" w:hAnsi="Arial"/>
                <w:sz w:val="13"/>
                <w:szCs w:val="13"/>
                <w:color w:val="auto"/>
              </w:rPr>
              <w:t>4,688</w:t>
            </w:r>
            <w:r>
              <w:rPr>
                <w:rFonts w:ascii="Arial" w:cs="Arial" w:eastAsia="Arial" w:hAnsi="Arial"/>
                <w:sz w:val="18"/>
                <w:szCs w:val="18"/>
                <w:color w:val="auto"/>
                <w:vertAlign w:val="superscript"/>
              </w:rPr>
              <w:t>(4)</w:t>
            </w:r>
          </w:p>
        </w:tc>
        <w:tc>
          <w:tcPr>
            <w:tcW w:w="1020" w:type="dxa"/>
            <w:vAlign w:val="bottom"/>
            <w:shd w:val="clear" w:color="auto" w:fill="E5E5E5"/>
          </w:tcPr>
          <w:p>
            <w:pPr>
              <w:jc w:val="right"/>
              <w:ind w:right="213"/>
              <w:spacing w:after="0" w:line="157" w:lineRule="exact"/>
              <w:rPr>
                <w:sz w:val="20"/>
                <w:szCs w:val="20"/>
                <w:color w:val="auto"/>
              </w:rPr>
            </w:pPr>
            <w:r>
              <w:rPr>
                <w:rFonts w:ascii="Arial" w:cs="Arial" w:eastAsia="Arial" w:hAnsi="Arial"/>
                <w:sz w:val="14"/>
                <w:szCs w:val="14"/>
                <w:color w:val="auto"/>
              </w:rPr>
              <w:t>2.80</w:t>
            </w:r>
          </w:p>
        </w:tc>
        <w:tc>
          <w:tcPr>
            <w:tcW w:w="10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10/14/2031</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376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25,000</w:t>
            </w:r>
          </w:p>
        </w:tc>
        <w:tc>
          <w:tcPr>
            <w:tcW w:w="1460" w:type="dxa"/>
            <w:vAlign w:val="bottom"/>
          </w:tcPr>
          <w:p>
            <w:pPr>
              <w:jc w:val="right"/>
              <w:ind w:right="315"/>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13"/>
              <w:spacing w:after="0" w:line="157" w:lineRule="exact"/>
              <w:rPr>
                <w:sz w:val="20"/>
                <w:szCs w:val="20"/>
                <w:color w:val="auto"/>
              </w:rPr>
            </w:pPr>
            <w:r>
              <w:rPr>
                <w:rFonts w:ascii="Arial" w:cs="Arial" w:eastAsia="Arial" w:hAnsi="Arial"/>
                <w:sz w:val="14"/>
                <w:szCs w:val="14"/>
                <w:color w:val="auto"/>
              </w:rPr>
              <w:t>2.80</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06/07/2031</w:t>
            </w:r>
          </w:p>
        </w:tc>
        <w:tc>
          <w:tcPr>
            <w:tcW w:w="0" w:type="dxa"/>
            <w:vAlign w:val="bottom"/>
          </w:tcPr>
          <w:p>
            <w:pPr>
              <w:spacing w:after="0"/>
              <w:rPr>
                <w:sz w:val="1"/>
                <w:szCs w:val="1"/>
                <w:color w:val="auto"/>
              </w:rPr>
            </w:pPr>
          </w:p>
        </w:tc>
      </w:tr>
      <w:tr>
        <w:trPr>
          <w:trHeight w:val="157"/>
        </w:trPr>
        <w:tc>
          <w:tcPr>
            <w:tcW w:w="4000" w:type="dxa"/>
            <w:vAlign w:val="bottom"/>
            <w:shd w:val="clear" w:color="auto" w:fill="E5E5E5"/>
          </w:tcPr>
          <w:p>
            <w:pPr>
              <w:spacing w:after="0"/>
              <w:rPr>
                <w:sz w:val="13"/>
                <w:szCs w:val="13"/>
                <w:color w:val="auto"/>
              </w:rPr>
            </w:pPr>
          </w:p>
        </w:tc>
        <w:tc>
          <w:tcPr>
            <w:tcW w:w="3760" w:type="dxa"/>
            <w:vAlign w:val="bottom"/>
            <w:shd w:val="clear" w:color="auto" w:fill="E5E5E5"/>
          </w:tcPr>
          <w:p>
            <w:pPr>
              <w:jc w:val="right"/>
              <w:ind w:right="194"/>
              <w:spacing w:after="0" w:line="157" w:lineRule="exact"/>
              <w:rPr>
                <w:sz w:val="20"/>
                <w:szCs w:val="20"/>
                <w:color w:val="auto"/>
              </w:rPr>
            </w:pPr>
            <w:r>
              <w:rPr>
                <w:rFonts w:ascii="Arial" w:cs="Arial" w:eastAsia="Arial" w:hAnsi="Arial"/>
                <w:sz w:val="14"/>
                <w:szCs w:val="14"/>
                <w:color w:val="auto"/>
              </w:rPr>
              <w:t>125,000</w:t>
            </w:r>
          </w:p>
        </w:tc>
        <w:tc>
          <w:tcPr>
            <w:tcW w:w="1460" w:type="dxa"/>
            <w:vAlign w:val="bottom"/>
            <w:shd w:val="clear" w:color="auto" w:fill="E5E5E5"/>
          </w:tcPr>
          <w:p>
            <w:pPr>
              <w:jc w:val="right"/>
              <w:ind w:right="315"/>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13"/>
              <w:spacing w:after="0" w:line="157" w:lineRule="exact"/>
              <w:rPr>
                <w:sz w:val="20"/>
                <w:szCs w:val="20"/>
                <w:color w:val="auto"/>
              </w:rPr>
            </w:pPr>
            <w:r>
              <w:rPr>
                <w:rFonts w:ascii="Arial" w:cs="Arial" w:eastAsia="Arial" w:hAnsi="Arial"/>
                <w:sz w:val="14"/>
                <w:szCs w:val="14"/>
                <w:color w:val="auto"/>
              </w:rPr>
              <w:t>0.45</w:t>
            </w:r>
          </w:p>
        </w:tc>
        <w:tc>
          <w:tcPr>
            <w:tcW w:w="10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08/20/2029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00" w:lineRule="exact"/>
        <w:rPr>
          <w:sz w:val="20"/>
          <w:szCs w:val="20"/>
          <w:color w:val="auto"/>
        </w:rPr>
      </w:pPr>
    </w:p>
    <w:p>
      <w:pPr>
        <w:ind w:left="320" w:right="160" w:hanging="316"/>
        <w:spacing w:after="0" w:line="210" w:lineRule="auto"/>
        <w:tabs>
          <w:tab w:leader="none" w:pos="32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Option vests and becomes exercisable with respect to 1/4 of the shares on the one-year anniversary of January 8, 2024, and vests and becomes exercisable with respect to 1/48</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of the shares in equal monthly installments thereafter, subject to the named executive officer’s continued service to the Company through the applicable vesting date.</w:t>
      </w:r>
    </w:p>
    <w:p>
      <w:pPr>
        <w:spacing w:after="0" w:line="42" w:lineRule="exact"/>
        <w:rPr>
          <w:rFonts w:ascii="Arial" w:cs="Arial" w:eastAsia="Arial" w:hAnsi="Arial"/>
          <w:sz w:val="10"/>
          <w:szCs w:val="10"/>
          <w:color w:val="auto"/>
        </w:rPr>
      </w:pPr>
    </w:p>
    <w:p>
      <w:pPr>
        <w:ind w:left="320" w:hanging="316"/>
        <w:spacing w:after="0"/>
        <w:tabs>
          <w:tab w:leader="none" w:pos="32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Option vests and becomes exercisable in 48 equal monthly installments beginning with October 6, 2024, subject to the named executive officer’s continued service to the Company through the applicable vesting date.</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Option vests and becomes exercisable in 48 equal monthly installments beginning with October 1, 2023, subject to the named executive officer’s continued service to the Company through the applicable vesting date.</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Option vests and becomes exercisable in 48 equal monthly installments beginning with September 1, 2021, subject to the named executive officer’s continued service to the Company through the applicable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benefits</w:t>
      </w:r>
    </w:p>
    <w:p>
      <w:pPr>
        <w:spacing w:after="0" w:line="105"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Our Board of Directors has approved the BillionToOne, Inc. Executive Severance Plan (the Severance Plan) prior to this offering to offer severance benefits to our named executive officers and to certain other key executives and employees (each, a Participant). The compensation committee of the Board has the authority to designate the executives and key employees who will be offered an opportunity to participate in the Severance Plan and will administer the Severance Plan.</w:t>
      </w:r>
    </w:p>
    <w:p>
      <w:pPr>
        <w:spacing w:after="0" w:line="80" w:lineRule="exact"/>
        <w:rPr>
          <w:sz w:val="20"/>
          <w:szCs w:val="20"/>
          <w:color w:val="auto"/>
        </w:rPr>
      </w:pPr>
    </w:p>
    <w:p>
      <w:pPr>
        <w:jc w:val="both"/>
        <w:ind w:right="100"/>
        <w:spacing w:after="0" w:line="252" w:lineRule="auto"/>
        <w:rPr>
          <w:sz w:val="20"/>
          <w:szCs w:val="20"/>
          <w:color w:val="auto"/>
        </w:rPr>
      </w:pPr>
      <w:r>
        <w:rPr>
          <w:rFonts w:ascii="Arial" w:cs="Arial" w:eastAsia="Arial" w:hAnsi="Arial"/>
          <w:sz w:val="14"/>
          <w:szCs w:val="14"/>
          <w:color w:val="auto"/>
        </w:rPr>
        <w:t>To participate in the Severance Plan, the Participant must enter into a Participation Agreement (each a, Participation Agreement), which provides that the terms and conditions of the Severance Plan shall supersede and replace any existing employment or severance agreement between us and the Participant. Each of Dr. Atay, Mr. Taylor and Ms. Johnson will be eligible to participate in our Severance Plan pursuant to which Dr. Atay will be a Tier 1 Participant, and each of Mr. Taylor and Ms. Johnson will be Tier 2 Participants.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Tier 1, Tier 2, and Tier 3 Participants are entitled to the following severance benefits, as applicable:</w:t>
      </w:r>
    </w:p>
    <w:p>
      <w:pPr>
        <w:spacing w:after="0" w:line="101" w:lineRule="exact"/>
        <w:rPr>
          <w:sz w:val="20"/>
          <w:szCs w:val="20"/>
          <w:color w:val="auto"/>
        </w:rPr>
      </w:pPr>
    </w:p>
    <w:p>
      <w:pPr>
        <w:jc w:val="both"/>
        <w:ind w:right="100" w:firstLine="451"/>
        <w:spacing w:after="0" w:line="269" w:lineRule="auto"/>
        <w:rPr>
          <w:sz w:val="20"/>
          <w:szCs w:val="20"/>
          <w:color w:val="auto"/>
        </w:rPr>
      </w:pPr>
      <w:r>
        <w:rPr>
          <w:rFonts w:ascii="Arial" w:cs="Arial" w:eastAsia="Arial" w:hAnsi="Arial"/>
          <w:sz w:val="14"/>
          <w:szCs w:val="14"/>
          <w:i w:val="1"/>
          <w:iCs w:val="1"/>
          <w:color w:val="auto"/>
        </w:rPr>
        <w:t xml:space="preserve">Termination that Does Not Qualify as a Change in Control Termination. </w:t>
      </w:r>
      <w:r>
        <w:rPr>
          <w:rFonts w:ascii="Arial" w:cs="Arial" w:eastAsia="Arial" w:hAnsi="Arial"/>
          <w:sz w:val="14"/>
          <w:szCs w:val="14"/>
          <w:color w:val="auto"/>
        </w:rPr>
        <w:t>In the event of an Involuntary Termination (or, in the case of a Tier 3 Participant, a Termination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Cause) that is not a Change in Control</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ectPr>
          <w:pgSz w:w="11900" w:h="16838" w:orient="portrait"/>
          <w:cols w:equalWidth="0" w:num="1">
            <w:col w:w="11280"/>
          </w:cols>
          <w:pgMar w:left="300" w:top="386"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Termination, a Participant will be eligible to receive the following benefits, provided the Participant signs a release of claims:</w:t>
      </w:r>
    </w:p>
    <w:p>
      <w:pPr>
        <w:spacing w:after="0" w:line="112" w:lineRule="exact"/>
        <w:rPr>
          <w:sz w:val="20"/>
          <w:szCs w:val="20"/>
          <w:color w:val="auto"/>
        </w:rPr>
      </w:pPr>
    </w:p>
    <w:p>
      <w:pPr>
        <w:ind w:left="440" w:hanging="216"/>
        <w:spacing w:after="0" w:line="269" w:lineRule="auto"/>
        <w:tabs>
          <w:tab w:leader="none" w:pos="4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Continuation of the Participant’s base salary for a period of (i) in the case of Tier 1 Participants, 12 months, (ii) in the case of Tier 2 Participants, 9 months, or, (iii) in the case of a Tier 3 Participant, 6 months.</w:t>
      </w:r>
    </w:p>
    <w:p>
      <w:pPr>
        <w:spacing w:after="0" w:line="69" w:lineRule="exact"/>
        <w:rPr>
          <w:rFonts w:ascii="Arial" w:cs="Arial" w:eastAsia="Arial" w:hAnsi="Arial"/>
          <w:sz w:val="14"/>
          <w:szCs w:val="14"/>
          <w:color w:val="auto"/>
        </w:rPr>
      </w:pPr>
    </w:p>
    <w:p>
      <w:pPr>
        <w:jc w:val="both"/>
        <w:ind w:left="440" w:hanging="216"/>
        <w:spacing w:after="0" w:line="252" w:lineRule="auto"/>
        <w:tabs>
          <w:tab w:leader="none" w:pos="4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Continuation of the Participant’s health and welfare benefits for the shorter of (i) in the case of Tier 1 Participants, 12 months, in the case of Tier 2 Participants, 9 months, or, in the case of a Tier 3 Participant, 6 months, (ii) until the date of the Participant’s eligibility for health insurance coverage in connection with new employment, or (iii) the expiration of the Participant’s eligibility for the continuation coverage under COBRA.</w:t>
      </w:r>
    </w:p>
    <w:p>
      <w:pPr>
        <w:spacing w:after="0" w:line="70" w:lineRule="exact"/>
        <w:rPr>
          <w:sz w:val="20"/>
          <w:szCs w:val="20"/>
          <w:color w:val="auto"/>
        </w:rPr>
      </w:pPr>
    </w:p>
    <w:p>
      <w:pPr>
        <w:jc w:val="both"/>
        <w:ind w:right="440" w:firstLine="451"/>
        <w:spacing w:after="0" w:line="252" w:lineRule="auto"/>
        <w:rPr>
          <w:sz w:val="20"/>
          <w:szCs w:val="20"/>
          <w:color w:val="auto"/>
        </w:rPr>
      </w:pPr>
      <w:r>
        <w:rPr>
          <w:rFonts w:ascii="Arial" w:cs="Arial" w:eastAsia="Arial" w:hAnsi="Arial"/>
          <w:sz w:val="14"/>
          <w:szCs w:val="14"/>
          <w:i w:val="1"/>
          <w:iCs w:val="1"/>
          <w:color w:val="auto"/>
        </w:rPr>
        <w:t xml:space="preserve">Termination in Connection with a Change in Control Termination. </w:t>
      </w:r>
      <w:r>
        <w:rPr>
          <w:rFonts w:ascii="Arial" w:cs="Arial" w:eastAsia="Arial" w:hAnsi="Arial"/>
          <w:sz w:val="14"/>
          <w:szCs w:val="14"/>
          <w:color w:val="auto"/>
        </w:rPr>
        <w:t>In the event of an Involuntary Termination (or, in the case of a Tier 3 Participant, a Termination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Cause) that occurs within 12 months following a Change in Control, a Participant will be eligible to receive the following benefits, as applicable, provided the Participant signs a release of claims:</w:t>
      </w:r>
    </w:p>
    <w:p>
      <w:pPr>
        <w:spacing w:after="0" w:line="80" w:lineRule="exact"/>
        <w:rPr>
          <w:sz w:val="20"/>
          <w:szCs w:val="20"/>
          <w:color w:val="auto"/>
        </w:rPr>
      </w:pPr>
    </w:p>
    <w:p>
      <w:pPr>
        <w:ind w:left="440" w:right="420" w:hanging="216"/>
        <w:spacing w:after="0" w:line="269" w:lineRule="auto"/>
        <w:tabs>
          <w:tab w:leader="none" w:pos="4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 lump sum cash payment equal to a percentage multiplied by the sum of (i) the Participant’s annual base salary and (ii) the Participant’s annual target bonus, with such percentage equal to 150%, in the case of a Tier 1 Participant, 100% in the case of a Tier 2 Participant, and 75% in the case of a Tier 3 participant.</w:t>
      </w:r>
    </w:p>
    <w:p>
      <w:pPr>
        <w:spacing w:after="0" w:line="69" w:lineRule="exact"/>
        <w:rPr>
          <w:rFonts w:ascii="Arial" w:cs="Arial" w:eastAsia="Arial" w:hAnsi="Arial"/>
          <w:sz w:val="14"/>
          <w:szCs w:val="14"/>
          <w:color w:val="auto"/>
        </w:rPr>
      </w:pPr>
    </w:p>
    <w:p>
      <w:pPr>
        <w:ind w:left="440" w:hanging="216"/>
        <w:spacing w:after="0"/>
        <w:tabs>
          <w:tab w:leader="none" w:pos="4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With respect to time-based equity awards, full vesting of any outstanding and then-unvested time-based equity awards held by the Participant.</w:t>
      </w:r>
    </w:p>
    <w:p>
      <w:pPr>
        <w:spacing w:after="0" w:line="111" w:lineRule="exact"/>
        <w:rPr>
          <w:rFonts w:ascii="Arial" w:cs="Arial" w:eastAsia="Arial" w:hAnsi="Arial"/>
          <w:sz w:val="14"/>
          <w:szCs w:val="14"/>
          <w:color w:val="auto"/>
        </w:rPr>
      </w:pPr>
    </w:p>
    <w:p>
      <w:pPr>
        <w:ind w:left="440" w:right="440" w:hanging="216"/>
        <w:spacing w:after="0" w:line="269" w:lineRule="auto"/>
        <w:tabs>
          <w:tab w:leader="none" w:pos="4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With respect to performance-based equity awards, if any, such performance-based awards held by the Participant shall vest based on the terms of the applicable award agreement for the performance-based award.</w:t>
      </w:r>
    </w:p>
    <w:p>
      <w:pPr>
        <w:spacing w:after="0" w:line="69" w:lineRule="exact"/>
        <w:rPr>
          <w:rFonts w:ascii="Arial" w:cs="Arial" w:eastAsia="Arial" w:hAnsi="Arial"/>
          <w:sz w:val="14"/>
          <w:szCs w:val="14"/>
          <w:color w:val="auto"/>
        </w:rPr>
      </w:pPr>
    </w:p>
    <w:p>
      <w:pPr>
        <w:ind w:left="440" w:right="480" w:hanging="216"/>
        <w:spacing w:after="0" w:line="269" w:lineRule="auto"/>
        <w:tabs>
          <w:tab w:leader="none" w:pos="4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 lump sum cash payment equal to the product of (i) the employer’s portion of the Participant’s monthly COBRA premiums and (ii) in the case of a Tier 1 Participant, 18 months, in the case of a Tier 2 Participant, 12 months, or, in the case of Tier 3 Participant, 9 months.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terms “Change in Control,” “Involuntary Termination,” and “Termination Without Cause” shall have the meanings ascribed to such terms in the Severance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plans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2025 equity incentive plan</w:t>
      </w:r>
    </w:p>
    <w:p>
      <w:pPr>
        <w:spacing w:after="0" w:line="99" w:lineRule="exact"/>
        <w:rPr>
          <w:sz w:val="20"/>
          <w:szCs w:val="20"/>
          <w:color w:val="auto"/>
        </w:rPr>
      </w:pPr>
    </w:p>
    <w:p>
      <w:pPr>
        <w:jc w:val="both"/>
        <w:ind w:right="120"/>
        <w:spacing w:after="0" w:line="252" w:lineRule="auto"/>
        <w:rPr>
          <w:sz w:val="20"/>
          <w:szCs w:val="20"/>
          <w:color w:val="auto"/>
        </w:rPr>
      </w:pPr>
      <w:r>
        <w:rPr>
          <w:rFonts w:ascii="Arial" w:cs="Arial" w:eastAsia="Arial" w:hAnsi="Arial"/>
          <w:sz w:val="14"/>
          <w:szCs w:val="14"/>
          <w:color w:val="auto"/>
        </w:rPr>
        <w:t>Our 2025 plan was adopted by our Board of Directors on October 7, 2025, will be submitted to our stockholders for approval prior to this offering, and will become effective upon the effectiveness of the registration statement of which this prospectus is a part. Our 2025 Plan is intended to replace our 2018 Plan. However, awards outstanding under the 2018 Plan will continue to be governed by their existing terms. It is expected that our 2025 Plan will have the features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reserve</w:t>
      </w:r>
    </w:p>
    <w:p>
      <w:pPr>
        <w:spacing w:after="0" w:line="99"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The number of shares of our Class A common stock available for issuance under our 2025 Plan will equal the sum of 6% of the Class A common stock on a fully diluted basis after giving effect to this offering (assuming the conversion of all Class B common stock to Class A common stock, the exercise of any outstanding warrants and the Preferred Stock Conversion and the Reclassification, and including, but not limited to, shares subject to outstanding awards under the 2018 Plan, and the issuance of the Class A common stock contemplated to be sold in this offering, but assuming no exercise by the underwriters of their option to purchase additional</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206</w:t>
      </w:r>
    </w:p>
    <w:p>
      <w:pPr>
        <w:sectPr>
          <w:pgSz w:w="11900" w:h="16838" w:orient="portrait"/>
          <w:cols w:equalWidth="0" w:num="1">
            <w:col w:w="11240"/>
          </w:cols>
          <w:pgMar w:left="300" w:top="385" w:right="3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shares), plus up to 8,930,919 shares remaining available for issuance under, or issued pursuant to or subject to awards granted under, our 2018 Plan. The number of shares reserved for issuance under our 2025 Plan will be increased automatically on the first business day of each of our fiscal years, commencing in 2027 and ending in (and including) 2035, by a number equal to the lesser of:</w:t>
      </w:r>
    </w:p>
    <w:p>
      <w:pPr>
        <w:spacing w:after="0" w:line="80" w:lineRule="exact"/>
        <w:rPr>
          <w:sz w:val="20"/>
          <w:szCs w:val="20"/>
          <w:color w:val="auto"/>
        </w:rPr>
      </w:pPr>
    </w:p>
    <w:p>
      <w:pPr>
        <w:ind w:left="220" w:hanging="216"/>
        <w:spacing w:after="0"/>
        <w:tabs>
          <w:tab w:leader="none" w:pos="2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5% of the shares of Class A common stock outstanding on the last business day of the prior fiscal year; or</w:t>
      </w:r>
    </w:p>
    <w:p>
      <w:pPr>
        <w:spacing w:after="0" w:line="10" w:lineRule="exact"/>
        <w:rPr>
          <w:rFonts w:ascii="Arial" w:cs="Arial" w:eastAsia="Arial" w:hAnsi="Arial"/>
          <w:sz w:val="14"/>
          <w:szCs w:val="14"/>
          <w:color w:val="auto"/>
        </w:rPr>
      </w:pPr>
    </w:p>
    <w:p>
      <w:pPr>
        <w:ind w:left="220" w:hanging="216"/>
        <w:spacing w:after="0"/>
        <w:tabs>
          <w:tab w:leader="none" w:pos="2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number of shares determined by our Board of Directors.</w:t>
      </w:r>
    </w:p>
    <w:p>
      <w:pPr>
        <w:spacing w:after="0" w:line="87"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 general, to the extent that any awards under our 2025 Plan are forfeited, terminate, expire or lapse without the issuance of shares, or if we repurchase the shares subject to awards granted under our 2025 Plan, those shares will again become available for issuance under our 2025 Plan, as will shares applied to pay the exercise or purchase price of an award or to satisfy tax withholding obligations related to any award.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The compensation committee of our Board of Directors will administer our 2025 Plan. The compensation committee will have complete discretion to make all decisions relating to our 2025 Plan and outstanding awards, including repricing outstanding options and modifying outstanding awards in other ways.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Employees, non-employee directors, consultants and advisors will be eligible to participate in our 2025 Plan.</w:t>
      </w:r>
    </w:p>
    <w:p>
      <w:pPr>
        <w:spacing w:after="0" w:line="112"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Under our 2025 Plan, the aggregate grant date fair value of awards granted to our non-employee directors may not exceed $750,000 in any one fiscal year, provided, however, that such limitation that will not apply in the fiscal year in which a non-employee director is initially appointed to our Board of Directors or with respect to the non-executive chair of our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Types of awards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Our 2025 Plan provides for the following types of awards:</w:t>
      </w:r>
    </w:p>
    <w:p>
      <w:pPr>
        <w:spacing w:after="0" w:line="112" w:lineRule="exact"/>
        <w:rPr>
          <w:sz w:val="20"/>
          <w:szCs w:val="20"/>
          <w:color w:val="auto"/>
        </w:rPr>
      </w:pPr>
    </w:p>
    <w:p>
      <w:pPr>
        <w:ind w:left="220" w:hanging="216"/>
        <w:spacing w:after="0"/>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incentive and nonstatutory stock options;</w:t>
      </w:r>
    </w:p>
    <w:p>
      <w:pPr>
        <w:spacing w:after="0" w:line="10" w:lineRule="exact"/>
        <w:rPr>
          <w:rFonts w:ascii="Arial" w:cs="Arial" w:eastAsia="Arial" w:hAnsi="Arial"/>
          <w:sz w:val="14"/>
          <w:szCs w:val="14"/>
          <w:color w:val="auto"/>
        </w:rPr>
      </w:pPr>
    </w:p>
    <w:p>
      <w:pPr>
        <w:ind w:left="220" w:hanging="216"/>
        <w:spacing w:after="0" w:line="234" w:lineRule="auto"/>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stock appreciation rights;</w:t>
      </w:r>
    </w:p>
    <w:p>
      <w:pPr>
        <w:ind w:left="220" w:hanging="216"/>
        <w:spacing w:after="0" w:line="234" w:lineRule="auto"/>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restricted shares; and</w:t>
      </w:r>
    </w:p>
    <w:p>
      <w:pPr>
        <w:ind w:left="220" w:hanging="216"/>
        <w:spacing w:after="0"/>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restricted stock units.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Options and stock appreciation rights</w:t>
      </w:r>
    </w:p>
    <w:p>
      <w:pPr>
        <w:spacing w:after="0" w:line="110"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The exercise price for options granted under our 2025 Plan may not be less than 100% of the fair market value of our Class A common stock on the grant date. Optionees will be permitted to pay the exercise price in cash or, with the consent of the compensation committee:</w:t>
      </w:r>
    </w:p>
    <w:p>
      <w:pPr>
        <w:spacing w:after="0" w:line="69" w:lineRule="exact"/>
        <w:rPr>
          <w:sz w:val="20"/>
          <w:szCs w:val="20"/>
          <w:color w:val="auto"/>
        </w:rPr>
      </w:pPr>
    </w:p>
    <w:p>
      <w:pPr>
        <w:ind w:left="220" w:hanging="216"/>
        <w:spacing w:after="0"/>
        <w:tabs>
          <w:tab w:leader="none" w:pos="2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with shares of Class A common stock that the optionee already owns;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by an immediate sale of shares through a broker approved by us;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by instructing us to withhold a number of shares having an aggregate fair market value that does not exceed the exercise price; or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by other methods permitted by applicable law.</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207</w:t>
      </w:r>
    </w:p>
    <w:p>
      <w:pPr>
        <w:sectPr>
          <w:pgSz w:w="11900" w:h="16838" w:orient="portrait"/>
          <w:cols w:equalWidth="0" w:num="1">
            <w:col w:w="11260"/>
          </w:cols>
          <w:pgMar w:left="300" w:top="385"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An optionee who exercises a stock appreciation right receives the increase in value of our Class A common stock over the base price. The base price for stock appreciation rights may not be less than 100% of the fair market value of our Class A common stock on the grant date. The settlement value of a stock appreciation right may be paid in cash, shares of our common stock or a combination.</w:t>
      </w:r>
    </w:p>
    <w:p>
      <w:pPr>
        <w:spacing w:after="0" w:line="70" w:lineRule="exact"/>
        <w:rPr>
          <w:sz w:val="20"/>
          <w:szCs w:val="20"/>
          <w:color w:val="auto"/>
        </w:rPr>
      </w:pPr>
    </w:p>
    <w:p>
      <w:pPr>
        <w:jc w:val="both"/>
        <w:ind w:right="240"/>
        <w:spacing w:after="0" w:line="252" w:lineRule="auto"/>
        <w:rPr>
          <w:sz w:val="20"/>
          <w:szCs w:val="20"/>
          <w:color w:val="auto"/>
        </w:rPr>
      </w:pPr>
      <w:r>
        <w:rPr>
          <w:rFonts w:ascii="Arial" w:cs="Arial" w:eastAsia="Arial" w:hAnsi="Arial"/>
          <w:sz w:val="14"/>
          <w:szCs w:val="14"/>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shares and restricted stock units</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Restricted shares and restricted stock units may be awarded under our 2025 Plan in return for any lawful 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transactions</w:t>
      </w:r>
    </w:p>
    <w:p>
      <w:pPr>
        <w:spacing w:after="0" w:line="99"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In the event we are a party to a merger, consolidation or certain change in control transactions, outstanding awards granted under our 2025 Plan, and all shares acquired under our 2025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80" w:lineRule="exact"/>
        <w:rPr>
          <w:sz w:val="20"/>
          <w:szCs w:val="20"/>
          <w:color w:val="auto"/>
        </w:rPr>
      </w:pPr>
    </w:p>
    <w:p>
      <w:pPr>
        <w:ind w:left="220" w:hanging="216"/>
        <w:spacing w:after="0"/>
        <w:tabs>
          <w:tab w:leader="none" w:pos="2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continuation, assumption or substitution of an award by a surviving entity or its parent;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cancellation of an award without payment of any consideration;</w:t>
      </w:r>
    </w:p>
    <w:p>
      <w:pPr>
        <w:spacing w:after="0" w:line="111" w:lineRule="exact"/>
        <w:rPr>
          <w:rFonts w:ascii="Arial" w:cs="Arial" w:eastAsia="Arial" w:hAnsi="Arial"/>
          <w:sz w:val="14"/>
          <w:szCs w:val="14"/>
          <w:color w:val="auto"/>
        </w:rPr>
      </w:pPr>
    </w:p>
    <w:p>
      <w:pPr>
        <w:ind w:left="220" w:right="80" w:hanging="216"/>
        <w:spacing w:after="0" w:line="252" w:lineRule="auto"/>
        <w:tabs>
          <w:tab w:leader="none" w:pos="2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cancellation of the vested portion of an award (and any portion that becomes vested as of the effective time of the transaction) in exchange for a payment equal to the excess, if any, of the value that the holder of each share of our Class A common stock receives in the transaction over (if applicable) the exercise price otherwise payable in connection with the award; or</w:t>
      </w:r>
    </w:p>
    <w:p>
      <w:pPr>
        <w:spacing w:after="0" w:line="80" w:lineRule="exact"/>
        <w:rPr>
          <w:rFonts w:ascii="Arial" w:cs="Arial" w:eastAsia="Arial" w:hAnsi="Arial"/>
          <w:sz w:val="14"/>
          <w:szCs w:val="14"/>
          <w:color w:val="auto"/>
        </w:rPr>
      </w:pPr>
    </w:p>
    <w:p>
      <w:pPr>
        <w:ind w:left="220" w:right="160" w:hanging="216"/>
        <w:spacing w:after="0" w:line="269" w:lineRule="auto"/>
        <w:tabs>
          <w:tab w:leader="none" w:pos="2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 is not required to treat all awards, or portions thereof, in the same manner.</w:t>
      </w:r>
    </w:p>
    <w:p>
      <w:pPr>
        <w:spacing w:after="0" w:line="101"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 A change in control includes:</w:t>
      </w:r>
    </w:p>
    <w:p>
      <w:pPr>
        <w:spacing w:after="0" w:line="69" w:lineRule="exact"/>
        <w:rPr>
          <w:sz w:val="20"/>
          <w:szCs w:val="20"/>
          <w:color w:val="auto"/>
        </w:rPr>
      </w:pPr>
    </w:p>
    <w:p>
      <w:pPr>
        <w:ind w:left="220" w:hanging="216"/>
        <w:spacing w:after="0"/>
        <w:tabs>
          <w:tab w:leader="none" w:pos="2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person acquiring beneficial ownership of more than 50% of our total voting power;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sale or other disposition of all or substantially all of our assets; or</w:t>
      </w:r>
    </w:p>
    <w:p>
      <w:pPr>
        <w:spacing w:after="0" w:line="111" w:lineRule="exact"/>
        <w:rPr>
          <w:rFonts w:ascii="Arial" w:cs="Arial" w:eastAsia="Arial" w:hAnsi="Arial"/>
          <w:sz w:val="14"/>
          <w:szCs w:val="14"/>
          <w:color w:val="auto"/>
        </w:rPr>
      </w:pPr>
    </w:p>
    <w:p>
      <w:pPr>
        <w:ind w:left="5520" w:right="2300" w:hanging="5516"/>
        <w:spacing w:after="0" w:line="441" w:lineRule="auto"/>
        <w:tabs>
          <w:tab w:leader="none" w:pos="20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our merger or consolidation after which our voting securities represent 50% or less of the total voting power of the surviving or acquiring entity. 208</w:t>
      </w:r>
    </w:p>
    <w:p>
      <w:pPr>
        <w:sectPr>
          <w:pgSz w:w="11900" w:h="16838" w:orient="portrait"/>
          <w:cols w:equalWidth="0" w:num="1">
            <w:col w:w="11280"/>
          </w:cols>
          <w:pgMar w:left="300" w:top="385" w:right="3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capitalization</w:t>
      </w:r>
    </w:p>
    <w:p>
      <w:pPr>
        <w:spacing w:after="0" w:line="99" w:lineRule="exact"/>
        <w:rPr>
          <w:sz w:val="20"/>
          <w:szCs w:val="20"/>
          <w:color w:val="auto"/>
        </w:rPr>
      </w:pPr>
    </w:p>
    <w:p>
      <w:pPr>
        <w:ind w:right="540"/>
        <w:spacing w:after="0" w:line="269" w:lineRule="auto"/>
        <w:rPr>
          <w:sz w:val="20"/>
          <w:szCs w:val="20"/>
          <w:color w:val="auto"/>
        </w:rPr>
      </w:pPr>
      <w:r>
        <w:rPr>
          <w:rFonts w:ascii="Arial" w:cs="Arial" w:eastAsia="Arial" w:hAnsi="Arial"/>
          <w:sz w:val="14"/>
          <w:szCs w:val="14"/>
          <w:color w:val="auto"/>
        </w:rPr>
        <w:t>In the event of certain changes in our capital structure without our receipt of consideration, such as a stock split, reverse stock split or dividend paid in Class A common stock, proportionate adjustments will automatically be made to:</w:t>
      </w:r>
    </w:p>
    <w:p>
      <w:pPr>
        <w:spacing w:after="0" w:line="69" w:lineRule="exact"/>
        <w:rPr>
          <w:sz w:val="20"/>
          <w:szCs w:val="20"/>
          <w:color w:val="auto"/>
        </w:rPr>
      </w:pPr>
    </w:p>
    <w:p>
      <w:pPr>
        <w:ind w:left="220" w:right="120" w:hanging="216"/>
        <w:spacing w:after="0" w:line="269" w:lineRule="auto"/>
        <w:tabs>
          <w:tab w:leader="none" w:pos="2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maximum number and kind of shares available for issuance under our 2025 Plan, including the maximum number and kind of shares that may be issued upon the exercise of incentive stock options;</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maximum number and kind of shares covered by, and exercise price, base price or purchase price, if any, applicable to each outstanding stock award;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maximum number and kind of shares by which the share reserve may increase automatically each year.</w:t>
      </w:r>
    </w:p>
    <w:p>
      <w:pPr>
        <w:spacing w:after="0" w:line="112"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In the event that there is a declaration of an extraordinary dividend payable in a form other than our Class A common stock in an amount that has a material effect on the price of our Class A common stock, a recapitalization, a spin-off or a similar occurrence, the compensation committee may make such adjustments to any of the foregoing as it deems appropriate, in its sole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Amendments or termination</w:t>
      </w:r>
    </w:p>
    <w:p>
      <w:pPr>
        <w:spacing w:after="0" w:line="110"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Our Board of Directors may amend, suspend or terminate our 2025 Plan at any time. If our Board of Directors amends our 2025 Plan, it does not need stockholder approval of the amendment unless required by applicable law, regulation or rules. Our 2025 Plan will terminate automatically 10 years after the later of the date when our Board of Directors adopted our 2025 Plan or approved the latest share increase that was also approved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stock plan</w:t>
      </w:r>
    </w:p>
    <w:p>
      <w:pPr>
        <w:spacing w:after="0" w:line="113"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Our Board of Directors adopted and our stockholders approved our 2018 Plan in December 2018. After completion of this offering, no further awards will be made under the 2018 Plan and the outstanding awards will continue to be governed by their existing terms, except that our Class A common stock will be the class of stock underlying the outstanding awards. In addition, we will make adjustments to the number of shares and the exercise price per share underlying outstanding awards to reflect changes made to our capital structure in connection with this offering. This summary, however, is not intended to be a complete description of the 2018 Plan and is qualified in its entirety by reference to the complete text of the 2018 Plan, which is filed as an exhibit to the registration statement of which this prospectus is a part. To the extent there is a conflict between the terms of this summary and the 2018 Plan, the terms of the 2018 Plan will control.</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Types of awards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2018 Plan provides for the grant of incentive stock options, or ISOs, nonstatutory stock options, or NSOs, and awards of restricted stock (collectively, stock awards). ISOs may be granted only to our employees, but not employees of our affiliates. All other awards may be granted to our employees, our non-employee directors and consultants and the employees and consultants of our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reserve</w:t>
      </w:r>
    </w:p>
    <w:p>
      <w:pPr>
        <w:spacing w:after="0" w:line="11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As of June 30, 2025, we have reserved 12,409,025 shares of our common stock for issuance under the 2018 Plan, all of which may be issued as incentive stock options. Unissued shares subject to awards that expire or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ectPr>
          <w:pgSz w:w="11900" w:h="16838" w:orient="portrait"/>
          <w:cols w:equalWidth="0" w:num="1">
            <w:col w:w="11280"/>
          </w:cols>
          <w:pgMar w:left="300" w:top="385"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jc w:val="both"/>
        <w:ind w:right="480"/>
        <w:spacing w:after="0" w:line="252" w:lineRule="auto"/>
        <w:rPr>
          <w:sz w:val="20"/>
          <w:szCs w:val="20"/>
          <w:color w:val="auto"/>
        </w:rPr>
      </w:pPr>
      <w:r>
        <w:rPr>
          <w:rFonts w:ascii="Arial" w:cs="Arial" w:eastAsia="Arial" w:hAnsi="Arial"/>
          <w:sz w:val="14"/>
          <w:szCs w:val="14"/>
          <w:color w:val="auto"/>
        </w:rPr>
        <w:t>become unexercisable without being exercised in full or are surrendered pursuant to an option exchange program and shares that are forfeited, cancelled, reacquired by us or withheld in payment of the purchase price or exercise price of an award or in satisfaction of withholding taxes will again become available for issuance under the 2018 Plan or, following completion of this offering, under the 2025 Plan.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w:t>
      </w:r>
    </w:p>
    <w:p>
      <w:pPr>
        <w:spacing w:after="0" w:line="110"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Our Board of Directors, or a committee thereof, has administered the 2018 Plan since its adoption; however, following this offering, the compensation committee of our Board of Directors will generally administer the 2018 Plan. The administrator has complete discretion to make all decisions relating to the 2018 Plan and outstanding awards.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w:t>
      </w:r>
    </w:p>
    <w:p>
      <w:pPr>
        <w:spacing w:after="0" w:line="110"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Our employees, non-employee members of our Board of Directors and consultants, including those of our affiliates, are eligible to participate in the 2018 Plan. However, only our direct employees are eligible to receive incentive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Options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The exercise price for options granted under the 2018 Plan is determined by the administrator, but, in the case of ISOs, may not be less than 100% 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80" w:lineRule="exact"/>
        <w:rPr>
          <w:sz w:val="20"/>
          <w:szCs w:val="20"/>
          <w:color w:val="auto"/>
        </w:rPr>
      </w:pPr>
    </w:p>
    <w:p>
      <w:pPr>
        <w:ind w:left="220" w:hanging="216"/>
        <w:spacing w:after="0" w:line="269" w:lineRule="auto"/>
        <w:tabs>
          <w:tab w:leader="none" w:pos="2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Delivery of a promissory note, with the recourse, interest, security and redemption provisions determined by the administrator to the extent permitted under and in accordance with applicable law;</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Cancellation of indebtedness;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Surrender of shares of common stock that the optionee already owns; or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If our shares of common stock are publicly traded, through a sale of shares subject to the option through a securities broker; or Other methods permitted under applicable laws.</w:t>
      </w:r>
    </w:p>
    <w:p>
      <w:pPr>
        <w:spacing w:after="0" w:line="112"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shares</w:t>
      </w:r>
    </w:p>
    <w:p>
      <w:pPr>
        <w:spacing w:after="0" w:line="110" w:lineRule="exact"/>
        <w:rPr>
          <w:sz w:val="20"/>
          <w:szCs w:val="20"/>
          <w:color w:val="auto"/>
        </w:rPr>
      </w:pPr>
    </w:p>
    <w:p>
      <w:pPr>
        <w:ind w:right="140"/>
        <w:spacing w:after="0" w:line="271" w:lineRule="auto"/>
        <w:rPr>
          <w:sz w:val="20"/>
          <w:szCs w:val="20"/>
          <w:color w:val="auto"/>
        </w:rPr>
      </w:pPr>
      <w:r>
        <w:rPr>
          <w:rFonts w:ascii="Arial" w:cs="Arial" w:eastAsia="Arial" w:hAnsi="Arial"/>
          <w:sz w:val="13"/>
          <w:szCs w:val="13"/>
          <w:color w:val="auto"/>
        </w:rPr>
        <w:t>Restricted shares may be awarded or sold under the 2018 Plan in return for cash or cash equivalents or, as permitted by the administrator in its sole discretion, in exchange for services rendered to us, or through any other means permitted by applicable law. Restricted shares vest as determined by the administrator. The plan administrator determines the terms and conditions of restricted shares, including vesting and forfeiture terms. If a participant’s service relationship with us ceases for any reason, we may receive any or all of the shares of common stock held by the participant that have not vested as of the date the participant terminates service with us through a forfeiture condition or a repurchase right.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transactions</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In the event that we are a party to a merger, consolidation or the capital reorganization or business combination transaction, including any transaction or series of transaction in which any person becomes the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210</w:t>
      </w:r>
    </w:p>
    <w:p>
      <w:pPr>
        <w:sectPr>
          <w:pgSz w:w="11900" w:h="16838" w:orient="portrait"/>
          <w:cols w:equalWidth="0" w:num="1">
            <w:col w:w="11240"/>
          </w:cols>
          <w:pgMar w:left="300" w:top="385" w:right="3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beneficial owner of more than 50% of our then outstanding capital stock, or in the event of a sale of all or substantially all of our assets, awards granted under the 2018 Plan will be treated in the manner determined by the administrator. Such treatment may include, without limitation, one or more of the following with respect to outstanding awards:</w:t>
      </w:r>
    </w:p>
    <w:p>
      <w:pPr>
        <w:spacing w:after="0" w:line="69" w:lineRule="exact"/>
        <w:rPr>
          <w:sz w:val="20"/>
          <w:szCs w:val="20"/>
          <w:color w:val="auto"/>
        </w:rPr>
      </w:pPr>
    </w:p>
    <w:p>
      <w:pPr>
        <w:ind w:left="220" w:hanging="216"/>
        <w:spacing w:after="0"/>
        <w:tabs>
          <w:tab w:leader="none" w:pos="2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continuation, assumption or substitution of an award by the surviving entity or its parent;</w:t>
      </w:r>
    </w:p>
    <w:p>
      <w:pPr>
        <w:spacing w:after="0" w:line="111" w:lineRule="exact"/>
        <w:rPr>
          <w:rFonts w:ascii="Arial" w:cs="Arial" w:eastAsia="Arial" w:hAnsi="Arial"/>
          <w:sz w:val="14"/>
          <w:szCs w:val="14"/>
          <w:color w:val="auto"/>
        </w:rPr>
      </w:pPr>
    </w:p>
    <w:p>
      <w:pPr>
        <w:ind w:left="220" w:right="60" w:hanging="216"/>
        <w:spacing w:after="0" w:line="269" w:lineRule="auto"/>
        <w:tabs>
          <w:tab w:leader="none" w:pos="2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Cancellation of the award in exchange for a payment equal to the excess, if any, of the value of the shares subject to the award over any exercise price per share applicable to the award; or</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Cancellation of the award without payment of any consideration.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administrator is not obligated to treat all awards in the same manner.</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capitalization</w:t>
      </w:r>
    </w:p>
    <w:p>
      <w:pPr>
        <w:spacing w:after="0" w:line="9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In the event of certain specified changes in the capital structure of our common stock, such as a stock split, reverse stock split, stock dividend, combination, consolidation, or reclassification or our shares of common stock, proportionate adjustments will automatically be made in (i) each of the number and kind of shares available for future grants under the 2018 Plan, (ii) the number and kind of shares covered by each outstanding option and all restricted shares, (iii) the exercise price per share subject to each outstanding option and</w:t>
      </w:r>
    </w:p>
    <w:p>
      <w:pPr>
        <w:ind w:right="160" w:firstLine="4"/>
        <w:spacing w:after="0" w:line="239" w:lineRule="auto"/>
        <w:tabs>
          <w:tab w:leader="none" w:pos="23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repurchase price applicable to shares granted under the 2018 Plan. In the event of any increase or decrease in the number of issued shares without the receipt of consideration by the Company, an extraordinary cash dividend that has a material effect on the fair market value of our common stock, a recapitalization, a rights offering, a reorganization, merger, spin-off, split-up, change in corporate structure or other similar occurrence, the administrator shall make adjustments, in its sole discretion, to one or more of the items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Transferability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 participant generally may not transfer stock awards under our 2018 Plan other than by will, the laws of descent and distribution, or as otherwise provided under our 2018 Plan.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Amendments or termination</w:t>
      </w:r>
    </w:p>
    <w:p>
      <w:pPr>
        <w:spacing w:after="0" w:line="1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Board of Directors may amend or terminate our 2018 Plan at any time, but no amendment or termination shall be made that would materially and adversely affect the rights of any participant under any outstanding stock award without the participant’s consent. The Company shall obtain stockholder approval of any amendment to the 2018 Plan to the extent necessary to comply with appliable laws. The 2018 Plan provides that it will terminate automatically ten years after adoption, provided, however, it will terminate earlier upon the completion of this offering, but as noted above, awards outstanding under the 2018 Plan will remain outstanding and will continue to be governed by their existing terms.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10"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color w:val="auto"/>
        </w:rPr>
        <w:t>Our ESPP was adopted by our Board of Directors on October 7, 2025, will be submitted to our stockholders for approval prior to this offering, and will become effective upon the effectiveness of the registration statement of which this prospectus forms a part.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The ESPP is intended to qualify as an “employee stock purchase plan” within the meaning of Section 423 of the Code.</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11280"/>
          </w:cols>
          <w:pgMar w:left="300" w:top="385"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reserve</w:t>
      </w:r>
    </w:p>
    <w:p>
      <w:pPr>
        <w:spacing w:after="0" w:line="99"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The number of shares of our Class A common stock available for issuance under our ESPP will equal 1% of our Class A common stock on a fully diluted basis after giving effect to this offering (assuming the conversion of all Class B common stock to Class A common stock, the exercise of any outstanding warrants and the Preferred Stock Conversion and the Reclassification, and including, but not limited to, shares subject to outstanding awards under the 2018 Plan, and the issuance of the Class A common stock contemplated to be sold in this offering, but assuming no exercise by the underwriters of their option to purchase additional shares). The number of shares reserved for issuance under our ESPP will automatically be increased on the first business day of each of our fiscal years, commencing in 2027 and ending in (and including) 2035, by a number equal to the lesser of:</w:t>
      </w:r>
    </w:p>
    <w:p>
      <w:pPr>
        <w:spacing w:after="0" w:line="87" w:lineRule="exact"/>
        <w:rPr>
          <w:sz w:val="20"/>
          <w:szCs w:val="20"/>
          <w:color w:val="auto"/>
        </w:rPr>
      </w:pPr>
    </w:p>
    <w:p>
      <w:pPr>
        <w:ind w:left="220" w:hanging="216"/>
        <w:spacing w:after="0"/>
        <w:tabs>
          <w:tab w:leader="none" w:pos="2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1% of the shares of Class A common stock outstanding on the last business day of the prior fiscal year; or</w:t>
      </w:r>
    </w:p>
    <w:p>
      <w:pPr>
        <w:spacing w:after="0" w:line="10" w:lineRule="exact"/>
        <w:rPr>
          <w:rFonts w:ascii="Arial" w:cs="Arial" w:eastAsia="Arial" w:hAnsi="Arial"/>
          <w:sz w:val="14"/>
          <w:szCs w:val="14"/>
          <w:color w:val="auto"/>
        </w:rPr>
      </w:pPr>
    </w:p>
    <w:p>
      <w:pPr>
        <w:ind w:left="220" w:hanging="216"/>
        <w:spacing w:after="0"/>
        <w:tabs>
          <w:tab w:leader="none" w:pos="2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number of shares determined by our Board of Directors.</w:t>
      </w:r>
    </w:p>
    <w:p>
      <w:pPr>
        <w:spacing w:after="0" w:line="98"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Notwithstanding the foregoing, no more than 8,400,000 shares of Class A common stock in total may be issued under our ESPP. The number of shares reserved under our ESPP will automatically be adjusted in the event of a stock split, stock dividend or a reverse stock split (including an adjustment to the per-purchase period share limit).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 of our Board of Directors will administer our ESPP.</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All of our employees will be eligible to participate if we employ them for more than 20 hours per week and for five or more months per year. Eligible employees may begin participating in our ESPP at the start of any offering period.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Offering periods</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Each offering period will last a number of months determined by the compensation committee, not to exceed 27 months. A new offering period will begin periodically, as determined by the compensation committee. Offering periods may overlap or may be consecutive.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 of contributions</w:t>
      </w:r>
    </w:p>
    <w:p>
      <w:pPr>
        <w:spacing w:after="0" w:line="110"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Our ESPP will permit each eligible employee to purchase Class A common stock through payroll deductions. Each employee’s payroll deductions may not exceed 15% of the employee’s cash compensation. Each participant may purchase up to the number of shares determined by our Board of Directors on any purchase date, not to exceed 7,500 shares. The value of the shares purchased in any calendar year may not exceed $25,000. Participants may withdraw their contributions at any time before stock is purchased.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price</w:t>
      </w:r>
    </w:p>
    <w:p>
      <w:pPr>
        <w:spacing w:after="0" w:line="11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The price of each share of Class A common stock purchased under our ESPP will not be less than 85% of the lower of the fair market value per share of Class A common stock on the first day of the applicable offering period or the fair market value per share of Class A common stock on the purchase date.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212</w:t>
      </w:r>
    </w:p>
    <w:p>
      <w:pPr>
        <w:sectPr>
          <w:pgSz w:w="11900" w:h="16838" w:orient="portrait"/>
          <w:cols w:equalWidth="0" w:num="1">
            <w:col w:w="11280"/>
          </w:cols>
          <w:pgMar w:left="300" w:top="385" w:right="3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provisions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Employees may end their participation in our ESPP at any time. Participation ends automatically upon termination of employment with us. If we experience a change in control, our ESPP will end and shares will be purchased with the payroll deductions accumulated to date by participating employees. Our Board of Directors or our compensation committee may amend or terminate our ESPP at any time.</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213</w:t>
      </w:r>
    </w:p>
    <w:p>
      <w:pPr>
        <w:sectPr>
          <w:pgSz w:w="11900" w:h="16838" w:orient="portrait"/>
          <w:cols w:equalWidth="0" w:num="1">
            <w:col w:w="11200"/>
          </w:cols>
          <w:pgMar w:left="300" w:top="385" w:right="3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125" w:lineRule="exact"/>
        <w:rPr>
          <w:sz w:val="20"/>
          <w:szCs w:val="20"/>
          <w:color w:val="auto"/>
        </w:rPr>
      </w:pPr>
    </w:p>
    <w:p>
      <w:pPr>
        <w:jc w:val="both"/>
        <w:ind w:right="260"/>
        <w:spacing w:after="0" w:line="246" w:lineRule="auto"/>
        <w:rPr>
          <w:sz w:val="20"/>
          <w:szCs w:val="20"/>
          <w:color w:val="auto"/>
        </w:rPr>
      </w:pPr>
      <w:r>
        <w:rPr>
          <w:rFonts w:ascii="Arial" w:cs="Arial" w:eastAsia="Arial" w:hAnsi="Arial"/>
          <w:sz w:val="14"/>
          <w:szCs w:val="14"/>
          <w:color w:val="auto"/>
        </w:rPr>
        <w:t>The following is a description of transactions since January 1, 2022, or currently proposed, to which we have been or will be a participant,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party, had or will have a direct or indirect material interest, other than compensation arrangements for our directors and executive officers, which are disclosed elsewhere in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D redeemable convertible preferred stock financing</w:t>
      </w:r>
    </w:p>
    <w:p>
      <w:pPr>
        <w:spacing w:after="0" w:line="105" w:lineRule="exact"/>
        <w:rPr>
          <w:sz w:val="20"/>
          <w:szCs w:val="20"/>
          <w:color w:val="auto"/>
        </w:rPr>
      </w:pPr>
    </w:p>
    <w:p>
      <w:pPr>
        <w:jc w:val="both"/>
        <w:ind w:right="300"/>
        <w:spacing w:after="0" w:line="252" w:lineRule="auto"/>
        <w:rPr>
          <w:sz w:val="20"/>
          <w:szCs w:val="20"/>
          <w:color w:val="auto"/>
        </w:rPr>
      </w:pPr>
      <w:r>
        <w:rPr>
          <w:rFonts w:ascii="Arial" w:cs="Arial" w:eastAsia="Arial" w:hAnsi="Arial"/>
          <w:sz w:val="14"/>
          <w:szCs w:val="14"/>
          <w:color w:val="auto"/>
        </w:rPr>
        <w:t>In May 2024, we issued and sold an aggregate of 4,656,233 shares of our Series D redeemable convertible preferred stock at a cash purchase price of $28.0204 per share for an aggregate purchase price of $130.5 million (the Series D Financing). Each share of Series D redeemable convertible preferred stock will convert automatically into a share of our Class A common stock, on a one-for-one basis, immediately prior to the completion of this offering.</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The following table summarizes purchases of our Series D redeemable convertible preferred stock by entities affiliated with certain of our directors and holders of more than 5%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36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Series D redeemable convertible preferred</w:t>
            </w:r>
          </w:p>
        </w:tc>
        <w:tc>
          <w:tcPr>
            <w:tcW w:w="0" w:type="dxa"/>
            <w:vAlign w:val="bottom"/>
          </w:tcPr>
          <w:p>
            <w:pPr>
              <w:spacing w:after="0"/>
              <w:rPr>
                <w:sz w:val="1"/>
                <w:szCs w:val="1"/>
                <w:color w:val="auto"/>
              </w:rPr>
            </w:pPr>
          </w:p>
        </w:tc>
      </w:tr>
      <w:tr>
        <w:trPr>
          <w:trHeight w:val="157"/>
        </w:trPr>
        <w:tc>
          <w:tcPr>
            <w:tcW w:w="7680" w:type="dxa"/>
            <w:vAlign w:val="bottom"/>
            <w:vMerge w:val="restart"/>
          </w:tcPr>
          <w:p>
            <w:pPr>
              <w:spacing w:after="0"/>
              <w:rPr>
                <w:sz w:val="20"/>
                <w:szCs w:val="20"/>
                <w:color w:val="auto"/>
              </w:rPr>
            </w:pPr>
            <w:r>
              <w:rPr>
                <w:rFonts w:ascii="Arial" w:cs="Arial" w:eastAsia="Arial" w:hAnsi="Arial"/>
                <w:sz w:val="13"/>
                <w:szCs w:val="13"/>
                <w:b w:val="1"/>
                <w:bCs w:val="1"/>
                <w:color w:val="auto"/>
              </w:rPr>
              <w:t>Purchaser</w:t>
            </w: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7"/>
        </w:trPr>
        <w:tc>
          <w:tcPr>
            <w:tcW w:w="7680" w:type="dxa"/>
            <w:vAlign w:val="bottom"/>
            <w:tcBorders>
              <w:bottom w:val="single" w:sz="8" w:color="auto"/>
            </w:tcBorders>
            <w:vMerge w:val="continue"/>
          </w:tcPr>
          <w:p>
            <w:pPr>
              <w:spacing w:after="0"/>
              <w:rPr>
                <w:sz w:val="11"/>
                <w:szCs w:val="11"/>
                <w:color w:val="auto"/>
              </w:rPr>
            </w:pPr>
          </w:p>
        </w:tc>
        <w:tc>
          <w:tcPr>
            <w:tcW w:w="1540" w:type="dxa"/>
            <w:vAlign w:val="bottom"/>
            <w:tcBorders>
              <w:top w:val="single" w:sz="8" w:color="auto"/>
              <w:bottom w:val="single" w:sz="8" w:color="auto"/>
            </w:tcBorders>
          </w:tcPr>
          <w:p>
            <w:pPr>
              <w:jc w:val="right"/>
              <w:ind w:right="392"/>
              <w:spacing w:after="0" w:line="138" w:lineRule="exact"/>
              <w:rPr>
                <w:sz w:val="20"/>
                <w:szCs w:val="20"/>
                <w:color w:val="auto"/>
              </w:rPr>
            </w:pPr>
            <w:r>
              <w:rPr>
                <w:rFonts w:ascii="Arial" w:cs="Arial" w:eastAsia="Arial" w:hAnsi="Arial"/>
                <w:sz w:val="13"/>
                <w:szCs w:val="13"/>
                <w:b w:val="1"/>
                <w:bCs w:val="1"/>
                <w:color w:val="auto"/>
                <w:w w:val="95"/>
              </w:rPr>
              <w:t>Number of shares</w:t>
            </w:r>
          </w:p>
        </w:tc>
        <w:tc>
          <w:tcPr>
            <w:tcW w:w="2020" w:type="dxa"/>
            <w:vAlign w:val="bottom"/>
            <w:tcBorders>
              <w:top w:val="single" w:sz="8" w:color="auto"/>
              <w:bottom w:val="single" w:sz="8" w:color="auto"/>
            </w:tcBorders>
            <w:gridSpan w:val="2"/>
          </w:tcPr>
          <w:p>
            <w:pPr>
              <w:ind w:left="460"/>
              <w:spacing w:after="0" w:line="138" w:lineRule="exact"/>
              <w:rPr>
                <w:sz w:val="20"/>
                <w:szCs w:val="20"/>
                <w:color w:val="auto"/>
              </w:rPr>
            </w:pPr>
            <w:r>
              <w:rPr>
                <w:rFonts w:ascii="Arial" w:cs="Arial" w:eastAsia="Arial" w:hAnsi="Arial"/>
                <w:sz w:val="13"/>
                <w:szCs w:val="13"/>
                <w:b w:val="1"/>
                <w:bCs w:val="1"/>
                <w:color w:val="auto"/>
                <w:w w:val="95"/>
              </w:rPr>
              <w:t>Aggregate purchase price</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E5E5E5"/>
          </w:tcPr>
          <w:p>
            <w:pPr>
              <w:spacing w:after="0" w:line="148" w:lineRule="exact"/>
              <w:rPr>
                <w:sz w:val="20"/>
                <w:szCs w:val="20"/>
                <w:color w:val="auto"/>
              </w:rPr>
            </w:pPr>
            <w:r>
              <w:rPr>
                <w:rFonts w:ascii="Arial" w:cs="Arial" w:eastAsia="Arial" w:hAnsi="Arial"/>
                <w:sz w:val="12"/>
                <w:szCs w:val="12"/>
                <w:color w:val="auto"/>
              </w:rPr>
              <w:t>Entities affiliated with Adams Street Partners</w:t>
            </w:r>
            <w:r>
              <w:rPr>
                <w:rFonts w:ascii="Arial" w:cs="Arial" w:eastAsia="Arial" w:hAnsi="Arial"/>
                <w:sz w:val="17"/>
                <w:szCs w:val="17"/>
                <w:color w:val="auto"/>
                <w:vertAlign w:val="superscript"/>
              </w:rPr>
              <w:t>(1)</w:t>
            </w:r>
          </w:p>
        </w:tc>
        <w:tc>
          <w:tcPr>
            <w:tcW w:w="1540" w:type="dxa"/>
            <w:vAlign w:val="bottom"/>
            <w:shd w:val="clear" w:color="auto" w:fill="E5E5E5"/>
          </w:tcPr>
          <w:p>
            <w:pPr>
              <w:jc w:val="right"/>
              <w:ind w:right="392"/>
              <w:spacing w:after="0" w:line="148" w:lineRule="exact"/>
              <w:rPr>
                <w:sz w:val="20"/>
                <w:szCs w:val="20"/>
                <w:color w:val="auto"/>
              </w:rPr>
            </w:pPr>
            <w:r>
              <w:rPr>
                <w:rFonts w:ascii="Arial" w:cs="Arial" w:eastAsia="Arial" w:hAnsi="Arial"/>
                <w:sz w:val="14"/>
                <w:szCs w:val="14"/>
                <w:color w:val="auto"/>
              </w:rPr>
              <w:t>535,321</w:t>
            </w:r>
          </w:p>
        </w:tc>
        <w:tc>
          <w:tcPr>
            <w:tcW w:w="920" w:type="dxa"/>
            <w:vAlign w:val="bottom"/>
            <w:shd w:val="clear" w:color="auto" w:fill="E5E5E5"/>
          </w:tcPr>
          <w:p>
            <w:pPr>
              <w:ind w:left="4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14,999,908</w:t>
            </w:r>
          </w:p>
        </w:tc>
        <w:tc>
          <w:tcPr>
            <w:tcW w:w="0" w:type="dxa"/>
            <w:vAlign w:val="bottom"/>
          </w:tcPr>
          <w:p>
            <w:pPr>
              <w:spacing w:after="0"/>
              <w:rPr>
                <w:sz w:val="1"/>
                <w:szCs w:val="1"/>
                <w:color w:val="auto"/>
              </w:rPr>
            </w:pPr>
          </w:p>
        </w:tc>
      </w:tr>
      <w:tr>
        <w:trPr>
          <w:trHeight w:val="157"/>
        </w:trPr>
        <w:tc>
          <w:tcPr>
            <w:tcW w:w="7680" w:type="dxa"/>
            <w:vAlign w:val="bottom"/>
          </w:tcPr>
          <w:p>
            <w:pPr>
              <w:spacing w:after="0" w:line="157" w:lineRule="exact"/>
              <w:rPr>
                <w:sz w:val="20"/>
                <w:szCs w:val="20"/>
                <w:color w:val="auto"/>
              </w:rPr>
            </w:pPr>
            <w:r>
              <w:rPr>
                <w:rFonts w:ascii="Arial" w:cs="Arial" w:eastAsia="Arial" w:hAnsi="Arial"/>
                <w:sz w:val="13"/>
                <w:szCs w:val="13"/>
                <w:color w:val="auto"/>
              </w:rPr>
              <w:t>Hummingbird Ventures</w:t>
            </w:r>
            <w:r>
              <w:rPr>
                <w:rFonts w:ascii="Arial" w:cs="Arial" w:eastAsia="Arial" w:hAnsi="Arial"/>
                <w:sz w:val="18"/>
                <w:szCs w:val="18"/>
                <w:color w:val="auto"/>
                <w:vertAlign w:val="superscript"/>
              </w:rPr>
              <w:t>(2)</w:t>
            </w:r>
          </w:p>
        </w:tc>
        <w:tc>
          <w:tcPr>
            <w:tcW w:w="1540" w:type="dxa"/>
            <w:vAlign w:val="bottom"/>
          </w:tcPr>
          <w:p>
            <w:pPr>
              <w:jc w:val="right"/>
              <w:ind w:right="392"/>
              <w:spacing w:after="0" w:line="157" w:lineRule="exact"/>
              <w:rPr>
                <w:sz w:val="20"/>
                <w:szCs w:val="20"/>
                <w:color w:val="auto"/>
              </w:rPr>
            </w:pPr>
            <w:r>
              <w:rPr>
                <w:rFonts w:ascii="Arial" w:cs="Arial" w:eastAsia="Arial" w:hAnsi="Arial"/>
                <w:sz w:val="14"/>
                <w:szCs w:val="14"/>
                <w:color w:val="auto"/>
              </w:rPr>
              <w:t>446,103</w:t>
            </w:r>
          </w:p>
        </w:tc>
        <w:tc>
          <w:tcPr>
            <w:tcW w:w="920" w:type="dxa"/>
            <w:vAlign w:val="bottom"/>
          </w:tcPr>
          <w:p>
            <w:pPr>
              <w:ind w:left="46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12,499,984</w:t>
            </w:r>
          </w:p>
        </w:tc>
        <w:tc>
          <w:tcPr>
            <w:tcW w:w="0" w:type="dxa"/>
            <w:vAlign w:val="bottom"/>
          </w:tcPr>
          <w:p>
            <w:pPr>
              <w:spacing w:after="0"/>
              <w:rPr>
                <w:sz w:val="1"/>
                <w:szCs w:val="1"/>
                <w:color w:val="auto"/>
              </w:rPr>
            </w:pPr>
          </w:p>
        </w:tc>
      </w:tr>
      <w:tr>
        <w:trPr>
          <w:trHeight w:val="157"/>
        </w:trPr>
        <w:tc>
          <w:tcPr>
            <w:tcW w:w="768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Libertus Capital I</w:t>
            </w:r>
            <w:r>
              <w:rPr>
                <w:rFonts w:ascii="Arial" w:cs="Arial" w:eastAsia="Arial" w:hAnsi="Arial"/>
                <w:sz w:val="18"/>
                <w:szCs w:val="18"/>
                <w:color w:val="auto"/>
                <w:vertAlign w:val="superscript"/>
              </w:rPr>
              <w:t>(3)</w:t>
            </w:r>
          </w:p>
        </w:tc>
        <w:tc>
          <w:tcPr>
            <w:tcW w:w="1540" w:type="dxa"/>
            <w:vAlign w:val="bottom"/>
            <w:shd w:val="clear" w:color="auto" w:fill="E5E5E5"/>
          </w:tcPr>
          <w:p>
            <w:pPr>
              <w:jc w:val="right"/>
              <w:ind w:right="392"/>
              <w:spacing w:after="0" w:line="157" w:lineRule="exact"/>
              <w:rPr>
                <w:sz w:val="20"/>
                <w:szCs w:val="20"/>
                <w:color w:val="auto"/>
              </w:rPr>
            </w:pPr>
            <w:r>
              <w:rPr>
                <w:rFonts w:ascii="Arial" w:cs="Arial" w:eastAsia="Arial" w:hAnsi="Arial"/>
                <w:sz w:val="14"/>
                <w:szCs w:val="14"/>
                <w:color w:val="auto"/>
              </w:rPr>
              <w:t>249,817</w:t>
            </w:r>
          </w:p>
        </w:tc>
        <w:tc>
          <w:tcPr>
            <w:tcW w:w="9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6,999,972</w:t>
            </w:r>
          </w:p>
        </w:tc>
        <w:tc>
          <w:tcPr>
            <w:tcW w:w="0" w:type="dxa"/>
            <w:vAlign w:val="bottom"/>
          </w:tcPr>
          <w:p>
            <w:pPr>
              <w:spacing w:after="0"/>
              <w:rPr>
                <w:sz w:val="1"/>
                <w:szCs w:val="1"/>
                <w:color w:val="auto"/>
              </w:rPr>
            </w:pPr>
          </w:p>
        </w:tc>
      </w:tr>
      <w:tr>
        <w:trPr>
          <w:trHeight w:val="279"/>
        </w:trPr>
        <w:tc>
          <w:tcPr>
            <w:tcW w:w="7680" w:type="dxa"/>
            <w:vAlign w:val="bottom"/>
          </w:tcPr>
          <w:p>
            <w:pPr>
              <w:spacing w:after="0"/>
              <w:rPr>
                <w:sz w:val="20"/>
                <w:szCs w:val="20"/>
                <w:color w:val="auto"/>
              </w:rPr>
            </w:pPr>
            <w:r>
              <w:rPr>
                <w:rFonts w:ascii="Arial" w:cs="Arial" w:eastAsia="Arial" w:hAnsi="Arial"/>
                <w:sz w:val="14"/>
                <w:szCs w:val="14"/>
                <w:color w:val="auto"/>
              </w:rPr>
              <w:t>Entities and individuals affiliated with Premji Invest</w:t>
            </w:r>
            <w:r>
              <w:rPr>
                <w:rFonts w:ascii="Arial" w:cs="Arial" w:eastAsia="Arial" w:hAnsi="Arial"/>
                <w:sz w:val="20"/>
                <w:szCs w:val="20"/>
                <w:color w:val="auto"/>
                <w:vertAlign w:val="superscript"/>
              </w:rPr>
              <w:t>(4)</w:t>
            </w:r>
          </w:p>
        </w:tc>
        <w:tc>
          <w:tcPr>
            <w:tcW w:w="1540" w:type="dxa"/>
            <w:vAlign w:val="bottom"/>
          </w:tcPr>
          <w:p>
            <w:pPr>
              <w:jc w:val="right"/>
              <w:ind w:right="392"/>
              <w:spacing w:after="0"/>
              <w:rPr>
                <w:sz w:val="20"/>
                <w:szCs w:val="20"/>
                <w:color w:val="auto"/>
              </w:rPr>
            </w:pPr>
            <w:r>
              <w:rPr>
                <w:rFonts w:ascii="Arial" w:cs="Arial" w:eastAsia="Arial" w:hAnsi="Arial"/>
                <w:sz w:val="14"/>
                <w:szCs w:val="14"/>
                <w:color w:val="auto"/>
              </w:rPr>
              <w:t>1,802,255</w:t>
            </w:r>
          </w:p>
        </w:tc>
        <w:tc>
          <w:tcPr>
            <w:tcW w:w="920" w:type="dxa"/>
            <w:vAlign w:val="bottom"/>
          </w:tcPr>
          <w:p>
            <w:pPr>
              <w:ind w:left="4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50,499,906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3613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78" w:lineRule="exact"/>
        <w:rPr>
          <w:sz w:val="20"/>
          <w:szCs w:val="20"/>
          <w:color w:val="auto"/>
        </w:rPr>
      </w:pPr>
    </w:p>
    <w:p>
      <w:pPr>
        <w:ind w:left="320" w:right="40" w:hanging="316"/>
        <w:spacing w:after="0" w:line="263" w:lineRule="auto"/>
        <w:tabs>
          <w:tab w:leader="none" w:pos="32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Entities affiliated with Adams Street Partners that purchased shares of our Series D redeemable convertible preferred stock include: (i) Adams Street 2019 Direct Growth Equity Fund LP, (ii) Adams Street 2020 Direct Growth Equity Fund LP, (iii) Adams Street 2021 Direct Growth Equity Fund LP, (iv) Adams Street 2022 Direct Growth Equity Fund LP, (v) Adams Street Private Equity Navigator Fund LLC (f/k/a Adams Street Global Private Markets Fund LP), (vi) Adams Street Growth Equity Fund VII LP, and (vii) FCPR GF—Lumyna Private Equity World Fund. Thomas Bremner, a member of our Board of Directors, is a partner at Adams Street Partners.</w:t>
      </w:r>
    </w:p>
    <w:p>
      <w:pPr>
        <w:spacing w:after="0" w:line="31" w:lineRule="exact"/>
        <w:rPr>
          <w:rFonts w:ascii="Arial" w:cs="Arial" w:eastAsia="Arial" w:hAnsi="Arial"/>
          <w:sz w:val="10"/>
          <w:szCs w:val="10"/>
          <w:color w:val="auto"/>
        </w:rPr>
      </w:pPr>
    </w:p>
    <w:p>
      <w:pPr>
        <w:ind w:left="320" w:right="120" w:hanging="316"/>
        <w:spacing w:after="0" w:line="286" w:lineRule="auto"/>
        <w:tabs>
          <w:tab w:leader="none" w:pos="32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Entities affiliated with Hummingbird Ventures that purchased shares of Series C redeemable convertible preferred stock include Hummingbird Dragons CommV. Firat Ileri, a member of our Board of Directors, is the managing partner of Hummingbird Ventures.</w:t>
      </w:r>
    </w:p>
    <w:p>
      <w:pPr>
        <w:spacing w:after="0" w:line="19" w:lineRule="exact"/>
        <w:rPr>
          <w:rFonts w:ascii="Arial" w:cs="Arial" w:eastAsia="Arial" w:hAnsi="Arial"/>
          <w:sz w:val="10"/>
          <w:szCs w:val="10"/>
          <w:color w:val="auto"/>
        </w:rPr>
      </w:pPr>
    </w:p>
    <w:p>
      <w:pPr>
        <w:ind w:left="320" w:hanging="316"/>
        <w:spacing w:after="0"/>
        <w:tabs>
          <w:tab w:leader="none" w:pos="32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Entities affiliated with Libertus Capital that purchased shares of our Series C redeemable convertible preferred stock include: (i) Libertus Capital I, and (ii) Libertus Capital II. Libertus holds greater than 5% of our capital stock.</w:t>
      </w:r>
    </w:p>
    <w:p>
      <w:pPr>
        <w:spacing w:after="0" w:line="73" w:lineRule="exact"/>
        <w:rPr>
          <w:rFonts w:ascii="Arial" w:cs="Arial" w:eastAsia="Arial" w:hAnsi="Arial"/>
          <w:sz w:val="10"/>
          <w:szCs w:val="10"/>
          <w:color w:val="auto"/>
        </w:rPr>
      </w:pPr>
    </w:p>
    <w:p>
      <w:pPr>
        <w:ind w:left="320" w:right="440" w:hanging="316"/>
        <w:spacing w:after="0" w:line="263" w:lineRule="auto"/>
        <w:tabs>
          <w:tab w:leader="none" w:pos="32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Entities and individuals affiliated with Premji Invest that purchased shares of our Series D redeemable convertible preferred stock include: (i) Akshay Rai, (ii) Directed Trust Company FBO Eric Tong Roth IRA, (iii) Eric Aisi Tong, (iv) Andrew Chang, (v) Wipro Enterprises Private Limited, (vi) T.K. Kurien, (vii) Sandesh Kaveripatnam, and (viii) Vedant Agrawal. Akshay Rai, a member of our Board of Directors, is Vice President of Healthcare &amp; Biotechnology Investments at Premji Invest.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convertible note financing</w:t>
      </w:r>
    </w:p>
    <w:p>
      <w:pPr>
        <w:spacing w:after="0" w:line="115"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In September 2022, we entered into convertible promissory note agreements whereby we sold and issued convertible promissory notes in an aggregate principal amount of $30.0 million (the 2022 Note Financing). Each convertible promissory note had an interest rate of 8% per annum. The aggregate principal and accrued interest converted into 1,726,823 shares of our Series C-1 redeemable convertible preferred stock at a conversion price of $19.6143 per share upon the closing of our Series D financing in May 2024, and the rights and obligations under the convertible promissory note agreements were terminated and canceled. Each share of Series C-1 redeemable convertible preferred stock will convert automatically into a share of our Class A common stock, on a one-for-one basis, immediately prior to the completion of this offering.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ectPr>
          <w:pgSz w:w="11900" w:h="16838" w:orient="portrait"/>
          <w:cols w:equalWidth="0" w:num="1">
            <w:col w:w="11280"/>
          </w:cols>
          <w:pgMar w:left="300" w:top="385" w:right="3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The following table summarizes purchases of our convertible promissory notes in the 2022 Note Financing by entities affiliated with certain of our directors and holders of more than 5%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5480" w:type="dxa"/>
            <w:vAlign w:val="bottom"/>
            <w:gridSpan w:val="2"/>
          </w:tcPr>
          <w:p>
            <w:pPr>
              <w:ind w:left="2900"/>
              <w:spacing w:after="0"/>
              <w:rPr>
                <w:sz w:val="20"/>
                <w:szCs w:val="20"/>
                <w:color w:val="auto"/>
              </w:rPr>
            </w:pPr>
            <w:r>
              <w:rPr>
                <w:rFonts w:ascii="Arial" w:cs="Arial" w:eastAsia="Arial" w:hAnsi="Arial"/>
                <w:sz w:val="13"/>
                <w:szCs w:val="13"/>
                <w:b w:val="1"/>
                <w:bCs w:val="1"/>
                <w:color w:val="auto"/>
                <w:w w:val="97"/>
              </w:rPr>
              <w:t>Aggregate principal amount of convertible</w:t>
            </w:r>
          </w:p>
        </w:tc>
      </w:tr>
      <w:tr>
        <w:trPr>
          <w:trHeight w:val="157"/>
        </w:trPr>
        <w:tc>
          <w:tcPr>
            <w:tcW w:w="5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Purchaser</w:t>
            </w:r>
          </w:p>
        </w:tc>
        <w:tc>
          <w:tcPr>
            <w:tcW w:w="36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promissory notes</w:t>
            </w:r>
          </w:p>
        </w:tc>
      </w:tr>
      <w:tr>
        <w:trPr>
          <w:trHeight w:val="148"/>
        </w:trPr>
        <w:tc>
          <w:tcPr>
            <w:tcW w:w="5800" w:type="dxa"/>
            <w:vAlign w:val="bottom"/>
            <w:shd w:val="clear" w:color="auto" w:fill="E5E5E5"/>
          </w:tcPr>
          <w:p>
            <w:pPr>
              <w:spacing w:after="0" w:line="148" w:lineRule="exact"/>
              <w:rPr>
                <w:sz w:val="20"/>
                <w:szCs w:val="20"/>
                <w:color w:val="auto"/>
              </w:rPr>
            </w:pPr>
            <w:r>
              <w:rPr>
                <w:rFonts w:ascii="Arial" w:cs="Arial" w:eastAsia="Arial" w:hAnsi="Arial"/>
                <w:sz w:val="12"/>
                <w:szCs w:val="12"/>
                <w:color w:val="auto"/>
              </w:rPr>
              <w:t>Entities affiliated with Adams Street Partners</w:t>
            </w:r>
            <w:r>
              <w:rPr>
                <w:rFonts w:ascii="Arial" w:cs="Arial" w:eastAsia="Arial" w:hAnsi="Arial"/>
                <w:sz w:val="17"/>
                <w:szCs w:val="17"/>
                <w:color w:val="auto"/>
                <w:vertAlign w:val="superscript"/>
              </w:rPr>
              <w:t>(1)</w:t>
            </w:r>
          </w:p>
        </w:tc>
        <w:tc>
          <w:tcPr>
            <w:tcW w:w="3680" w:type="dxa"/>
            <w:vAlign w:val="bottom"/>
            <w:shd w:val="clear" w:color="auto" w:fill="E5E5E5"/>
          </w:tcPr>
          <w:p>
            <w:pPr>
              <w:ind w:left="2900"/>
              <w:spacing w:after="0" w:line="148" w:lineRule="exact"/>
              <w:rPr>
                <w:sz w:val="20"/>
                <w:szCs w:val="20"/>
                <w:color w:val="auto"/>
              </w:rPr>
            </w:pPr>
            <w:r>
              <w:rPr>
                <w:rFonts w:ascii="Arial" w:cs="Arial" w:eastAsia="Arial" w:hAnsi="Arial"/>
                <w:sz w:val="14"/>
                <w:szCs w:val="14"/>
                <w:color w:val="auto"/>
              </w:rPr>
              <w:t>$</w:t>
            </w:r>
          </w:p>
        </w:tc>
        <w:tc>
          <w:tcPr>
            <w:tcW w:w="180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3,000,000</w:t>
            </w:r>
          </w:p>
        </w:tc>
      </w:tr>
      <w:tr>
        <w:trPr>
          <w:trHeight w:val="279"/>
        </w:trPr>
        <w:tc>
          <w:tcPr>
            <w:tcW w:w="5800" w:type="dxa"/>
            <w:vAlign w:val="bottom"/>
          </w:tcPr>
          <w:p>
            <w:pPr>
              <w:spacing w:after="0"/>
              <w:rPr>
                <w:sz w:val="20"/>
                <w:szCs w:val="20"/>
                <w:color w:val="auto"/>
              </w:rPr>
            </w:pPr>
            <w:r>
              <w:rPr>
                <w:rFonts w:ascii="Arial" w:cs="Arial" w:eastAsia="Arial" w:hAnsi="Arial"/>
                <w:sz w:val="14"/>
                <w:szCs w:val="14"/>
                <w:color w:val="auto"/>
              </w:rPr>
              <w:t>Entities affiliated with Libertus Capital</w:t>
            </w:r>
            <w:r>
              <w:rPr>
                <w:rFonts w:ascii="Arial" w:cs="Arial" w:eastAsia="Arial" w:hAnsi="Arial"/>
                <w:sz w:val="20"/>
                <w:szCs w:val="20"/>
                <w:color w:val="auto"/>
                <w:vertAlign w:val="superscript"/>
              </w:rPr>
              <w:t>(2)</w:t>
            </w:r>
          </w:p>
        </w:tc>
        <w:tc>
          <w:tcPr>
            <w:tcW w:w="3680" w:type="dxa"/>
            <w:vAlign w:val="bottom"/>
          </w:tcPr>
          <w:p>
            <w:pPr>
              <w:ind w:left="290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3613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78" w:lineRule="exact"/>
        <w:rPr>
          <w:sz w:val="20"/>
          <w:szCs w:val="20"/>
          <w:color w:val="auto"/>
        </w:rPr>
      </w:pPr>
    </w:p>
    <w:p>
      <w:pPr>
        <w:jc w:val="both"/>
        <w:ind w:left="320" w:right="140" w:hanging="316"/>
        <w:spacing w:after="0" w:line="263" w:lineRule="auto"/>
        <w:tabs>
          <w:tab w:leader="none" w:pos="320" w:val="left"/>
        </w:tabs>
        <w:numPr>
          <w:ilvl w:val="0"/>
          <w:numId w:val="136"/>
        </w:numPr>
        <w:rPr>
          <w:rFonts w:ascii="Arial" w:cs="Arial" w:eastAsia="Arial" w:hAnsi="Arial"/>
          <w:sz w:val="10"/>
          <w:szCs w:val="10"/>
          <w:color w:val="auto"/>
        </w:rPr>
      </w:pPr>
      <w:r>
        <w:rPr>
          <w:rFonts w:ascii="Arial" w:cs="Arial" w:eastAsia="Arial" w:hAnsi="Arial"/>
          <w:sz w:val="10"/>
          <w:szCs w:val="10"/>
          <w:color w:val="auto"/>
        </w:rPr>
        <w:t>Entities affiliated with Adams Street Partners that purchased convertible promissory notes in our 2022 Note Financing include: (i) Adams Street 2019 Direct Growth Equity Fund LP, (ii) Adams Street 2020 Direct Growth Equity Fund LP, (iii) Adams Street 2021 Direct Growth Equity Fund LP, (iv) Adams Street 2022 Direct Growth Equity Fund LP, (v) Adams Street Private Equity Navigator Fund LLC (f/k/a Adams Street Global Private Markets Fund LP), (vi) Adams Street Growth Equity Fund VII LP, and (vii) FCPR GF—Lumyna Private Equity World Fund. Thomas Bremner, a member of our Board of Directors, is a partner at Adams Street Partners.</w:t>
      </w:r>
    </w:p>
    <w:p>
      <w:pPr>
        <w:spacing w:after="0" w:line="31" w:lineRule="exact"/>
        <w:rPr>
          <w:rFonts w:ascii="Arial" w:cs="Arial" w:eastAsia="Arial" w:hAnsi="Arial"/>
          <w:sz w:val="10"/>
          <w:szCs w:val="10"/>
          <w:color w:val="auto"/>
        </w:rPr>
      </w:pPr>
    </w:p>
    <w:p>
      <w:pPr>
        <w:ind w:left="320" w:hanging="316"/>
        <w:spacing w:after="0"/>
        <w:tabs>
          <w:tab w:leader="none" w:pos="320" w:val="left"/>
        </w:tabs>
        <w:numPr>
          <w:ilvl w:val="0"/>
          <w:numId w:val="136"/>
        </w:numPr>
        <w:rPr>
          <w:rFonts w:ascii="Arial" w:cs="Arial" w:eastAsia="Arial" w:hAnsi="Arial"/>
          <w:sz w:val="10"/>
          <w:szCs w:val="10"/>
          <w:color w:val="auto"/>
        </w:rPr>
      </w:pPr>
      <w:r>
        <w:rPr>
          <w:rFonts w:ascii="Arial" w:cs="Arial" w:eastAsia="Arial" w:hAnsi="Arial"/>
          <w:sz w:val="10"/>
          <w:szCs w:val="10"/>
          <w:color w:val="auto"/>
        </w:rPr>
        <w:t>Libertus Capital holds greater than 5% of our capital stock. Entities affiliated with Libertus Capital that purchased convertible promissory notes in our 2022 Note Financing include: (i) Libertus Capital I and (ii) Libertus Capital II.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redeemable convertible preferred stock financing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From March through September 2022, we issued and sold an aggregate of 5,628,825 shares of our Series C redeemable convertible preferred stock at a cash purchase price of</w:t>
      </w:r>
    </w:p>
    <w:p>
      <w:pPr>
        <w:spacing w:after="0" w:line="10"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$25.4937 per share for an aggregate purchase price of approximately $143.5 million. Each share of Series C redeemable convertible preferred stock will convert automatically into a share of our Class A common stock, on a one-for-one basis, immediately prior to the completion of this offering.</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The following table summarizes purchases of our Series C redeemable convertible preferred stock by entities affiliated with certain of our directors and holders of more than 5%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133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3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Series C redeemable convertible preferred</w:t>
            </w:r>
          </w:p>
        </w:tc>
        <w:tc>
          <w:tcPr>
            <w:tcW w:w="0" w:type="dxa"/>
            <w:vAlign w:val="bottom"/>
          </w:tcPr>
          <w:p>
            <w:pPr>
              <w:spacing w:after="0"/>
              <w:rPr>
                <w:sz w:val="1"/>
                <w:szCs w:val="1"/>
                <w:color w:val="auto"/>
              </w:rPr>
            </w:pPr>
          </w:p>
        </w:tc>
      </w:tr>
      <w:tr>
        <w:trPr>
          <w:trHeight w:val="157"/>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Purchaser</w:t>
            </w: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7"/>
        </w:trPr>
        <w:tc>
          <w:tcPr>
            <w:tcW w:w="7760" w:type="dxa"/>
            <w:vAlign w:val="bottom"/>
            <w:tcBorders>
              <w:bottom w:val="single" w:sz="8" w:color="auto"/>
            </w:tcBorders>
            <w:vMerge w:val="continue"/>
          </w:tcPr>
          <w:p>
            <w:pPr>
              <w:spacing w:after="0"/>
              <w:rPr>
                <w:sz w:val="11"/>
                <w:szCs w:val="11"/>
                <w:color w:val="auto"/>
              </w:rPr>
            </w:pPr>
          </w:p>
        </w:tc>
        <w:tc>
          <w:tcPr>
            <w:tcW w:w="1500" w:type="dxa"/>
            <w:vAlign w:val="bottom"/>
            <w:tcBorders>
              <w:top w:val="single" w:sz="8" w:color="auto"/>
              <w:bottom w:val="single" w:sz="8" w:color="auto"/>
            </w:tcBorders>
          </w:tcPr>
          <w:p>
            <w:pPr>
              <w:jc w:val="right"/>
              <w:ind w:right="352"/>
              <w:spacing w:after="0" w:line="138" w:lineRule="exact"/>
              <w:rPr>
                <w:sz w:val="20"/>
                <w:szCs w:val="20"/>
                <w:color w:val="auto"/>
              </w:rPr>
            </w:pPr>
            <w:r>
              <w:rPr>
                <w:rFonts w:ascii="Arial" w:cs="Arial" w:eastAsia="Arial" w:hAnsi="Arial"/>
                <w:sz w:val="13"/>
                <w:szCs w:val="13"/>
                <w:b w:val="1"/>
                <w:bCs w:val="1"/>
                <w:color w:val="auto"/>
                <w:w w:val="95"/>
              </w:rPr>
              <w:t>Number of shares</w:t>
            </w:r>
          </w:p>
        </w:tc>
        <w:tc>
          <w:tcPr>
            <w:tcW w:w="1980" w:type="dxa"/>
            <w:vAlign w:val="bottom"/>
            <w:tcBorders>
              <w:top w:val="single" w:sz="8" w:color="auto"/>
              <w:bottom w:val="single" w:sz="8" w:color="auto"/>
            </w:tcBorders>
            <w:gridSpan w:val="2"/>
          </w:tcPr>
          <w:p>
            <w:pPr>
              <w:ind w:left="420"/>
              <w:spacing w:after="0" w:line="138" w:lineRule="exact"/>
              <w:rPr>
                <w:sz w:val="20"/>
                <w:szCs w:val="20"/>
                <w:color w:val="auto"/>
              </w:rPr>
            </w:pPr>
            <w:r>
              <w:rPr>
                <w:rFonts w:ascii="Arial" w:cs="Arial" w:eastAsia="Arial" w:hAnsi="Arial"/>
                <w:sz w:val="13"/>
                <w:szCs w:val="13"/>
                <w:b w:val="1"/>
                <w:bCs w:val="1"/>
                <w:color w:val="auto"/>
                <w:w w:val="95"/>
              </w:rPr>
              <w:t>Aggregate purchase price</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60" w:type="dxa"/>
            <w:vAlign w:val="bottom"/>
            <w:shd w:val="clear" w:color="auto" w:fill="E5E5E5"/>
          </w:tcPr>
          <w:p>
            <w:pPr>
              <w:spacing w:after="0" w:line="148" w:lineRule="exact"/>
              <w:rPr>
                <w:sz w:val="20"/>
                <w:szCs w:val="20"/>
                <w:color w:val="auto"/>
              </w:rPr>
            </w:pPr>
            <w:r>
              <w:rPr>
                <w:rFonts w:ascii="Arial" w:cs="Arial" w:eastAsia="Arial" w:hAnsi="Arial"/>
                <w:sz w:val="12"/>
                <w:szCs w:val="12"/>
                <w:color w:val="auto"/>
              </w:rPr>
              <w:t>Entities affiliated with Adams Street Partners</w:t>
            </w:r>
            <w:r>
              <w:rPr>
                <w:rFonts w:ascii="Arial" w:cs="Arial" w:eastAsia="Arial" w:hAnsi="Arial"/>
                <w:sz w:val="17"/>
                <w:szCs w:val="17"/>
                <w:color w:val="auto"/>
                <w:vertAlign w:val="superscript"/>
              </w:rPr>
              <w:t>(1)</w:t>
            </w:r>
          </w:p>
        </w:tc>
        <w:tc>
          <w:tcPr>
            <w:tcW w:w="1500" w:type="dxa"/>
            <w:vAlign w:val="bottom"/>
            <w:shd w:val="clear" w:color="auto" w:fill="E5E5E5"/>
          </w:tcPr>
          <w:p>
            <w:pPr>
              <w:jc w:val="right"/>
              <w:ind w:right="352"/>
              <w:spacing w:after="0" w:line="148" w:lineRule="exact"/>
              <w:rPr>
                <w:sz w:val="20"/>
                <w:szCs w:val="20"/>
                <w:color w:val="auto"/>
              </w:rPr>
            </w:pPr>
            <w:r>
              <w:rPr>
                <w:rFonts w:ascii="Arial" w:cs="Arial" w:eastAsia="Arial" w:hAnsi="Arial"/>
                <w:sz w:val="14"/>
                <w:szCs w:val="14"/>
                <w:color w:val="auto"/>
              </w:rPr>
              <w:t>1,176,761</w:t>
            </w:r>
          </w:p>
        </w:tc>
        <w:tc>
          <w:tcPr>
            <w:tcW w:w="800" w:type="dxa"/>
            <w:vAlign w:val="bottom"/>
            <w:shd w:val="clear" w:color="auto" w:fill="E5E5E5"/>
          </w:tcPr>
          <w:p>
            <w:pPr>
              <w:ind w:left="42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5E5"/>
          </w:tcPr>
          <w:p>
            <w:pPr>
              <w:jc w:val="right"/>
              <w:ind w:right="40"/>
              <w:spacing w:after="0" w:line="148" w:lineRule="exact"/>
              <w:rPr>
                <w:sz w:val="20"/>
                <w:szCs w:val="20"/>
                <w:color w:val="auto"/>
              </w:rPr>
            </w:pPr>
            <w:r>
              <w:rPr>
                <w:rFonts w:ascii="Arial" w:cs="Arial" w:eastAsia="Arial" w:hAnsi="Arial"/>
                <w:sz w:val="14"/>
                <w:szCs w:val="14"/>
                <w:color w:val="auto"/>
              </w:rPr>
              <w:t>29,999,991.94</w:t>
            </w:r>
          </w:p>
        </w:tc>
        <w:tc>
          <w:tcPr>
            <w:tcW w:w="0" w:type="dxa"/>
            <w:vAlign w:val="bottom"/>
          </w:tcPr>
          <w:p>
            <w:pPr>
              <w:spacing w:after="0"/>
              <w:rPr>
                <w:sz w:val="1"/>
                <w:szCs w:val="1"/>
                <w:color w:val="auto"/>
              </w:rPr>
            </w:pPr>
          </w:p>
        </w:tc>
      </w:tr>
      <w:tr>
        <w:trPr>
          <w:trHeight w:val="157"/>
        </w:trPr>
        <w:tc>
          <w:tcPr>
            <w:tcW w:w="7760" w:type="dxa"/>
            <w:vAlign w:val="bottom"/>
          </w:tcPr>
          <w:p>
            <w:pPr>
              <w:spacing w:after="0" w:line="157" w:lineRule="exact"/>
              <w:rPr>
                <w:sz w:val="20"/>
                <w:szCs w:val="20"/>
                <w:color w:val="auto"/>
              </w:rPr>
            </w:pPr>
            <w:r>
              <w:rPr>
                <w:rFonts w:ascii="Arial" w:cs="Arial" w:eastAsia="Arial" w:hAnsi="Arial"/>
                <w:sz w:val="13"/>
                <w:szCs w:val="13"/>
                <w:color w:val="auto"/>
              </w:rPr>
              <w:t>Hummingbird Ventures</w:t>
            </w:r>
            <w:r>
              <w:rPr>
                <w:rFonts w:ascii="Arial" w:cs="Arial" w:eastAsia="Arial" w:hAnsi="Arial"/>
                <w:sz w:val="18"/>
                <w:szCs w:val="18"/>
                <w:color w:val="auto"/>
                <w:vertAlign w:val="superscript"/>
              </w:rPr>
              <w:t>(2)</w:t>
            </w:r>
          </w:p>
        </w:tc>
        <w:tc>
          <w:tcPr>
            <w:tcW w:w="1500" w:type="dxa"/>
            <w:vAlign w:val="bottom"/>
          </w:tcPr>
          <w:p>
            <w:pPr>
              <w:jc w:val="right"/>
              <w:ind w:right="352"/>
              <w:spacing w:after="0" w:line="157" w:lineRule="exact"/>
              <w:rPr>
                <w:sz w:val="20"/>
                <w:szCs w:val="20"/>
                <w:color w:val="auto"/>
              </w:rPr>
            </w:pPr>
            <w:r>
              <w:rPr>
                <w:rFonts w:ascii="Arial" w:cs="Arial" w:eastAsia="Arial" w:hAnsi="Arial"/>
                <w:sz w:val="14"/>
                <w:szCs w:val="14"/>
                <w:color w:val="auto"/>
              </w:rPr>
              <w:t>1,706,303</w:t>
            </w:r>
          </w:p>
        </w:tc>
        <w:tc>
          <w:tcPr>
            <w:tcW w:w="800" w:type="dxa"/>
            <w:vAlign w:val="bottom"/>
          </w:tcPr>
          <w:p>
            <w:pPr>
              <w:ind w:left="42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43,499,976.80</w:t>
            </w:r>
          </w:p>
        </w:tc>
        <w:tc>
          <w:tcPr>
            <w:tcW w:w="0" w:type="dxa"/>
            <w:vAlign w:val="bottom"/>
          </w:tcPr>
          <w:p>
            <w:pPr>
              <w:spacing w:after="0"/>
              <w:rPr>
                <w:sz w:val="1"/>
                <w:szCs w:val="1"/>
                <w:color w:val="auto"/>
              </w:rPr>
            </w:pPr>
          </w:p>
        </w:tc>
      </w:tr>
      <w:tr>
        <w:trPr>
          <w:trHeight w:val="157"/>
        </w:trPr>
        <w:tc>
          <w:tcPr>
            <w:tcW w:w="776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Entities affiliated with Libertus Capital</w:t>
            </w:r>
            <w:r>
              <w:rPr>
                <w:rFonts w:ascii="Arial" w:cs="Arial" w:eastAsia="Arial" w:hAnsi="Arial"/>
                <w:sz w:val="18"/>
                <w:szCs w:val="18"/>
                <w:color w:val="auto"/>
                <w:vertAlign w:val="superscript"/>
              </w:rPr>
              <w:t>(3)</w:t>
            </w:r>
          </w:p>
        </w:tc>
        <w:tc>
          <w:tcPr>
            <w:tcW w:w="1500" w:type="dxa"/>
            <w:vAlign w:val="bottom"/>
            <w:shd w:val="clear" w:color="auto" w:fill="E5E5E5"/>
          </w:tcPr>
          <w:p>
            <w:pPr>
              <w:jc w:val="right"/>
              <w:ind w:right="352"/>
              <w:spacing w:after="0" w:line="157" w:lineRule="exact"/>
              <w:rPr>
                <w:sz w:val="20"/>
                <w:szCs w:val="20"/>
                <w:color w:val="auto"/>
              </w:rPr>
            </w:pPr>
            <w:r>
              <w:rPr>
                <w:rFonts w:ascii="Arial" w:cs="Arial" w:eastAsia="Arial" w:hAnsi="Arial"/>
                <w:sz w:val="14"/>
                <w:szCs w:val="14"/>
                <w:color w:val="auto"/>
              </w:rPr>
              <w:t>784,505</w:t>
            </w:r>
          </w:p>
        </w:tc>
        <w:tc>
          <w:tcPr>
            <w:tcW w:w="800" w:type="dxa"/>
            <w:vAlign w:val="bottom"/>
            <w:shd w:val="clear" w:color="auto" w:fill="E5E5E5"/>
          </w:tcPr>
          <w:p>
            <w:pPr>
              <w:ind w:left="42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5E5"/>
          </w:tcPr>
          <w:p>
            <w:pPr>
              <w:jc w:val="right"/>
              <w:ind w:right="40"/>
              <w:spacing w:after="0" w:line="157" w:lineRule="exact"/>
              <w:rPr>
                <w:sz w:val="20"/>
                <w:szCs w:val="20"/>
                <w:color w:val="auto"/>
              </w:rPr>
            </w:pPr>
            <w:r>
              <w:rPr>
                <w:rFonts w:ascii="Arial" w:cs="Arial" w:eastAsia="Arial" w:hAnsi="Arial"/>
                <w:sz w:val="14"/>
                <w:szCs w:val="14"/>
                <w:color w:val="auto"/>
              </w:rPr>
              <w:t>19,999,935.13</w:t>
            </w:r>
          </w:p>
        </w:tc>
        <w:tc>
          <w:tcPr>
            <w:tcW w:w="0" w:type="dxa"/>
            <w:vAlign w:val="bottom"/>
          </w:tcPr>
          <w:p>
            <w:pPr>
              <w:spacing w:after="0"/>
              <w:rPr>
                <w:sz w:val="1"/>
                <w:szCs w:val="1"/>
                <w:color w:val="auto"/>
              </w:rPr>
            </w:pPr>
          </w:p>
        </w:tc>
      </w:tr>
      <w:tr>
        <w:trPr>
          <w:trHeight w:val="279"/>
        </w:trPr>
        <w:tc>
          <w:tcPr>
            <w:tcW w:w="7760" w:type="dxa"/>
            <w:vAlign w:val="bottom"/>
          </w:tcPr>
          <w:p>
            <w:pPr>
              <w:spacing w:after="0"/>
              <w:rPr>
                <w:sz w:val="20"/>
                <w:szCs w:val="20"/>
                <w:color w:val="auto"/>
              </w:rPr>
            </w:pPr>
            <w:r>
              <w:rPr>
                <w:rFonts w:ascii="Arial" w:cs="Arial" w:eastAsia="Arial" w:hAnsi="Arial"/>
                <w:sz w:val="14"/>
                <w:szCs w:val="14"/>
                <w:color w:val="auto"/>
              </w:rPr>
              <w:t>Entities affiliated with Neotribe Ventures</w:t>
            </w:r>
            <w:r>
              <w:rPr>
                <w:rFonts w:ascii="Arial" w:cs="Arial" w:eastAsia="Arial" w:hAnsi="Arial"/>
                <w:sz w:val="20"/>
                <w:szCs w:val="20"/>
                <w:color w:val="auto"/>
                <w:vertAlign w:val="superscript"/>
              </w:rPr>
              <w:t>(4)</w:t>
            </w:r>
          </w:p>
        </w:tc>
        <w:tc>
          <w:tcPr>
            <w:tcW w:w="1500" w:type="dxa"/>
            <w:vAlign w:val="bottom"/>
          </w:tcPr>
          <w:p>
            <w:pPr>
              <w:jc w:val="right"/>
              <w:ind w:right="352"/>
              <w:spacing w:after="0"/>
              <w:rPr>
                <w:sz w:val="20"/>
                <w:szCs w:val="20"/>
                <w:color w:val="auto"/>
              </w:rPr>
            </w:pPr>
            <w:r>
              <w:rPr>
                <w:rFonts w:ascii="Arial" w:cs="Arial" w:eastAsia="Arial" w:hAnsi="Arial"/>
                <w:sz w:val="14"/>
                <w:szCs w:val="14"/>
                <w:color w:val="auto"/>
              </w:rPr>
              <w:t>242,216</w:t>
            </w:r>
          </w:p>
        </w:tc>
        <w:tc>
          <w:tcPr>
            <w:tcW w:w="800" w:type="dxa"/>
            <w:vAlign w:val="bottom"/>
          </w:tcPr>
          <w:p>
            <w:pPr>
              <w:ind w:left="4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6,174,982.04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3613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6130" cy="6350"/>
                    </a:xfrm>
                    <a:prstGeom prst="rect">
                      <a:avLst/>
                    </a:prstGeom>
                    <a:noFill/>
                  </pic:spPr>
                </pic:pic>
              </a:graphicData>
            </a:graphic>
          </wp:anchor>
        </w:drawing>
      </w:r>
    </w:p>
    <w:p>
      <w:pPr>
        <w:spacing w:after="0" w:line="78" w:lineRule="exact"/>
        <w:rPr>
          <w:sz w:val="20"/>
          <w:szCs w:val="20"/>
          <w:color w:val="auto"/>
        </w:rPr>
      </w:pPr>
    </w:p>
    <w:p>
      <w:pPr>
        <w:ind w:left="320" w:right="40" w:hanging="316"/>
        <w:spacing w:after="0" w:line="263" w:lineRule="auto"/>
        <w:tabs>
          <w:tab w:leader="none" w:pos="320" w:val="left"/>
        </w:tabs>
        <w:numPr>
          <w:ilvl w:val="0"/>
          <w:numId w:val="137"/>
        </w:numPr>
        <w:rPr>
          <w:rFonts w:ascii="Arial" w:cs="Arial" w:eastAsia="Arial" w:hAnsi="Arial"/>
          <w:sz w:val="10"/>
          <w:szCs w:val="10"/>
          <w:color w:val="auto"/>
        </w:rPr>
      </w:pPr>
      <w:r>
        <w:rPr>
          <w:rFonts w:ascii="Arial" w:cs="Arial" w:eastAsia="Arial" w:hAnsi="Arial"/>
          <w:sz w:val="10"/>
          <w:szCs w:val="10"/>
          <w:color w:val="auto"/>
        </w:rPr>
        <w:t>Entities affiliated with Adams Street Partners that purchased shares of our Series C redeemable convertible preferred stock include: (i) Adams Street 2019 Direct Growth Equity Fund LP, (ii) Adams Street 2020 Direct Growth Equity Fund LP, (iii) Adams Street 2021 Direct Growth Equity Fund LP, (iv) Adams Street 2022 Direct Growth Equity Fund LP, (v) Adams Street Private Equity Navigator Fund LLC (f/k/a Adams Street Global Private Markets Fund LP), (vi) Adams Street Growth Equity Fund VII LP, and (vii) FCPR GF—Lumyna Private Equity World Fund. Thomas Bremner, a member of our Board of Directors, is a partner at Adams Street Partners.</w:t>
      </w:r>
    </w:p>
    <w:p>
      <w:pPr>
        <w:spacing w:after="0" w:line="31" w:lineRule="exact"/>
        <w:rPr>
          <w:rFonts w:ascii="Arial" w:cs="Arial" w:eastAsia="Arial" w:hAnsi="Arial"/>
          <w:sz w:val="10"/>
          <w:szCs w:val="10"/>
          <w:color w:val="auto"/>
        </w:rPr>
      </w:pPr>
    </w:p>
    <w:p>
      <w:pPr>
        <w:ind w:left="320" w:right="60" w:hanging="316"/>
        <w:spacing w:after="0" w:line="286" w:lineRule="auto"/>
        <w:tabs>
          <w:tab w:leader="none" w:pos="320" w:val="left"/>
        </w:tabs>
        <w:numPr>
          <w:ilvl w:val="0"/>
          <w:numId w:val="137"/>
        </w:numPr>
        <w:rPr>
          <w:rFonts w:ascii="Arial" w:cs="Arial" w:eastAsia="Arial" w:hAnsi="Arial"/>
          <w:sz w:val="10"/>
          <w:szCs w:val="10"/>
          <w:color w:val="auto"/>
        </w:rPr>
      </w:pPr>
      <w:r>
        <w:rPr>
          <w:rFonts w:ascii="Arial" w:cs="Arial" w:eastAsia="Arial" w:hAnsi="Arial"/>
          <w:sz w:val="10"/>
          <w:szCs w:val="10"/>
          <w:color w:val="auto"/>
        </w:rPr>
        <w:t>Entities affiliated with Hummingbird Ventures that purchased shares of Series C redeemable convertible preferred stock include: (i) Hummingbird Dragons CommV, and (ii) Hummingbird Opportunity Fund II CommV. Firat Ileri, a member of our Board of Directors, is the managing partner of Hummingbird Ventures.</w:t>
      </w:r>
    </w:p>
    <w:p>
      <w:pPr>
        <w:spacing w:after="0" w:line="19" w:lineRule="exact"/>
        <w:rPr>
          <w:rFonts w:ascii="Arial" w:cs="Arial" w:eastAsia="Arial" w:hAnsi="Arial"/>
          <w:sz w:val="10"/>
          <w:szCs w:val="10"/>
          <w:color w:val="auto"/>
        </w:rPr>
      </w:pPr>
    </w:p>
    <w:p>
      <w:pPr>
        <w:ind w:left="320" w:hanging="316"/>
        <w:spacing w:after="0"/>
        <w:tabs>
          <w:tab w:leader="none" w:pos="320" w:val="left"/>
        </w:tabs>
        <w:numPr>
          <w:ilvl w:val="0"/>
          <w:numId w:val="137"/>
        </w:numPr>
        <w:rPr>
          <w:rFonts w:ascii="Arial" w:cs="Arial" w:eastAsia="Arial" w:hAnsi="Arial"/>
          <w:sz w:val="10"/>
          <w:szCs w:val="10"/>
          <w:color w:val="auto"/>
        </w:rPr>
      </w:pPr>
      <w:r>
        <w:rPr>
          <w:rFonts w:ascii="Arial" w:cs="Arial" w:eastAsia="Arial" w:hAnsi="Arial"/>
          <w:sz w:val="10"/>
          <w:szCs w:val="10"/>
          <w:color w:val="auto"/>
        </w:rPr>
        <w:t>Entities affiliated with Libertus Capital that purchase shares of Series C redeemable convertible preferred stock include: (i) Libertus Capital I and (ii) Libertus Capital II. Libertus Capital holds greater than 5% of our capital stock.</w:t>
      </w:r>
    </w:p>
    <w:p>
      <w:pPr>
        <w:spacing w:after="0" w:line="73" w:lineRule="exact"/>
        <w:rPr>
          <w:rFonts w:ascii="Arial" w:cs="Arial" w:eastAsia="Arial" w:hAnsi="Arial"/>
          <w:sz w:val="10"/>
          <w:szCs w:val="10"/>
          <w:color w:val="auto"/>
        </w:rPr>
      </w:pPr>
    </w:p>
    <w:p>
      <w:pPr>
        <w:ind w:left="320" w:right="280" w:hanging="316"/>
        <w:spacing w:after="0" w:line="286" w:lineRule="auto"/>
        <w:tabs>
          <w:tab w:leader="none" w:pos="320" w:val="left"/>
        </w:tabs>
        <w:numPr>
          <w:ilvl w:val="0"/>
          <w:numId w:val="137"/>
        </w:numPr>
        <w:rPr>
          <w:rFonts w:ascii="Arial" w:cs="Arial" w:eastAsia="Arial" w:hAnsi="Arial"/>
          <w:sz w:val="10"/>
          <w:szCs w:val="10"/>
          <w:color w:val="auto"/>
        </w:rPr>
      </w:pPr>
      <w:r>
        <w:rPr>
          <w:rFonts w:ascii="Arial" w:cs="Arial" w:eastAsia="Arial" w:hAnsi="Arial"/>
          <w:sz w:val="10"/>
          <w:szCs w:val="10"/>
          <w:color w:val="auto"/>
        </w:rPr>
        <w:t>Entities affiliated with Neotribe Ventures that purchased shares of our Series C redeemable convertible preferred stock include Neotribe SPV I BTO, LLC. Krishna Swaroop Kolluri, a member of our Board of Directors, is a managing director at Neotribe Ventures.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Secondary sales</w:t>
      </w:r>
    </w:p>
    <w:p>
      <w:pPr>
        <w:spacing w:after="0" w:line="105" w:lineRule="exact"/>
        <w:rPr>
          <w:sz w:val="20"/>
          <w:szCs w:val="20"/>
          <w:color w:val="auto"/>
        </w:rPr>
      </w:pPr>
    </w:p>
    <w:p>
      <w:pPr>
        <w:jc w:val="both"/>
        <w:ind w:right="320"/>
        <w:spacing w:after="0" w:line="252" w:lineRule="auto"/>
        <w:rPr>
          <w:sz w:val="20"/>
          <w:szCs w:val="20"/>
          <w:color w:val="auto"/>
        </w:rPr>
      </w:pPr>
      <w:r>
        <w:rPr>
          <w:rFonts w:ascii="Arial" w:cs="Arial" w:eastAsia="Arial" w:hAnsi="Arial"/>
          <w:sz w:val="14"/>
          <w:szCs w:val="14"/>
          <w:color w:val="auto"/>
        </w:rPr>
        <w:t>Pursuant to our 2018 Plan and the ROFR (as defined below), which is described below, certain holders of our capital stock and we or our assignees have a right of first refusal to purchase shares of our capital stock proposed to be sold by certain of our stockholders to other parties. These rights will terminate upon completion of this offering. We waived or allowed to expire our right of first refusal in connection with the following transactions involving directors, officers and holders of more than 5% of our capital stock:</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215</w:t>
      </w:r>
    </w:p>
    <w:p>
      <w:pPr>
        <w:sectPr>
          <w:pgSz w:w="11900" w:h="16838" w:orient="portrait"/>
          <w:cols w:equalWidth="0" w:num="1">
            <w:col w:w="11280"/>
          </w:cols>
          <w:pgMar w:left="300" w:top="385"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In April 2022, Dr. Tsao entered into stock purchase agreements with us and certain affiliates of Libertus Capital, which holds more than 5% of our capital stock. Pursuant to these agreements, Dr. Tsao sold an aggregate of 196,126 shares of common stock for aggregate cash proceeds of $4,999,977.43 at a price per share of $25.4937.</w:t>
      </w:r>
    </w:p>
    <w:p>
      <w:pPr>
        <w:spacing w:after="0" w:line="59"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In April 2022, Dr. Atay entered into stock purchase agreements with us and certain affiliates of Libertus Capital. Pursuant to these agreements, Dr. Atay sold an aggregate of 196,126 shares of our common stock for $4,999,977.41 aggregate cash proceeds at a price of $25.4937 per share.</w:t>
      </w:r>
    </w:p>
    <w:p>
      <w:pPr>
        <w:spacing w:after="0" w:line="69" w:lineRule="exact"/>
        <w:rPr>
          <w:sz w:val="20"/>
          <w:szCs w:val="20"/>
          <w:color w:val="auto"/>
        </w:rPr>
      </w:pPr>
    </w:p>
    <w:p>
      <w:pPr>
        <w:ind w:right="600"/>
        <w:spacing w:after="0" w:line="309" w:lineRule="auto"/>
        <w:rPr>
          <w:sz w:val="20"/>
          <w:szCs w:val="20"/>
          <w:color w:val="auto"/>
        </w:rPr>
      </w:pPr>
      <w:r>
        <w:rPr>
          <w:rFonts w:ascii="Arial" w:cs="Arial" w:eastAsia="Arial" w:hAnsi="Arial"/>
          <w:sz w:val="13"/>
          <w:szCs w:val="13"/>
          <w:color w:val="auto"/>
        </w:rPr>
        <w:t>In November 2022, entities affiliated with Libertus Capital, which holds more than 5% of our capital stock, purchased an aggregate of 87,700 shares of our common stock for $1,788,641.00 aggregate cash proceeds at a price of $20.395 per share, which included 30,000 shares purchased from Shan Riku Sakakibara, our Chief Product Officer.</w:t>
      </w:r>
    </w:p>
    <w:p>
      <w:pPr>
        <w:spacing w:after="0" w:line="45"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In June 2024, entities affiliated with Libertus Capital, which holds more than 5% of our capital stock, purchased an aggregate of 52,750 shares of our common stock for $1,182,655.00 aggregate cash proceeds at a price of $22.42 per share, which included 9,500 shares purchased from John ten Bosch, our Senior Vice President of Laboratory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0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At our request, the underwriters have reserved up to approximately     shares of Class A common stock being offered by this prospectus for sale, at the initial public offering price, to our officers, directors and employees through a directed share program. The directed share program will not limit the ability of our directors, officers or holders of more than 5% of our capital stock, to purchase more than $120,000 in value of our Class A common stock. We do not currently know the extent to which these related persons will participate in our directed share program, if at all, or the extent to which they will purchase more than $120,000 in value of our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w:t>
      </w:r>
    </w:p>
    <w:p>
      <w:pPr>
        <w:spacing w:after="0" w:line="10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We have entered into an Amended and Restated Investors’ Rights Agreement, dated May 14, 2024, by and among the Company and the investors listed on schedule A thereto (the IRA),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 Other than these registration rights, all other terms of the IRA will terminate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have entered into an Amended and Restated Voting Agreement by and between the Company and certain holders of our redeemable convertible preferred stock, dated May 14, 2024 (the Voting Agreement), including entities with which certain of our directors are affiliated. Under the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216</w:t>
      </w:r>
    </w:p>
    <w:p>
      <w:pPr>
        <w:sectPr>
          <w:pgSz w:w="11900" w:h="16838" w:orient="portrait"/>
          <w:cols w:equalWidth="0" w:num="1">
            <w:col w:w="11260"/>
          </w:cols>
          <w:pgMar w:left="300" w:top="386"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 of first refusal and co-sale agreement</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We have entered into an Amended and Restated Right of First Refusal and Co-Sale Agreement by and between the Company and certain holders of our redeemable convertible preferred stock, dated May 14, 2024 (the ROFR), including entities with which certain of our directors are affiliated. Under the ROFR, certain holders of our capital stock have the right of first refusal and co-sale relating to the shares of our common stock held by the parties to the agreement. Upon the completion of this offering, the ROFR will terminate.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0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Our amended and restated Post-IPO Certificate of Incorporation will contain provisions limiting the liability of directors and officers, and our Post-IPO Bylaws will provide that we will indemnify each of our directors and executive officers to the fullest extent permitted under Delaware law. Our Post-IPO Certificate of Incorporation and Post-IPO Bylaws will also provide our Board of Directors with discretion to indemnify our employees and other agents when determined appropriate by the Board of Directors. In addition, we have entered into or intend to enter into an indemnification agreement with each of our directors, which will require us to indemnify them. For more information regarding these agreements, see the section titled “—Limitations on liability and indemnification of directors and officers.”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w:t>
      </w:r>
    </w:p>
    <w:p>
      <w:pPr>
        <w:spacing w:after="0" w:line="105"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To facilitate the Class B Stock Exchange, we will enter into exchange agreements with our Co-Founders, effective as of immediately prior to effectiveness of the filing of our Post-IPO Certificate of Incorporation, pursuant to which 4,552,650 shares of our Class A common stock held by our Co-Founders, or entities will automatically be exchanged for an equivalent number of shares of Class B common stock immediately prior to the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directors and officers</w:t>
      </w:r>
    </w:p>
    <w:p>
      <w:pPr>
        <w:spacing w:after="0" w:line="115"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Our Post-IPO Certificate of Incorporation will contain provisions that limit the liability of our current and former directors for monetary damages to the fullest extent permitted by Delaware law. The Post-IPO Certificate of Incorporation will provide that our directors will not be personally liable to us or our stockholders for monetary damages for any breach of fiduciary duty as a director, except for liability:</w:t>
      </w:r>
    </w:p>
    <w:p>
      <w:pPr>
        <w:spacing w:after="0" w:line="80" w:lineRule="exact"/>
        <w:rPr>
          <w:sz w:val="20"/>
          <w:szCs w:val="20"/>
          <w:color w:val="auto"/>
        </w:rPr>
      </w:pPr>
    </w:p>
    <w:p>
      <w:pPr>
        <w:ind w:left="220" w:hanging="216"/>
        <w:spacing w:after="0"/>
        <w:tabs>
          <w:tab w:leader="none" w:pos="2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any breach of the director’s duty of loyalty to us or our stockholders;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acts or omissions not in good faith or that involve intentional misconduct or a knowing violation of law;</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 respect of unlawful payments of dividends or unlawful stock repurchases or redemptions as provided in Section 174 of the DGCL;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an officer in any action by or in the right of the Company; or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any transaction from which the director derives any improper personal benefit.</w:t>
      </w:r>
    </w:p>
    <w:p>
      <w:pPr>
        <w:spacing w:after="0" w:line="112" w:lineRule="exact"/>
        <w:rPr>
          <w:sz w:val="20"/>
          <w:szCs w:val="20"/>
          <w:color w:val="auto"/>
        </w:rPr>
      </w:pPr>
    </w:p>
    <w:p>
      <w:pPr>
        <w:ind w:right="640"/>
        <w:spacing w:after="0" w:line="269" w:lineRule="auto"/>
        <w:rPr>
          <w:sz w:val="20"/>
          <w:szCs w:val="20"/>
          <w:color w:val="auto"/>
        </w:rPr>
      </w:pPr>
      <w:r>
        <w:rPr>
          <w:rFonts w:ascii="Arial" w:cs="Arial" w:eastAsia="Arial" w:hAnsi="Arial"/>
          <w:sz w:val="14"/>
          <w:szCs w:val="14"/>
          <w:color w:val="auto"/>
        </w:rPr>
        <w:t>Such limitation of liability does not apply to liabilities arising under federal securities laws and does not affect the availability of equitable remedies such as injunctive relief or rescission.</w:t>
      </w:r>
    </w:p>
    <w:p>
      <w:pPr>
        <w:spacing w:after="0" w:line="5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Post-IPO Certificate of Incorporation will provide that if Delaware law is amended to authorize corporate action further eliminating or limiting the personal liability of directors, then the liability of our directors will be eliminated or limited to the fullest extent permitted by Delaware law. Our Post-IPO Certificate of Incorporation and our bylaws will provide that we are required to indemnify our executive officers and directors to the fullest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217</w:t>
      </w:r>
    </w:p>
    <w:p>
      <w:pPr>
        <w:sectPr>
          <w:pgSz w:w="11900" w:h="16838" w:orient="portrait"/>
          <w:cols w:equalWidth="0" w:num="1">
            <w:col w:w="11260"/>
          </w:cols>
          <w:pgMar w:left="300" w:top="385"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right="240"/>
        <w:spacing w:after="0" w:line="252" w:lineRule="auto"/>
        <w:rPr>
          <w:sz w:val="20"/>
          <w:szCs w:val="20"/>
          <w:color w:val="auto"/>
        </w:rPr>
      </w:pPr>
      <w:r>
        <w:rPr>
          <w:rFonts w:ascii="Arial" w:cs="Arial" w:eastAsia="Arial" w:hAnsi="Arial"/>
          <w:sz w:val="14"/>
          <w:szCs w:val="14"/>
          <w:color w:val="auto"/>
        </w:rPr>
        <w:t>extent permitted by Delaware law. Our Post-IPO Bylaws will also provide that, on satisfaction of certain conditions, we will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70"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have entered into, and expect to continue to enter into, indemnification agreements with each of our directors and executive officers and certain other key employees. With certain exceptions, these agreements will provide for indemnification for related expenses including attorneys’ fees, judgments, fines, and settlement amounts incurred by any of these individuals in connection with any action, proceeding, or investigation. We believe that these provisions and indemnification agreements are necessary to attract and retain qualified persons as directors and officers. We also currently carry and intend to continue to carry liability insurance for our directors and officers.</w:t>
      </w:r>
    </w:p>
    <w:p>
      <w:pPr>
        <w:spacing w:after="0" w:line="8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limitation of liability and indemnification provisions in our Post-IPO Certificate of Incorporation and our Post-IPO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87"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10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Our Board of Directors has adopted a formal written policy providing that we are not permitted to enter into any transaction that exceeds $120,000 in any given year and in which any related party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All of the transactions described in this section were entered into prior to the adoption of this policy. Although we have not had a written policy for the review and approval of transactions with related parties, our Board of Directors has historically reviewed and approved any transaction where a director or officer had a financial interest, including the transactions described above. Prior to approving such a transaction, the material facts as to the relationship or interest of the relevant director, officer or holder of five percent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218</w:t>
      </w:r>
    </w:p>
    <w:p>
      <w:pPr>
        <w:sectPr>
          <w:pgSz w:w="11900" w:h="16838" w:orient="portrait"/>
          <w:cols w:equalWidth="0" w:num="1">
            <w:col w:w="11260"/>
          </w:cols>
          <w:pgMar w:left="300" w:top="385"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stockholders</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table sets forth the beneficial ownership of our capital stock as of September 30, 2025, and as adjusted to reflect the sale of Class A common stock offered by us in this offering, for:</w:t>
      </w:r>
    </w:p>
    <w:p>
      <w:pPr>
        <w:spacing w:after="0" w:line="69" w:lineRule="exact"/>
        <w:rPr>
          <w:sz w:val="20"/>
          <w:szCs w:val="20"/>
          <w:color w:val="auto"/>
        </w:rPr>
      </w:pPr>
    </w:p>
    <w:p>
      <w:pPr>
        <w:ind w:left="220" w:hanging="216"/>
        <w:spacing w:after="0"/>
        <w:tabs>
          <w:tab w:leader="none" w:pos="2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each person, or group of affiliated persons, who is known by us to beneficially own more than 5% of our common stock;</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all of our current executive officers and directors as a group.</w:t>
      </w:r>
    </w:p>
    <w:p>
      <w:pPr>
        <w:spacing w:after="0" w:line="11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have determined beneficial ownership in accordance with the rules of the SEC. These rules generally attribute beneficial ownership of securities to persons who possess sole or shared voting or investment power with respect to those securities. The information contained in the following table is not necessarily indicative of beneficial ownership for any other purpose, and the inclusion of any shares in the table does not constitute an admission of beneficial ownership of those shares. Unless otherwise indicated by the footnotes below, we believe, based on the information furnished to us, that the persons or entities identified in this table have sole voting and investment power with respect to all shares shown as beneficially owned by them, subject to applicable community property laws.</w:t>
      </w:r>
    </w:p>
    <w:p>
      <w:pPr>
        <w:spacing w:after="0" w:line="87" w:lineRule="exact"/>
        <w:rPr>
          <w:sz w:val="20"/>
          <w:szCs w:val="20"/>
          <w:color w:val="auto"/>
        </w:rPr>
      </w:pPr>
    </w:p>
    <w:p>
      <w:pPr>
        <w:ind w:right="60"/>
        <w:spacing w:after="0"/>
        <w:rPr>
          <w:sz w:val="20"/>
          <w:szCs w:val="20"/>
          <w:color w:val="auto"/>
        </w:rPr>
      </w:pPr>
      <w:r>
        <w:rPr>
          <w:rFonts w:ascii="Arial" w:cs="Arial" w:eastAsia="Arial" w:hAnsi="Arial"/>
          <w:sz w:val="14"/>
          <w:szCs w:val="14"/>
          <w:color w:val="auto"/>
        </w:rPr>
        <w:t>The percentage ownership information shown in the table prior to this offering is based upon 35,680,833 shares of Class A common stock and 4,552,650 shares of Class B common stock outstanding as of September 30, 2025, assuming (i) the Preferred Stock Conversion, (ii) the Reclassification, and (iii) the Class B Stock Exchange. The percentage ownership information shown in the table after this offering is based upon         shares of Class A common stock and 4,552,650 shares of Class B common stock outstanding immediately after the closing of the offering, assuming no exercise of the underwriters’ option to purchase additional shares of Class A common stock. We have deemed shares of our Class A common stock subject to stock options that are currently exercisable or exercisable within 60 days of September 30,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table below excludes any potential purchases in this offering by the beneficial owners identified in the table below, including in the directed share program.</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Except as otherwise noted below, the address for persons listed in the table is c/o BillionToOne, Inc., 1035 O’Brien Drive, Menlo Park, CA 94025.</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219</w:t>
      </w:r>
    </w:p>
    <w:p>
      <w:pPr>
        <w:sectPr>
          <w:pgSz w:w="11900" w:h="16838" w:orient="portrait"/>
          <w:cols w:equalWidth="0" w:num="1">
            <w:col w:w="11200"/>
          </w:cols>
          <w:pgMar w:left="300" w:top="385" w:right="3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7162800" cy="133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 total</w:t>
            </w:r>
          </w:p>
        </w:tc>
        <w:tc>
          <w:tcPr>
            <w:tcW w:w="12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Class A</w:t>
            </w:r>
          </w:p>
        </w:tc>
        <w:tc>
          <w:tcPr>
            <w:tcW w:w="12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Class B</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 total</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Class A</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voting</w:t>
            </w:r>
          </w:p>
        </w:tc>
        <w:tc>
          <w:tcPr>
            <w:tcW w:w="560" w:type="dxa"/>
            <w:vAlign w:val="bottom"/>
          </w:tcPr>
          <w:p>
            <w:pPr>
              <w:spacing w:after="0"/>
              <w:rPr>
                <w:sz w:val="12"/>
                <w:szCs w:val="12"/>
                <w:color w:val="auto"/>
              </w:rPr>
            </w:pPr>
          </w:p>
        </w:tc>
        <w:tc>
          <w:tcPr>
            <w:tcW w:w="6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w w:val="95"/>
              </w:rPr>
              <w:t>shares</w:t>
            </w:r>
          </w:p>
        </w:tc>
        <w:tc>
          <w:tcPr>
            <w:tcW w:w="122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shares</w:t>
            </w: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voting</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power</w:t>
            </w:r>
          </w:p>
        </w:tc>
        <w:tc>
          <w:tcPr>
            <w:tcW w:w="124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beneficially</w:t>
            </w:r>
          </w:p>
        </w:tc>
        <w:tc>
          <w:tcPr>
            <w:tcW w:w="122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beneficially</w:t>
            </w: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power</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76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beneficially</w:t>
            </w:r>
          </w:p>
        </w:tc>
        <w:tc>
          <w:tcPr>
            <w:tcW w:w="1800" w:type="dxa"/>
            <w:vAlign w:val="bottom"/>
            <w:gridSpan w:val="3"/>
          </w:tcPr>
          <w:p>
            <w:pPr>
              <w:jc w:val="right"/>
              <w:ind w:right="280"/>
              <w:spacing w:after="0" w:line="147" w:lineRule="exact"/>
              <w:rPr>
                <w:sz w:val="20"/>
                <w:szCs w:val="20"/>
                <w:color w:val="auto"/>
              </w:rPr>
            </w:pPr>
            <w:r>
              <w:rPr>
                <w:rFonts w:ascii="Arial" w:cs="Arial" w:eastAsia="Arial" w:hAnsi="Arial"/>
                <w:sz w:val="13"/>
                <w:szCs w:val="13"/>
                <w:b w:val="1"/>
                <w:bCs w:val="1"/>
                <w:color w:val="auto"/>
              </w:rPr>
              <w:t>Class B shares</w:t>
            </w:r>
          </w:p>
        </w:tc>
        <w:tc>
          <w:tcPr>
            <w:tcW w:w="7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before</w:t>
            </w:r>
          </w:p>
        </w:tc>
        <w:tc>
          <w:tcPr>
            <w:tcW w:w="560" w:type="dxa"/>
            <w:vAlign w:val="bottom"/>
          </w:tcPr>
          <w:p>
            <w:pPr>
              <w:spacing w:after="0"/>
              <w:rPr>
                <w:sz w:val="12"/>
                <w:szCs w:val="12"/>
                <w:color w:val="auto"/>
              </w:rPr>
            </w:pPr>
          </w:p>
        </w:tc>
        <w:tc>
          <w:tcPr>
            <w:tcW w:w="6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w w:val="97"/>
              </w:rPr>
              <w:t>owned</w:t>
            </w:r>
          </w:p>
        </w:tc>
        <w:tc>
          <w:tcPr>
            <w:tcW w:w="122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owned after</w:t>
            </w: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760" w:type="dxa"/>
            <w:vAlign w:val="bottom"/>
            <w:gridSpan w:val="3"/>
          </w:tcPr>
          <w:p>
            <w:pPr>
              <w:jc w:val="right"/>
              <w:ind w:right="260"/>
              <w:spacing w:after="0" w:line="147" w:lineRule="exact"/>
              <w:rPr>
                <w:sz w:val="20"/>
                <w:szCs w:val="20"/>
                <w:color w:val="auto"/>
              </w:rPr>
            </w:pPr>
            <w:r>
              <w:rPr>
                <w:rFonts w:ascii="Arial" w:cs="Arial" w:eastAsia="Arial" w:hAnsi="Arial"/>
                <w:sz w:val="13"/>
                <w:szCs w:val="13"/>
                <w:b w:val="1"/>
                <w:bCs w:val="1"/>
                <w:color w:val="auto"/>
              </w:rPr>
              <w:t>owned before</w:t>
            </w:r>
          </w:p>
        </w:tc>
        <w:tc>
          <w:tcPr>
            <w:tcW w:w="1800" w:type="dxa"/>
            <w:vAlign w:val="bottom"/>
            <w:gridSpan w:val="3"/>
          </w:tcPr>
          <w:p>
            <w:pPr>
              <w:jc w:val="right"/>
              <w:ind w:right="280"/>
              <w:spacing w:after="0" w:line="147" w:lineRule="exact"/>
              <w:rPr>
                <w:sz w:val="20"/>
                <w:szCs w:val="20"/>
                <w:color w:val="auto"/>
              </w:rPr>
            </w:pPr>
            <w:r>
              <w:rPr>
                <w:rFonts w:ascii="Arial" w:cs="Arial" w:eastAsia="Arial" w:hAnsi="Arial"/>
                <w:sz w:val="13"/>
                <w:szCs w:val="13"/>
                <w:b w:val="1"/>
                <w:bCs w:val="1"/>
                <w:color w:val="auto"/>
              </w:rPr>
              <w:t>beneficially owned</w:t>
            </w:r>
          </w:p>
        </w:tc>
        <w:tc>
          <w:tcPr>
            <w:tcW w:w="7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this</w:t>
            </w:r>
          </w:p>
        </w:tc>
        <w:tc>
          <w:tcPr>
            <w:tcW w:w="560" w:type="dxa"/>
            <w:vAlign w:val="bottom"/>
          </w:tcPr>
          <w:p>
            <w:pPr>
              <w:spacing w:after="0"/>
              <w:rPr>
                <w:sz w:val="12"/>
                <w:szCs w:val="12"/>
                <w:color w:val="auto"/>
              </w:rPr>
            </w:pPr>
          </w:p>
        </w:tc>
        <w:tc>
          <w:tcPr>
            <w:tcW w:w="68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after</w:t>
            </w:r>
          </w:p>
        </w:tc>
        <w:tc>
          <w:tcPr>
            <w:tcW w:w="660" w:type="dxa"/>
            <w:vAlign w:val="bottom"/>
          </w:tcPr>
          <w:p>
            <w:pPr>
              <w:spacing w:after="0"/>
              <w:rPr>
                <w:sz w:val="12"/>
                <w:szCs w:val="12"/>
                <w:color w:val="auto"/>
              </w:rPr>
            </w:pPr>
          </w:p>
        </w:tc>
        <w:tc>
          <w:tcPr>
            <w:tcW w:w="560" w:type="dxa"/>
            <w:vAlign w:val="bottom"/>
            <w:gridSpan w:val="2"/>
          </w:tcPr>
          <w:p>
            <w:pPr>
              <w:jc w:val="right"/>
              <w:ind w:right="260"/>
              <w:spacing w:after="0" w:line="147" w:lineRule="exact"/>
              <w:rPr>
                <w:sz w:val="20"/>
                <w:szCs w:val="20"/>
                <w:color w:val="auto"/>
              </w:rPr>
            </w:pPr>
            <w:r>
              <w:rPr>
                <w:rFonts w:ascii="Arial" w:cs="Arial" w:eastAsia="Arial" w:hAnsi="Arial"/>
                <w:sz w:val="13"/>
                <w:szCs w:val="13"/>
                <w:b w:val="1"/>
                <w:bCs w:val="1"/>
                <w:color w:val="auto"/>
              </w:rPr>
              <w:t>this</w:t>
            </w: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this</w:t>
            </w:r>
          </w:p>
        </w:tc>
        <w:tc>
          <w:tcPr>
            <w:tcW w:w="0" w:type="dxa"/>
            <w:vAlign w:val="bottom"/>
          </w:tcPr>
          <w:p>
            <w:pPr>
              <w:spacing w:after="0"/>
              <w:rPr>
                <w:sz w:val="1"/>
                <w:szCs w:val="1"/>
                <w:color w:val="auto"/>
              </w:rPr>
            </w:pPr>
          </w:p>
        </w:tc>
      </w:tr>
      <w:tr>
        <w:trPr>
          <w:trHeight w:val="157"/>
        </w:trPr>
        <w:tc>
          <w:tcPr>
            <w:tcW w:w="3840" w:type="dxa"/>
            <w:vAlign w:val="bottom"/>
            <w:vMerge w:val="restart"/>
          </w:tcPr>
          <w:p>
            <w:pPr>
              <w:spacing w:after="0"/>
              <w:rPr>
                <w:sz w:val="20"/>
                <w:szCs w:val="20"/>
                <w:color w:val="auto"/>
              </w:rPr>
            </w:pPr>
            <w:r>
              <w:rPr>
                <w:rFonts w:ascii="Arial" w:cs="Arial" w:eastAsia="Arial" w:hAnsi="Arial"/>
                <w:sz w:val="13"/>
                <w:szCs w:val="13"/>
                <w:b w:val="1"/>
                <w:bCs w:val="1"/>
                <w:color w:val="auto"/>
              </w:rPr>
              <w:t>Name of beneficial</w:t>
            </w:r>
          </w:p>
        </w:tc>
        <w:tc>
          <w:tcPr>
            <w:tcW w:w="1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this offering</w:t>
            </w:r>
          </w:p>
        </w:tc>
        <w:tc>
          <w:tcPr>
            <w:tcW w:w="18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before this offering</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offering</w:t>
            </w:r>
          </w:p>
        </w:tc>
        <w:tc>
          <w:tcPr>
            <w:tcW w:w="12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this offering</w:t>
            </w:r>
          </w:p>
        </w:tc>
        <w:tc>
          <w:tcPr>
            <w:tcW w:w="12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offering</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offering</w:t>
            </w:r>
          </w:p>
        </w:tc>
        <w:tc>
          <w:tcPr>
            <w:tcW w:w="0" w:type="dxa"/>
            <w:vAlign w:val="bottom"/>
          </w:tcPr>
          <w:p>
            <w:pPr>
              <w:spacing w:after="0"/>
              <w:rPr>
                <w:sz w:val="1"/>
                <w:szCs w:val="1"/>
                <w:color w:val="auto"/>
              </w:rPr>
            </w:pPr>
          </w:p>
        </w:tc>
      </w:tr>
      <w:tr>
        <w:trPr>
          <w:trHeight w:val="116"/>
        </w:trPr>
        <w:tc>
          <w:tcPr>
            <w:tcW w:w="3840" w:type="dxa"/>
            <w:vAlign w:val="bottom"/>
            <w:vMerge w:val="continue"/>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owner</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Number</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Number</w:t>
            </w: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3"/>
              </w:rPr>
              <w:t>Number</w:t>
            </w: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2"/>
        </w:trPr>
        <w:tc>
          <w:tcPr>
            <w:tcW w:w="3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4"/>
                <w:szCs w:val="14"/>
                <w:b w:val="1"/>
                <w:bCs w:val="1"/>
                <w:color w:val="auto"/>
              </w:rPr>
              <w:t>Named executive officers and directors:</w:t>
            </w:r>
          </w:p>
        </w:tc>
        <w:tc>
          <w:tcPr>
            <w:tcW w:w="9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Oguzhan Atay</w:t>
            </w:r>
            <w:r>
              <w:rPr>
                <w:rFonts w:ascii="Arial" w:cs="Arial" w:eastAsia="Arial" w:hAnsi="Arial"/>
                <w:sz w:val="18"/>
                <w:szCs w:val="18"/>
                <w:color w:val="auto"/>
                <w:vertAlign w:val="superscript"/>
              </w:rPr>
              <w:t>(1)</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909,659</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2.5%</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2,227,542</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48.9%</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32.3%</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David Tsao</w:t>
            </w:r>
            <w:r>
              <w:rPr>
                <w:rFonts w:ascii="Arial" w:cs="Arial" w:eastAsia="Arial" w:hAnsi="Arial"/>
                <w:sz w:val="18"/>
                <w:szCs w:val="18"/>
                <w:color w:val="auto"/>
                <w:vertAlign w:val="superscript"/>
              </w:rPr>
              <w:t>(2)</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674,829</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1.9</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2,325,108</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51.1</w:t>
            </w:r>
          </w:p>
        </w:tc>
        <w:tc>
          <w:tcPr>
            <w:tcW w:w="52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33.5</w:t>
            </w:r>
          </w:p>
        </w:tc>
        <w:tc>
          <w:tcPr>
            <w:tcW w:w="2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Nancy Johnson</w:t>
            </w:r>
            <w:r>
              <w:rPr>
                <w:rFonts w:ascii="Arial" w:cs="Arial" w:eastAsia="Arial" w:hAnsi="Arial"/>
                <w:sz w:val="18"/>
                <w:szCs w:val="18"/>
                <w:color w:val="auto"/>
                <w:vertAlign w:val="superscript"/>
              </w:rPr>
              <w:t>(3)</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230,249</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Ross Taylor</w:t>
            </w:r>
            <w:r>
              <w:rPr>
                <w:rFonts w:ascii="Arial" w:cs="Arial" w:eastAsia="Arial" w:hAnsi="Arial"/>
                <w:sz w:val="18"/>
                <w:szCs w:val="18"/>
                <w:color w:val="auto"/>
                <w:vertAlign w:val="superscript"/>
              </w:rPr>
              <w:t>(4)</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80,208</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Thomas Bremner</w:t>
            </w:r>
            <w:r>
              <w:rPr>
                <w:rFonts w:ascii="Arial" w:cs="Arial" w:eastAsia="Arial" w:hAnsi="Arial"/>
                <w:sz w:val="18"/>
                <w:szCs w:val="18"/>
                <w:color w:val="auto"/>
                <w:vertAlign w:val="superscript"/>
              </w:rPr>
              <w:t>(5)</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1,897,272</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5.3</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2.3</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Firat Ileri</w:t>
            </w:r>
            <w:r>
              <w:rPr>
                <w:rFonts w:ascii="Arial" w:cs="Arial" w:eastAsia="Arial" w:hAnsi="Arial"/>
                <w:sz w:val="18"/>
                <w:szCs w:val="18"/>
                <w:color w:val="auto"/>
                <w:vertAlign w:val="superscript"/>
              </w:rPr>
              <w:t>(6)</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7,916,218</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22.2</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9.7</w:t>
            </w: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Krishna Swaroop Kolluri</w:t>
            </w:r>
            <w:r>
              <w:rPr>
                <w:rFonts w:ascii="Arial" w:cs="Arial" w:eastAsia="Arial" w:hAnsi="Arial"/>
                <w:sz w:val="18"/>
                <w:szCs w:val="18"/>
                <w:color w:val="auto"/>
                <w:vertAlign w:val="superscript"/>
              </w:rPr>
              <w:t>(7)</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4,359,505</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12.2</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5.4</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Akshay Rai</w:t>
            </w:r>
            <w:r>
              <w:rPr>
                <w:rFonts w:ascii="Arial" w:cs="Arial" w:eastAsia="Arial" w:hAnsi="Arial"/>
                <w:sz w:val="18"/>
                <w:szCs w:val="18"/>
                <w:color w:val="auto"/>
                <w:vertAlign w:val="superscript"/>
              </w:rPr>
              <w:t>(8)</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1,787,090</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5.0</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2.2</w:t>
            </w: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Pr>
          <w:p>
            <w:pPr>
              <w:spacing w:after="0" w:line="143" w:lineRule="exact"/>
              <w:rPr>
                <w:sz w:val="20"/>
                <w:szCs w:val="20"/>
                <w:color w:val="auto"/>
              </w:rPr>
            </w:pPr>
            <w:r>
              <w:rPr>
                <w:rFonts w:ascii="Arial" w:cs="Arial" w:eastAsia="Arial" w:hAnsi="Arial"/>
                <w:sz w:val="14"/>
                <w:szCs w:val="14"/>
                <w:color w:val="auto"/>
              </w:rPr>
              <w:t>All current executive officers and directors as a group</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140"/>
              <w:spacing w:after="0" w:line="173" w:lineRule="exact"/>
              <w:rPr>
                <w:sz w:val="20"/>
                <w:szCs w:val="20"/>
                <w:color w:val="auto"/>
              </w:rPr>
            </w:pPr>
            <w:r>
              <w:rPr>
                <w:rFonts w:ascii="Arial" w:cs="Arial" w:eastAsia="Arial" w:hAnsi="Arial"/>
                <w:sz w:val="13"/>
                <w:szCs w:val="13"/>
                <w:color w:val="auto"/>
              </w:rPr>
              <w:t>(12 persons)</w:t>
            </w:r>
            <w:r>
              <w:rPr>
                <w:rFonts w:ascii="Arial" w:cs="Arial" w:eastAsia="Arial" w:hAnsi="Arial"/>
                <w:sz w:val="19"/>
                <w:szCs w:val="19"/>
                <w:color w:val="auto"/>
                <w:vertAlign w:val="superscript"/>
              </w:rPr>
              <w:t>(9)</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16,444,585</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48.8</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4,552,650</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100</w:t>
            </w:r>
          </w:p>
        </w:tc>
        <w:tc>
          <w:tcPr>
            <w:tcW w:w="520" w:type="dxa"/>
            <w:vAlign w:val="bottom"/>
          </w:tcPr>
          <w:p>
            <w:pPr>
              <w:jc w:val="right"/>
              <w:spacing w:after="0"/>
              <w:rPr>
                <w:sz w:val="20"/>
                <w:szCs w:val="20"/>
                <w:color w:val="auto"/>
              </w:rPr>
            </w:pPr>
            <w:r>
              <w:rPr>
                <w:rFonts w:ascii="Arial" w:cs="Arial" w:eastAsia="Arial" w:hAnsi="Arial"/>
                <w:sz w:val="14"/>
                <w:szCs w:val="14"/>
                <w:color w:val="auto"/>
              </w:rPr>
              <w:t>81.5</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4"/>
                <w:szCs w:val="14"/>
                <w:b w:val="1"/>
                <w:bCs w:val="1"/>
                <w:color w:val="auto"/>
              </w:rPr>
              <w:t>5% Stockholders:</w:t>
            </w:r>
          </w:p>
        </w:tc>
        <w:tc>
          <w:tcPr>
            <w:tcW w:w="9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Entities affiliated with Hummingbird Ventures</w:t>
            </w:r>
            <w:r>
              <w:rPr>
                <w:rFonts w:ascii="Arial" w:cs="Arial" w:eastAsia="Arial" w:hAnsi="Arial"/>
                <w:sz w:val="18"/>
                <w:szCs w:val="18"/>
                <w:color w:val="auto"/>
                <w:vertAlign w:val="superscript"/>
              </w:rPr>
              <w:t>(10)</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7,887,237</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22.1</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9.7</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Entities affiliated with Libertus Capital</w:t>
            </w:r>
            <w:r>
              <w:rPr>
                <w:rFonts w:ascii="Arial" w:cs="Arial" w:eastAsia="Arial" w:hAnsi="Arial"/>
                <w:sz w:val="18"/>
                <w:szCs w:val="18"/>
                <w:color w:val="auto"/>
                <w:vertAlign w:val="superscript"/>
              </w:rPr>
              <w:t>(11)</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3,561,609</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10.0</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4.4</w:t>
            </w: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3"/>
                <w:szCs w:val="13"/>
                <w:color w:val="auto"/>
              </w:rPr>
              <w:t>Pamir Gelenbe</w:t>
            </w:r>
            <w:r>
              <w:rPr>
                <w:rFonts w:ascii="Arial" w:cs="Arial" w:eastAsia="Arial" w:hAnsi="Arial"/>
                <w:sz w:val="18"/>
                <w:szCs w:val="18"/>
                <w:color w:val="auto"/>
                <w:vertAlign w:val="superscript"/>
              </w:rPr>
              <w:t>(12)</w:t>
            </w:r>
          </w:p>
        </w:tc>
        <w:tc>
          <w:tcPr>
            <w:tcW w:w="9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3,708,102</w:t>
            </w:r>
          </w:p>
        </w:tc>
        <w:tc>
          <w:tcPr>
            <w:tcW w:w="8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10.4</w:t>
            </w:r>
          </w:p>
        </w:tc>
        <w:tc>
          <w:tcPr>
            <w:tcW w:w="9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4.6</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5E5E5"/>
          </w:tcPr>
          <w:p>
            <w:pPr>
              <w:spacing w:after="0" w:line="157" w:lineRule="exact"/>
              <w:rPr>
                <w:sz w:val="20"/>
                <w:szCs w:val="20"/>
                <w:color w:val="auto"/>
              </w:rPr>
            </w:pPr>
            <w:r>
              <w:rPr>
                <w:rFonts w:ascii="Arial" w:cs="Arial" w:eastAsia="Arial" w:hAnsi="Arial"/>
                <w:sz w:val="13"/>
                <w:szCs w:val="13"/>
                <w:color w:val="auto"/>
              </w:rPr>
              <w:t>Entities affiliated with Neotribe Ventures</w:t>
            </w:r>
            <w:r>
              <w:rPr>
                <w:rFonts w:ascii="Arial" w:cs="Arial" w:eastAsia="Arial" w:hAnsi="Arial"/>
                <w:sz w:val="18"/>
                <w:szCs w:val="18"/>
                <w:color w:val="auto"/>
                <w:vertAlign w:val="superscript"/>
              </w:rPr>
              <w:t>(13)</w:t>
            </w:r>
          </w:p>
        </w:tc>
        <w:tc>
          <w:tcPr>
            <w:tcW w:w="940" w:type="dxa"/>
            <w:vAlign w:val="bottom"/>
            <w:shd w:val="clear" w:color="auto" w:fill="E5E5E5"/>
          </w:tcPr>
          <w:p>
            <w:pPr>
              <w:jc w:val="right"/>
              <w:ind w:right="32"/>
              <w:spacing w:after="0" w:line="157" w:lineRule="exact"/>
              <w:rPr>
                <w:sz w:val="20"/>
                <w:szCs w:val="20"/>
                <w:color w:val="auto"/>
              </w:rPr>
            </w:pPr>
            <w:r>
              <w:rPr>
                <w:rFonts w:ascii="Arial" w:cs="Arial" w:eastAsia="Arial" w:hAnsi="Arial"/>
                <w:sz w:val="14"/>
                <w:szCs w:val="14"/>
                <w:color w:val="auto"/>
              </w:rPr>
              <w:t>4,359,505</w:t>
            </w:r>
          </w:p>
        </w:tc>
        <w:tc>
          <w:tcPr>
            <w:tcW w:w="82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12.2</w:t>
            </w:r>
          </w:p>
        </w:tc>
        <w:tc>
          <w:tcPr>
            <w:tcW w:w="960" w:type="dxa"/>
            <w:vAlign w:val="bottom"/>
            <w:shd w:val="clear" w:color="auto" w:fill="E5E5E5"/>
          </w:tcPr>
          <w:p>
            <w:pPr>
              <w:jc w:val="right"/>
              <w:ind w:right="112"/>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260"/>
              <w:spacing w:after="0" w:line="157" w:lineRule="exact"/>
              <w:rPr>
                <w:sz w:val="20"/>
                <w:szCs w:val="20"/>
                <w:color w:val="auto"/>
              </w:rPr>
            </w:pPr>
            <w:r>
              <w:rPr>
                <w:rFonts w:ascii="Arial" w:cs="Arial" w:eastAsia="Arial" w:hAnsi="Arial"/>
                <w:sz w:val="14"/>
                <w:szCs w:val="14"/>
                <w:color w:val="auto"/>
              </w:rPr>
              <w:t>5.4</w:t>
            </w:r>
          </w:p>
        </w:tc>
        <w:tc>
          <w:tcPr>
            <w:tcW w:w="56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2978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29780" cy="6350"/>
                    </a:xfrm>
                    <a:prstGeom prst="rect">
                      <a:avLst/>
                    </a:prstGeom>
                    <a:noFill/>
                  </pic:spPr>
                </pic:pic>
              </a:graphicData>
            </a:graphic>
          </wp:anchor>
        </w:drawing>
      </w:r>
    </w:p>
    <w:p>
      <w:pPr>
        <w:spacing w:after="0" w:line="200" w:lineRule="exact"/>
        <w:rPr>
          <w:sz w:val="20"/>
          <w:szCs w:val="20"/>
          <w:color w:val="auto"/>
        </w:rPr>
      </w:pPr>
    </w:p>
    <w:p>
      <w:pPr>
        <w:ind w:left="320" w:hanging="316"/>
        <w:spacing w:after="0"/>
        <w:tabs>
          <w:tab w:leader="none" w:pos="320" w:val="left"/>
        </w:tabs>
        <w:numPr>
          <w:ilvl w:val="0"/>
          <w:numId w:val="140"/>
        </w:numPr>
        <w:rPr>
          <w:rFonts w:ascii="Arial" w:cs="Arial" w:eastAsia="Arial" w:hAnsi="Arial"/>
          <w:sz w:val="10"/>
          <w:szCs w:val="10"/>
          <w:color w:val="auto"/>
        </w:rPr>
      </w:pPr>
      <w:r>
        <w:rPr>
          <w:rFonts w:ascii="Arial" w:cs="Arial" w:eastAsia="Arial" w:hAnsi="Arial"/>
          <w:sz w:val="10"/>
          <w:szCs w:val="10"/>
          <w:color w:val="auto"/>
        </w:rPr>
        <w:t>Represents beneficial ownership of less than 1%</w:t>
      </w:r>
    </w:p>
    <w:p>
      <w:pPr>
        <w:spacing w:after="0" w:line="74" w:lineRule="exact"/>
        <w:rPr>
          <w:sz w:val="20"/>
          <w:szCs w:val="20"/>
          <w:color w:val="auto"/>
        </w:rPr>
      </w:pPr>
    </w:p>
    <w:p>
      <w:pPr>
        <w:ind w:left="320" w:right="240" w:hanging="316"/>
        <w:spacing w:after="0" w:line="286" w:lineRule="auto"/>
        <w:tabs>
          <w:tab w:leader="none" w:pos="32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Consists of (i) 2,227,542 shares of Class B common stock held by Dr. Atay and (ii) 709,659 shares of Class A common stock issuable to Dr. Atay upon exercise of stock options within 60 days of September 30, 2025. Also consists of 200,000 shares of Class A common stock held by Dr. Atay’s spouse. Dr. Atay disclaims beneficial ownership of the shares held by his spouse.</w:t>
      </w:r>
    </w:p>
    <w:p>
      <w:pPr>
        <w:spacing w:after="0" w:line="19" w:lineRule="exact"/>
        <w:rPr>
          <w:rFonts w:ascii="Arial" w:cs="Arial" w:eastAsia="Arial" w:hAnsi="Arial"/>
          <w:sz w:val="10"/>
          <w:szCs w:val="10"/>
          <w:color w:val="auto"/>
        </w:rPr>
      </w:pPr>
    </w:p>
    <w:p>
      <w:pPr>
        <w:ind w:left="320" w:hanging="316"/>
        <w:spacing w:after="0"/>
        <w:tabs>
          <w:tab w:leader="none" w:pos="32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Consists of (i) 2,325,108 shares of Class B common stock held by Dr. Tsao; and (ii) 674,829 shares of Class A common stock issuable to Dr. Tsao upon exercise of stock options within 60 days of September 30, 2025.</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Consists of (i) 29,000 shares of Class A common stock held by Ms. Johnson; and (ii) 201,249 shares of Class A common stock issuable to Ms. Johnson upon exercise of stock options within 60 days of September 30, 2025.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ectPr>
          <w:pgSz w:w="11900" w:h="16838" w:orient="portrait"/>
          <w:cols w:equalWidth="0" w:num="1">
            <w:col w:w="11280"/>
          </w:cols>
          <w:pgMar w:left="300" w:top="385" w:right="3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4" w:lineRule="exact"/>
        <w:rPr>
          <w:sz w:val="20"/>
          <w:szCs w:val="20"/>
          <w:color w:val="auto"/>
        </w:rPr>
      </w:pPr>
    </w:p>
    <w:p>
      <w:pPr>
        <w:ind w:left="320" w:hanging="316"/>
        <w:spacing w:after="0"/>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80,208 shares of Class A common stock issuable to Mr. Taylor upon exercise of stock options within 60 days of September 30, 2025.</w:t>
      </w:r>
    </w:p>
    <w:p>
      <w:pPr>
        <w:spacing w:after="0" w:line="73" w:lineRule="exact"/>
        <w:rPr>
          <w:rFonts w:ascii="Arial" w:cs="Arial" w:eastAsia="Arial" w:hAnsi="Arial"/>
          <w:sz w:val="10"/>
          <w:szCs w:val="10"/>
          <w:color w:val="auto"/>
        </w:rPr>
      </w:pPr>
    </w:p>
    <w:p>
      <w:pPr>
        <w:ind w:left="320" w:hanging="316"/>
        <w:spacing w:after="0" w:line="246"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152,440 shares of Class A common stock held by Adams Street 2019 Direct Growth Equity Fund LP; (ii) 155,711 shares of Class A common stock held by Adams Street 2020 Direct Growth Equity Fund LP; (iii) 176,271 shares of Class A common stock held by Adams Street 2021 Direct Growth Equity Fund LP; (iv) 269,918 shares of Class A common stock held by Adams Street 2022 Direct Growth Equity Fund LP; (v) 240,072 shares of Class A common stock held by; (vi) 675,352 shares of Class A common stock held by Adams Street Growth Equity Fund VII LP; and Adams Street Private Equity Navigator Fund LLC (f/k/a Adams Street Global Private Markets Fund LP) (vi) 227,508 shares of Class A common stock held by FCPR GF—Lumyna Private Equity World Fund. Adams Street Partners, LLC is the managing member of the general partner of each of Adams Street 2019 Direct Growth Equity Fund LP, Adams Street 2020 Direct Growth Equity Fund LP, Adams Street 2021 Direct Growth Equity Fund LP, Adams Street 2022 Direct Growth Equity Fund LP, Adams Street Growth Equity Fund VII LP, and Adams Street Private Equity Navigator Fund LLC (f/k/a Adams Street Global Private Markets Fund LP) (collectively, the U.S. Funds) and, as a result, may be deemed to beneficially own the shares held by the U.S. Funds. Furthermore, Adams Street Partners, LLC, the Sous- Délégataire Financier of the Délégataire Financier of the management company of FCPR GF—Lumyna Private Equity World Fund (Lumyna and together with the U.S. Funds, the Funds) and, as a result, may be deemed to beneficially own the shares held by Lumyna. Thomas S. Bremner, Jeffrey T. Diehl, Brian Dudley, Elisha P. Gould, Robin Murray and Fred Wang, each of whom is a partner of Adams Street Partners, LLC (or a subsidiary thereof), may be deemed to have shared voting and investment power over the shares held by the Funds. The address for each entity referenced above is 1 North Wacker Drive, Suite 2200, Chicago, IL 60606-2807.</w:t>
      </w:r>
    </w:p>
    <w:p>
      <w:pPr>
        <w:spacing w:after="0" w:line="40" w:lineRule="exact"/>
        <w:rPr>
          <w:rFonts w:ascii="Arial" w:cs="Arial" w:eastAsia="Arial" w:hAnsi="Arial"/>
          <w:sz w:val="10"/>
          <w:szCs w:val="10"/>
          <w:color w:val="auto"/>
        </w:rPr>
      </w:pPr>
    </w:p>
    <w:p>
      <w:pPr>
        <w:ind w:left="320" w:hanging="316"/>
        <w:spacing w:after="0"/>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the shares of Class A common stock referenced in footnote 10 and (ii) 28,981 shares of Class A common stock held directly by Mr. Ileri.</w:t>
      </w:r>
    </w:p>
    <w:p>
      <w:pPr>
        <w:spacing w:after="0" w:line="73" w:lineRule="exact"/>
        <w:rPr>
          <w:rFonts w:ascii="Arial" w:cs="Arial" w:eastAsia="Arial" w:hAnsi="Arial"/>
          <w:sz w:val="10"/>
          <w:szCs w:val="10"/>
          <w:color w:val="auto"/>
        </w:rPr>
      </w:pPr>
    </w:p>
    <w:p>
      <w:pPr>
        <w:ind w:left="320" w:hanging="316"/>
        <w:spacing w:after="0"/>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the shares of Class A common stock referenced in footnote 13.</w:t>
      </w:r>
    </w:p>
    <w:p>
      <w:pPr>
        <w:spacing w:after="0" w:line="73" w:lineRule="exact"/>
        <w:rPr>
          <w:rFonts w:ascii="Arial" w:cs="Arial" w:eastAsia="Arial" w:hAnsi="Arial"/>
          <w:sz w:val="10"/>
          <w:szCs w:val="10"/>
          <w:color w:val="auto"/>
        </w:rPr>
      </w:pPr>
    </w:p>
    <w:p>
      <w:pPr>
        <w:ind w:left="320" w:right="180" w:hanging="316"/>
        <w:spacing w:after="0" w:line="263"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2,676 shares of Class A common stock held directly by Mr. Rai and (ii) 1,784,414 shares of Class A common stock held by Wipro Enterprises Private Limited (Wipro), of which Mr. Rai is the nominee/investor director appointed by Wipro Enterprises Limited. Mr. Rai will not have voting or dispositive control of the securities described in clause (ii) of the prior sentence while such securities are held by Wipro and thus disclaims beneficial ownership of such securities The address for each of the entities and individuals listed in this footnote is 2180 Sand Hill Road, Ste. 100, Menlo Park, California 94025.</w:t>
      </w:r>
    </w:p>
    <w:p>
      <w:pPr>
        <w:spacing w:after="0" w:line="31" w:lineRule="exact"/>
        <w:rPr>
          <w:rFonts w:ascii="Arial" w:cs="Arial" w:eastAsia="Arial" w:hAnsi="Arial"/>
          <w:sz w:val="10"/>
          <w:szCs w:val="10"/>
          <w:color w:val="auto"/>
        </w:rPr>
      </w:pPr>
    </w:p>
    <w:p>
      <w:pPr>
        <w:ind w:left="320" w:hanging="316"/>
        <w:spacing w:after="0"/>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Includes 1,891,151 shares of Class A common stock issuable upon exercise of stock options within 60 days of September 30, 2025.</w:t>
      </w:r>
    </w:p>
    <w:p>
      <w:pPr>
        <w:spacing w:after="0" w:line="73" w:lineRule="exact"/>
        <w:rPr>
          <w:rFonts w:ascii="Arial" w:cs="Arial" w:eastAsia="Arial" w:hAnsi="Arial"/>
          <w:sz w:val="10"/>
          <w:szCs w:val="10"/>
          <w:color w:val="auto"/>
        </w:rPr>
      </w:pPr>
    </w:p>
    <w:p>
      <w:pPr>
        <w:ind w:left="320" w:right="180" w:hanging="316"/>
        <w:spacing w:after="0" w:line="250"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2,631,664 shares of Class A common stock held by Hummingbird Opportunity Fund II CommV; (ii) 2,580,833 shares of Class A common stock held by Hummingbird Ventures III CommV; (iii) 2,015,118 shares of Class A common stock held by Hummingbird Dragons CommV; (iv) 18,845 shares of Class A common stock held by Hummingbird Collective CommV; and (v) 640,727 shares of Class A common stock held by HB&amp;Q NV (HB&amp;Q COMPARTMENT III). Humming Bird Ventures Management NV is the managing member of Hummingbird Opportunity Fund II CommV, Hummingbird Ventures III CommV, Hummingbird Dragons CommV, Hummingbird Collective CommV, and HB&amp;Q NV (HB&amp;Q COMPARTMENT III) (the Hummingbird Funds) and, as a result, may be deemed to beneficially own shares held by the Hummingbird Funds. Mr. Ileri, Barend Van den Brande, and Lukas Decoster are partners of Hummingbird Ventures Management NV and may be deemed to have shared voting and investment power over the shares held by the Hummingbird Funds. The address for each of the entities and individuals listed in this footnote is Square Victoria Regain 1, 1210 Sint-Joost-ten-Node, Belgium.</w:t>
      </w:r>
    </w:p>
    <w:p>
      <w:pPr>
        <w:spacing w:after="0" w:line="36" w:lineRule="exact"/>
        <w:rPr>
          <w:rFonts w:ascii="Arial" w:cs="Arial" w:eastAsia="Arial" w:hAnsi="Arial"/>
          <w:sz w:val="10"/>
          <w:szCs w:val="10"/>
          <w:color w:val="auto"/>
        </w:rPr>
      </w:pPr>
    </w:p>
    <w:p>
      <w:pPr>
        <w:ind w:left="320" w:right="80" w:hanging="316"/>
        <w:spacing w:after="0" w:line="256"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2,585,520 shares of Class A common stock held by Libertus Capital I; (ii) 99,940 shares of Class A common stock held by Libertus Capital I (HV); and (iii) 876,149 shares of Class A common stock held by Libertus Capital II. Libertus Capital S.A.R.L. is the general partner of Libertus Capital I, Libertus Capital I (HV) and Libertus Capital II (the Libertus Funds) and, as a result, may be deemed to beneficially own shares held by the Libertus Funds. Pamir Gelenbe, Johannes Dercksen and Pierre Ribeiro are members of the board of directors of Libertus Capital S.A.R.L. and may be deemed to have shared voting and investment power over the shares held by the Libertus Funds. The address for each of the entities and individuals listed in this footnote is 31 rue de Hollerich, L-1741, Luxembourg.</w:t>
      </w:r>
    </w:p>
    <w:p>
      <w:pPr>
        <w:spacing w:after="0" w:line="34" w:lineRule="exact"/>
        <w:rPr>
          <w:rFonts w:ascii="Arial" w:cs="Arial" w:eastAsia="Arial" w:hAnsi="Arial"/>
          <w:sz w:val="10"/>
          <w:szCs w:val="10"/>
          <w:color w:val="auto"/>
        </w:rPr>
      </w:pPr>
    </w:p>
    <w:p>
      <w:pPr>
        <w:ind w:left="320" w:right="100" w:hanging="316"/>
        <w:spacing w:after="0" w:line="252"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35,338 shares of Class A common stock held directly by Mr. Gelenbe; (ii) 111,155 shares of Class A common stock held by GOPAE Turquoise Strategies Pte. Ltd.; (iii) 2,585,520 shares of Class A common stock held by Libertus Capital I; (iv) 99,940 shares of Class A common stock held by Libertus Capital I (HV); and (v) 876,149 shares of Class A common stock held by Libertus Capital II. Mr. Gelenbe and Gulnar Hasnain are the controlling shareholders of GOPAE Turquoise Strategies Pte. Ltd., and as a result, they may be deemed to beneficially own shares held by GOPAE Turquoise Strategies Pte. Ltd. Mr. Gelenbe and Ms. Hasnain are also the controlling shareholders of PG Consulting Services LTD, which is the sole shareholder of Libertus Capital S.A.R.L., the general partner of the Libertus Funds and, as a result they may be deemed to beneficially own shares held by the Libertus Funds. The address for each of the entities and individuals listed in this footnote is 31 rue de Hollerich, L-1741, Luxembourg.</w:t>
      </w:r>
    </w:p>
    <w:p>
      <w:pPr>
        <w:spacing w:after="0" w:line="36" w:lineRule="exact"/>
        <w:rPr>
          <w:rFonts w:ascii="Arial" w:cs="Arial" w:eastAsia="Arial" w:hAnsi="Arial"/>
          <w:sz w:val="10"/>
          <w:szCs w:val="10"/>
          <w:color w:val="auto"/>
        </w:rPr>
      </w:pPr>
    </w:p>
    <w:p>
      <w:pPr>
        <w:ind w:left="320" w:right="20" w:hanging="316"/>
        <w:spacing w:after="0" w:line="256" w:lineRule="auto"/>
        <w:tabs>
          <w:tab w:leader="none" w:pos="32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Consists of (i) 1,297,799 shares of Class A common stock held by Neotribe Ignite Fund I, L.P.; (ii) 242,216 shares of Class A common stock held by Neotribe SPV I BTO, LLC; and (iii) 2,819,490 shares of Class A common stock held by NeoTribe Ventures I, L.P., for itself and as nominee for NeoTribe Associates I, L.P. Krishna Swaroop Kolluri is the general partner for each of Neotribe Ignite Fund I, L.P. and NeoTribe Ventures I, L.P. and NeoTribe Associates I, L.P., and the managing member of Neotribe SPV I BTO, LLC and may be deemed to have beneficial ownership of the shares held by each of them. The address for each of the entities and individuals listed in this footnote is 1300 El Camino Real, Suite 100, Menlo Park, California 94025.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ectPr>
          <w:pgSz w:w="11900" w:h="16838" w:orient="portrait"/>
          <w:cols w:equalWidth="0" w:num="1">
            <w:col w:w="11280"/>
          </w:cols>
          <w:pgMar w:left="300" w:top="385" w:right="3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capital stock</w:t>
      </w:r>
    </w:p>
    <w:p>
      <w:pPr>
        <w:spacing w:after="0" w:line="12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following is a summary of our capital stock, certain provisions of our Post-IPO Certificate of Incorporation and Post-IPO Bylaws as each will be in effect upon the completion of this offering, our IRA, and relevant provisions of Delaware law. Because it is only a summary, it does not contain all the information that may be important to you. These descriptions are qualified in their entirety by our Post-IPO Certificate of Incorporation, our Post-IPO Bylaws, and our IRA, which are each filed as exhibits to our registration statement of which this prospectus is a part, as well as the relevant provisions of the DGCL.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5" w:lineRule="exact"/>
        <w:rPr>
          <w:sz w:val="20"/>
          <w:szCs w:val="20"/>
          <w:color w:val="auto"/>
        </w:rPr>
      </w:pPr>
    </w:p>
    <w:p>
      <w:pPr>
        <w:ind w:right="260"/>
        <w:spacing w:after="0" w:line="309" w:lineRule="auto"/>
        <w:rPr>
          <w:sz w:val="20"/>
          <w:szCs w:val="20"/>
          <w:color w:val="auto"/>
        </w:rPr>
      </w:pPr>
      <w:r>
        <w:rPr>
          <w:rFonts w:ascii="Arial" w:cs="Arial" w:eastAsia="Arial" w:hAnsi="Arial"/>
          <w:sz w:val="13"/>
          <w:szCs w:val="13"/>
          <w:color w:val="auto"/>
        </w:rPr>
        <w:t>Immediately prior to the completion of this offering, our Post-IPO Certificate of Incorporation will provide for two series of common stock. In addition, our Post-IPO Certificate of Incorporation will authorize shares of undesignated preferred stock, the rights, preferences, and privileges of which may be designated from time to time by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the completion of this offering, our authorized capital stock will consist of            shares, all with a par value of $            per share, of which:</w:t>
      </w:r>
    </w:p>
    <w:p>
      <w:pPr>
        <w:spacing w:after="0" w:line="11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         shares are designated as Class A common stock;</w:t>
      </w:r>
    </w:p>
    <w:p>
      <w:pPr>
        <w:spacing w:after="0" w:line="11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         shares are designated as Class B common stock; and</w:t>
      </w:r>
    </w:p>
    <w:p>
      <w:pPr>
        <w:spacing w:after="0" w:line="112" w:lineRule="exact"/>
        <w:rPr>
          <w:sz w:val="20"/>
          <w:szCs w:val="20"/>
          <w:color w:val="auto"/>
        </w:rPr>
      </w:pPr>
    </w:p>
    <w:p>
      <w:pPr>
        <w:ind w:left="220" w:hanging="216"/>
        <w:spacing w:after="0"/>
        <w:tabs>
          <w:tab w:leader="none" w:pos="2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shares are designated as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15"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Upon completion of this offering, we will have two series of authorized common stock: Class A common stock and Class B common stock. The rights of the holders of our Class A common stock and our Class B common stock are identical, except with respect to voting, conversion and transfer rights.</w:t>
      </w:r>
    </w:p>
    <w:p>
      <w:pPr>
        <w:spacing w:after="0" w:line="59"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As of June 30, 2025, after giving effect to (i) the Preferred Stock Conversion, (ii) the Reclassification and (iii) the Class B Stock Exchange, as if each event had occurred on June 30, 2025, we had outstanding         shares of Class A common stock and         shares of Class B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Subject to preferences that may apply to shares of preferred stock outstanding at the time, the holders of outstanding shares of our Class A common stock and Class B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Holders of our Class A common stock will be entitled to one vote and holders of our Class B common stock will be entitled to 15 votes for each share held on all matters submitted to a vote of stockholders. The holders of our Class A common stock and Class B common stock will vote together as a single class, unless otherwise required by law or our Post-IPO Certificate of Incorporation. Delaware law could require either holders of our Class A common stock or Class B common stock to vote separately as a single class in the following circumstances:</w:t>
      </w:r>
    </w:p>
    <w:p>
      <w:pPr>
        <w:spacing w:after="0" w:line="85" w:lineRule="exact"/>
        <w:rPr>
          <w:sz w:val="20"/>
          <w:szCs w:val="20"/>
          <w:color w:val="auto"/>
        </w:rPr>
      </w:pPr>
    </w:p>
    <w:p>
      <w:pPr>
        <w:ind w:left="220" w:right="20" w:hanging="216"/>
        <w:spacing w:after="0" w:line="269" w:lineRule="auto"/>
        <w:tabs>
          <w:tab w:leader="none" w:pos="2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if we were to seek to amend our Post-IPO Certificate of Incorporation to increase or decrease the par value of a class of our capital stock, then that class would be required to vote separately to approve the proposed amendment; and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ectPr>
          <w:pgSz w:w="11900" w:h="16838" w:orient="portrait"/>
          <w:cols w:equalWidth="0" w:num="1">
            <w:col w:w="11280"/>
          </w:cols>
          <w:pgMar w:left="300" w:top="385" w:right="3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0" w:right="60" w:hanging="216"/>
        <w:spacing w:after="0" w:line="269" w:lineRule="auto"/>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we were to seek to amend our Post-IPO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our Class A common stock and our Class B common stock will not have cumulative voting rights in the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Holders of our Class A common stock will have no conversion rights.</w:t>
      </w:r>
    </w:p>
    <w:p>
      <w:pPr>
        <w:spacing w:after="0" w:line="112"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Each outstanding share of our Class B common stock will be convertible at any time at the option of the holder into one share of our Class A common stock. In addition, each share of our Class B common stock will convert automatically into one share of our Class A common stock upon any transfer, whether or not for value, which occurs after the completion of this offering, except for certain permitted transfers set forth in our Post-IPO Certificate of Incorporation, including to related entities and for estate-planning purposes. Once converted into our Class A common stock, such Class B common stock will not be reissued.</w:t>
      </w:r>
    </w:p>
    <w:p>
      <w:pPr>
        <w:spacing w:after="0" w:line="74"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In addition, each share of Class B common stock held by a Founder and such Founder’s permitted transferees will automatically convert into one share of Class A common stock upon the earlier of (i) the date that is between 90 days and 270 days, as determined by the board of directors, after the death or incapacitation of such Founder or (ii) the date that is between 61 and 180 days, as determined by the board of directors, after the date on which such Founder is no longer serving as an officer or director of the Company.</w:t>
      </w:r>
    </w:p>
    <w:p>
      <w:pPr>
        <w:spacing w:after="0" w:line="80"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All of the outstanding shares of our Class B common stock will convert automatically on a one-for-one basis into shares of our Class A common stock upon the earliest of (i) seven years from the date of filing the Post-IPO Certificate of Incorporation, and (ii) the date specified by a vote of the holders of Class B common stock representing a majority of the outstanding shares of Class B common stock. Following the conversion of all outstanding shares of our Class B common stock into Class A common stock, no further shares of our Class B common stock will be issued.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Upon our dissolution, liquidation or winding-up, the assets legally available for distribution to our stockholders are distributable ratably among the holders of our Class A common stock and our Class B common stock, subject to prior satisfaction of all outstanding debt and liabilities and the preferential rights and payment of liquidation preferences, if any, on any outstanding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113" w:lineRule="exact"/>
        <w:rPr>
          <w:sz w:val="20"/>
          <w:szCs w:val="20"/>
          <w:color w:val="auto"/>
        </w:rPr>
      </w:pPr>
    </w:p>
    <w:p>
      <w:pPr>
        <w:jc w:val="both"/>
        <w:ind w:right="40"/>
        <w:spacing w:after="0" w:line="252" w:lineRule="auto"/>
        <w:rPr>
          <w:sz w:val="20"/>
          <w:szCs w:val="20"/>
          <w:color w:val="auto"/>
        </w:rPr>
      </w:pPr>
      <w:r>
        <w:rPr>
          <w:rFonts w:ascii="Arial" w:cs="Arial" w:eastAsia="Arial" w:hAnsi="Arial"/>
          <w:sz w:val="14"/>
          <w:szCs w:val="14"/>
          <w:color w:val="auto"/>
        </w:rPr>
        <w:t>Our shares of common stock are not entitled to preemptive rights and are not subject to conversion, redemption or sinking fund provisions (except, in respect of our Class B common stock, for the conversion rights noted above). The rights, preferences, and privileges of the holders of our common stock will be subject to and may be adversely affected by the rights of the holders of shares of any series of our preferred stock that we may designate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15"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As of June 30, 2025, there were 29,084,235 shares of our redeemable convertible preferred stock outstanding. Immediately prior to the completion of this offering, each outstanding share of redeemable convertible preferred stock will convert into one share of our common stock pursuant to the Preferred Stock Conversion.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ectPr>
          <w:pgSz w:w="11900" w:h="16838" w:orient="portrait"/>
          <w:cols w:equalWidth="0" w:num="1">
            <w:col w:w="11280"/>
          </w:cols>
          <w:pgMar w:left="300" w:top="385" w:right="3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Upon the filing and effectiveness of our Post-IPO Certificate of Incorporation, our Board of Directors 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15"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As of June 30, 2025, options to purchase an aggregate of 8,930,919 shares of common stock were outstanding at a weighted-average exercise price of approximately $10.59 per share. For additional information regarding the terms of our stock options outstanding under our 2018 Plan, see the section titled “Executive compensation—Equity plans.”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15"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As of June 30, 2025, we had outstanding warrants to purchase (i) an aggregate of up to 80,357 shares of our common stock with an exercise price of $2.80 per share (the 2021 Common Warrant), (ii) an aggregate of up to 41,209 shares of our common stock with an exercise price of $10.92 per share (the 2022 Common Warrant and together with the 2021 Common Warrant, the Common Warrants) and (iii) an aggregate of up to 9,660 shares of our Series A-6 redeemable convertible preferred stock with an exercise price of $2.5879 per share (the A-6 Warrant). In connection with this offering, the 2021 Common Warrant, the 2022 Common Warrant and the A-6 Warrant will become exercisable for an aggregate of 80,357 shares, 41,209 shares and 9,660 shares, respectively, of our Class A common stock at an exercise price of $2.80 per share for the 2021 Common Warrant, $10.92 per share for the 2022 Common Warrant, and $2,5879 per share for the A-6 Warrant.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05"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After the completion of this offering, holders of 37,706,613 shares of our Class A common stock (including, following the Class B Stock Exchange, shares of our Class A common stock issuable upon the conversion of shares of Class B common stock) will be entitled to certain rights with respect to registration of such shares under the Securities Act pursuant to the terms of the IRA between us and the holders of these shares, which was entered into in connection with our redeemable convertible preferred stock financings. These shares are referred to as registrable securities.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IRA includes demand, piggyback and Form S-3 registration rights as described more fully below.</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3" w:lineRule="exact"/>
        <w:rPr>
          <w:sz w:val="20"/>
          <w:szCs w:val="20"/>
          <w:color w:val="auto"/>
        </w:rPr>
      </w:pPr>
    </w:p>
    <w:p>
      <w:pPr>
        <w:ind w:right="420"/>
        <w:spacing w:after="0" w:line="269" w:lineRule="auto"/>
        <w:rPr>
          <w:sz w:val="20"/>
          <w:szCs w:val="20"/>
          <w:color w:val="auto"/>
        </w:rPr>
      </w:pPr>
      <w:r>
        <w:rPr>
          <w:rFonts w:ascii="Arial" w:cs="Arial" w:eastAsia="Arial" w:hAnsi="Arial"/>
          <w:sz w:val="14"/>
          <w:szCs w:val="14"/>
          <w:color w:val="auto"/>
        </w:rPr>
        <w:t>At any time beginning six months after this offering, the holders of registrable securities have the right to make up to two demands that we file a registration statement under the Securities Act with having an aggregate offering price, net of selling expenses, of at least $20 million, subject to specified exceptions.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224</w:t>
      </w:r>
    </w:p>
    <w:p>
      <w:pPr>
        <w:sectPr>
          <w:pgSz w:w="11900" w:h="16838" w:orient="portrait"/>
          <w:cols w:equalWidth="0" w:num="1">
            <w:col w:w="11280"/>
          </w:cols>
          <w:pgMar w:left="300" w:top="385" w:right="3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If we register any of its securities for public sale solely for cash (other than a registration pursuant to the demand registration rights described above, a registration for a direct listing, a registration relating solely to our equity incentive plans, a registration relating to a reorganization transaction under Rule 145, a registration on any form that does not include substantially the same information as would be required to be included in a registration statement covering the registrable securities, or a registration statement where the only common stock being registered is common stock issuable upon conversion of debt securities that are also being registered), the holders of our registrable securities then outstanding will each be entitled to notice of the registration and will have the right to include their shares in the registration statement.</w:t>
      </w:r>
    </w:p>
    <w:p>
      <w:pPr>
        <w:spacing w:after="0" w:line="87"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These piggyback registration rights are subject to specified conditions and limitations, including the right of the underwriters of any underwritten offering to limit the aggregate value of registrable securities to be included in the registration statement, but not below 25% of the total value of securities included in such registration.</w:t>
      </w:r>
    </w:p>
    <w:p>
      <w:pPr>
        <w:spacing w:after="0" w:line="69"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expect that the requisite stockholders who are party to our IRA will waive their rights with respect to the notice of this offering and to the inclusion of their registrable shares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If we are eligible to file a registration statement on Form S-3, the holders of at least 30% of the registrable securities then outstanding have the right to demand that we file registration statements on Form S-3; provided, that the aggregate offering price, net of selling expenses, of the securities to be sold under the registration statement is at least $10 million. The right to have such shares registered on Form S-3 is further subject to other specified conditions and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103" w:lineRule="exact"/>
        <w:rPr>
          <w:sz w:val="20"/>
          <w:szCs w:val="20"/>
          <w:color w:val="auto"/>
        </w:rPr>
      </w:pPr>
    </w:p>
    <w:p>
      <w:pPr>
        <w:jc w:val="both"/>
        <w:ind w:right="120"/>
        <w:spacing w:after="0" w:line="252" w:lineRule="auto"/>
        <w:rPr>
          <w:sz w:val="20"/>
          <w:szCs w:val="20"/>
          <w:color w:val="auto"/>
        </w:rPr>
      </w:pPr>
      <w:r>
        <w:rPr>
          <w:rFonts w:ascii="Arial" w:cs="Arial" w:eastAsia="Arial" w:hAnsi="Arial"/>
          <w:sz w:val="14"/>
          <w:szCs w:val="14"/>
          <w:color w:val="auto"/>
        </w:rPr>
        <w:t>The registration rights will survive this offering and will terminate after the earlier of either five years following the completion of this offering and a liquidation event, and, with respect to any particular stockholder, when such stockholder can sell all its shares in compliance with Rule 144(b)(i) or if such stockholder holds 1% or less of the outstanding common stock and is able to sell all of its registrable securities during a three month period in compliance with Rule 144 under the Securities Act.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10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Some provisions of Delaware law, our Post-IPO Certificate of Incorporation, and our Post-IPO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may also have the effect of preventing changes in the composition of our Board of Directors and management. 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225</w:t>
      </w:r>
    </w:p>
    <w:p>
      <w:pPr>
        <w:sectPr>
          <w:pgSz w:w="11900" w:h="16838" w:orient="portrait"/>
          <w:cols w:equalWidth="0" w:num="1">
            <w:col w:w="11280"/>
          </w:cols>
          <w:pgMar w:left="300" w:top="385" w:right="3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statute</w:t>
      </w:r>
    </w:p>
    <w:p>
      <w:pPr>
        <w:spacing w:after="0" w:line="103"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Our Board of Directors will have the authority, without further action by our stockholders, to issue 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meetings</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Our Post-IPO Bylaws will provide that, once our Class B common stock no longer represents a majority of voting power of our outstanding capital stock, a special meeting of stockholders may be called only by our chairman of the Board of Directors, chief executive officer or president (in the absence of a chief executive officer), or by a resolution adopted by a majority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notice of stockholder nominations and proposals</w:t>
      </w:r>
    </w:p>
    <w:p>
      <w:pPr>
        <w:spacing w:after="0" w:line="113"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Our Post-IPO Bylaws will establish advance notice procedures with respect to stockholders seeking to bring business before our annual meeting of stockholders, or to nominate candidates for election as directors, other than nominations made by or at the direction of the Board of Directors, or a committee thereof. Our Post-IPO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w:t>
      </w:r>
    </w:p>
    <w:p>
      <w:pPr>
        <w:spacing w:after="0" w:line="113"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Our Post-IPO Certificate of Incorporation and Post-IPO Bylaws will provide that, once our Class B common stock no longer represents a majority of voting power of our outstanding capital stock, stockholders will not be able to take action by written consent, and will only be able to take action at annual or special meetings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Our Board of Directors will be divided into three classes. The directors in each class will serve for a three-year term, one class being elected each year by our stockholders. For more information on the classified board, see the section titled “Management—Board composition.”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226</w:t>
      </w:r>
    </w:p>
    <w:p>
      <w:pPr>
        <w:sectPr>
          <w:pgSz w:w="11900" w:h="16838" w:orient="portrait"/>
          <w:cols w:equalWidth="0" w:num="1">
            <w:col w:w="11280"/>
          </w:cols>
          <w:pgMar w:left="300" w:top="385" w:right="3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103" w:lineRule="exact"/>
        <w:rPr>
          <w:sz w:val="20"/>
          <w:szCs w:val="20"/>
          <w:color w:val="auto"/>
        </w:rPr>
      </w:pPr>
    </w:p>
    <w:p>
      <w:pPr>
        <w:ind w:right="260"/>
        <w:spacing w:after="0" w:line="252" w:lineRule="auto"/>
        <w:rPr>
          <w:sz w:val="20"/>
          <w:szCs w:val="20"/>
          <w:color w:val="auto"/>
        </w:rPr>
      </w:pPr>
      <w:r>
        <w:rPr>
          <w:rFonts w:ascii="Arial" w:cs="Arial" w:eastAsia="Arial" w:hAnsi="Arial"/>
          <w:sz w:val="14"/>
          <w:szCs w:val="14"/>
          <w:color w:val="auto"/>
        </w:rPr>
        <w:t>Our Post-IPO Certificate of Incorporation will provide that, once our Class B common stock no longer represents a majority of voting power of our outstanding capital stock, no member of our Board of Directors may be removed from office by our stockholders except for cause and, in addition to any other vote required by law, upon the affirmative vote of two-thirds of the voting power of our then-outstanding capital stock.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Our Post-IPO Certificate of Incorporation will not permit stockholders to cumulate their votes in the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Choice of forum</w:t>
      </w:r>
    </w:p>
    <w:p>
      <w:pPr>
        <w:spacing w:after="0" w:line="103" w:lineRule="exact"/>
        <w:rPr>
          <w:sz w:val="20"/>
          <w:szCs w:val="20"/>
          <w:color w:val="auto"/>
        </w:rPr>
      </w:pPr>
    </w:p>
    <w:p>
      <w:pPr>
        <w:ind w:right="160"/>
        <w:spacing w:after="0" w:line="271" w:lineRule="auto"/>
        <w:rPr>
          <w:sz w:val="20"/>
          <w:szCs w:val="20"/>
          <w:color w:val="auto"/>
        </w:rPr>
      </w:pPr>
      <w:r>
        <w:rPr>
          <w:rFonts w:ascii="Arial" w:cs="Arial" w:eastAsia="Arial" w:hAnsi="Arial"/>
          <w:sz w:val="13"/>
          <w:szCs w:val="13"/>
          <w:color w:val="auto"/>
        </w:rPr>
        <w:t>Upon the completion of this offering, our Post-IPO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DGCL, our Post-IPO Certificate of Incorporation or our Post-IPO Bylaws or any action asserting a claim against us that is governed by the internal affairs doctrine. Our Post-IPO Certificate of Incorporation will also provide that the U.S. federal district courts will be the exclusive forum for resolving any complaint asserting a cause of action arising under the Securities Act.</w:t>
      </w:r>
    </w:p>
    <w:p>
      <w:pPr>
        <w:spacing w:after="0" w:line="7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Some companies that adopted a similar federal district court forum selection provision were subject to a suit in the Chancery Court of Delaware by stockholders who asserted that the provision is not enforceable. While the Delaware Supreme Court held that such federal district court forum selection provision was in fact valid, there can be no assurance that federal courts or other state courts will follow the holding of the Delaware Supreme Court or determine that the our federal district court forum selection provision should be enforced in a particular case.</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87"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113" w:lineRule="exact"/>
        <w:rPr>
          <w:sz w:val="20"/>
          <w:szCs w:val="20"/>
          <w:color w:val="auto"/>
        </w:rPr>
      </w:pPr>
    </w:p>
    <w:p>
      <w:pPr>
        <w:ind w:right="400"/>
        <w:spacing w:after="0" w:line="269" w:lineRule="auto"/>
        <w:rPr>
          <w:sz w:val="20"/>
          <w:szCs w:val="20"/>
          <w:color w:val="auto"/>
        </w:rPr>
      </w:pPr>
      <w:r>
        <w:rPr>
          <w:rFonts w:ascii="Arial" w:cs="Arial" w:eastAsia="Arial" w:hAnsi="Arial"/>
          <w:sz w:val="14"/>
          <w:szCs w:val="14"/>
          <w:color w:val="auto"/>
        </w:rPr>
        <w:t>Once our Class B common stock no longer represents a majority of voting power of our outstanding capital stock, the amendment of any of the above provisions, except for the provision making it possible for our Board of Directors to issue preferred stock, would require approval of two-thirds of the voting power of our then-outstanding capital stock.</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227</w:t>
      </w:r>
    </w:p>
    <w:p>
      <w:pPr>
        <w:sectPr>
          <w:pgSz w:w="11900" w:h="16838" w:orient="portrait"/>
          <w:cols w:equalWidth="0" w:num="1">
            <w:col w:w="11240"/>
          </w:cols>
          <w:pgMar w:left="300" w:top="386" w:right="3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Upon the completion of this offering, the transfer agent and registrar for our Class A common stock and Class B common stock will be Fidelity Stock Transfer Solutions. The transfer agent’s address is 245 Summer Street, V7A, Boston, Massachusetts 02210.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Select Market listing</w:t>
      </w:r>
    </w:p>
    <w:p>
      <w:pPr>
        <w:spacing w:after="0" w:line="105"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have applied to list our Class A common stock on the Nasdaq Global Select Market under the trading symbol “BLLN,” and this offering is contingent upon obtaining approval of such listing.</w:t>
      </w:r>
    </w:p>
    <w:p>
      <w:pPr>
        <w:spacing w:after="0" w:line="6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228</w:t>
      </w:r>
    </w:p>
    <w:p>
      <w:pPr>
        <w:sectPr>
          <w:pgSz w:w="11900" w:h="16838" w:orient="portrait"/>
          <w:cols w:equalWidth="0" w:num="1">
            <w:col w:w="11120"/>
          </w:cols>
          <w:pgMar w:left="300" w:top="38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eligible for future sale</w:t>
      </w:r>
    </w:p>
    <w:p>
      <w:pPr>
        <w:spacing w:after="0" w:line="12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Prior to this offering, no public market existed for our Class A common stock, and although we expect that our Class A common stock will be approved for listing on Nasdaq, we cannot assure investors that there will be an active public market for our Class A common stock following this offering. We cannot predict what effect, if any, sales of our shares in the public market or the availability of shares for sale will have on the market price of our Class A common stock. Future sales of substantial amounts of common stock in the public market, or the possibility of these sales or issuances occurring, could adversely affect the prevailing market price of our Class A common stock or impair our ability to raise equity capital.</w:t>
      </w:r>
    </w:p>
    <w:p>
      <w:pPr>
        <w:spacing w:after="0" w:line="87"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Upon the completion of this offering, based on the number of our shares outstanding as of June 30, 2025 and after giving effect to the Preferred Stock Conversion, the Reclassification and the Class B Stock Exchange, as if each event had occurred on June 30, 2025, we will have an aggregate of        shares of our Class A common stock (or        shares of our Class A common stock if the underwriters exercise in full their option to purchase additional shares) and an aggregate of        shares of our Class B common stock outstanding. This includes all shares of Class A common stock that we are selling in this offering, which shares may be resold in the public market immediately unless purchased by our affiliates, and assumes no additional exercise of outstanding options or warrants other than as described elsewhere in this prospectus.</w:t>
      </w:r>
    </w:p>
    <w:p>
      <w:pPr>
        <w:spacing w:after="0" w:line="87"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The remaining 40,169,279 shares of our Class A common stock (including 4,552,650 shares of Class A common stock issuable upon the conversion of outstanding Class B common stock) will be “restricted securities,” as that term is defined in Rule 144. Restricted securities are eligible for public sale only if they are registered under the Securities Act or if they qualify for an exemption from registration under Rules 144 or 701 under the Securities Act, which are summarized below. Substantially all of these shares will be subject to a lock-up period under the lock-up agreements and market stand-off agreements described below.</w:t>
      </w:r>
    </w:p>
    <w:p>
      <w:pPr>
        <w:spacing w:after="0" w:line="74"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As a result of these lock-up and market stand-off agreements, and subject to the provisions of Rules 144 or 701,         shares of our Class A common stock will be available for sale in the public market as follows (assuming no exercise of outstanding stock options subsequent to June 30, 2025):</w:t>
      </w:r>
    </w:p>
    <w:p>
      <w:pPr>
        <w:spacing w:after="0" w:line="69" w:lineRule="exact"/>
        <w:rPr>
          <w:sz w:val="20"/>
          <w:szCs w:val="20"/>
          <w:color w:val="auto"/>
        </w:rPr>
      </w:pPr>
    </w:p>
    <w:p>
      <w:pPr>
        <w:ind w:left="220" w:right="160" w:hanging="216"/>
        <w:spacing w:after="0" w:line="269" w:lineRule="auto"/>
        <w:tabs>
          <w:tab w:leader="none" w:pos="2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beginning on the date of this prospectus, all shares of our Class A common stock sold in this offering will be eligible for immediate sale in the public market, unless purchased by our affiliates; and</w:t>
      </w:r>
    </w:p>
    <w:p>
      <w:pPr>
        <w:spacing w:after="0" w:line="69" w:lineRule="exact"/>
        <w:rPr>
          <w:rFonts w:ascii="Arial" w:cs="Arial" w:eastAsia="Arial" w:hAnsi="Arial"/>
          <w:sz w:val="14"/>
          <w:szCs w:val="14"/>
          <w:color w:val="auto"/>
        </w:rPr>
      </w:pPr>
    </w:p>
    <w:p>
      <w:pPr>
        <w:ind w:left="220" w:right="40" w:hanging="216"/>
        <w:spacing w:after="0" w:line="252" w:lineRule="auto"/>
        <w:tabs>
          <w:tab w:leader="none" w:pos="2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beginning 180 days after the date of this prospectus, 40,169,279 additional shares of Class A common stock (including 4,552,650 shares of Class A common stock issuable upon the conversion of outstanding Class B common stock) will become eligible for sale in the public market, of which        shares will be held by affiliates and subject to the volume, manner of sale, and other restrictions of Rule 144, as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In addition, after this offering, up to 4,623,888 shares of Class A common stock may be issued upon exercise of outstanding stock options as of June 30, 2025.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229</w:t>
      </w:r>
    </w:p>
    <w:p>
      <w:pPr>
        <w:sectPr>
          <w:pgSz w:w="11900" w:h="16838" w:orient="portrait"/>
          <w:cols w:equalWidth="0" w:num="1">
            <w:col w:w="11280"/>
          </w:cols>
          <w:pgMar w:left="300" w:top="385" w:right="3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60"/>
        <w:spacing w:after="0" w:line="252" w:lineRule="auto"/>
        <w:rPr>
          <w:sz w:val="20"/>
          <w:szCs w:val="20"/>
          <w:color w:val="auto"/>
        </w:rPr>
      </w:pPr>
      <w:r>
        <w:rPr>
          <w:rFonts w:ascii="Arial" w:cs="Arial" w:eastAsia="Arial" w:hAnsi="Arial"/>
          <w:sz w:val="14"/>
          <w:szCs w:val="14"/>
          <w:color w:val="auto"/>
        </w:rPr>
        <w:t>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and/or market stand-off arrangements described below, which prevent the sale of shares.</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shares on expiration of the lock-up agreements and/or market standoff arrangements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80" w:lineRule="exact"/>
        <w:rPr>
          <w:sz w:val="20"/>
          <w:szCs w:val="20"/>
          <w:color w:val="auto"/>
        </w:rPr>
      </w:pPr>
    </w:p>
    <w:p>
      <w:pPr>
        <w:ind w:left="220" w:right="120" w:hanging="219"/>
        <w:spacing w:after="0" w:line="269" w:lineRule="auto"/>
        <w:tabs>
          <w:tab w:leader="none" w:pos="200" w:val="left"/>
        </w:tabs>
        <w:rPr>
          <w:sz w:val="20"/>
          <w:szCs w:val="20"/>
          <w:color w:val="auto"/>
        </w:rPr>
      </w:pPr>
      <w:r>
        <w:rPr>
          <w:rFonts w:ascii="Arial" w:cs="Arial" w:eastAsia="Arial" w:hAnsi="Arial"/>
          <w:sz w:val="14"/>
          <w:szCs w:val="14"/>
          <w:color w:val="auto"/>
        </w:rPr>
        <w:t>•</w:t>
        <w:tab/>
        <w:t>1% of the number of shares of Class A common stock then outstanding, which will equal        shares immediately after this offering, assuming no exercise of the underwriters’ option to purchase additional shares of common stock from us; or</w:t>
      </w:r>
    </w:p>
    <w:p>
      <w:pPr>
        <w:spacing w:after="0" w:line="69" w:lineRule="exact"/>
        <w:rPr>
          <w:sz w:val="20"/>
          <w:szCs w:val="20"/>
          <w:color w:val="auto"/>
        </w:rPr>
      </w:pPr>
    </w:p>
    <w:p>
      <w:pPr>
        <w:ind w:left="220" w:hanging="216"/>
        <w:spacing w:after="0"/>
        <w:tabs>
          <w:tab w:leader="none" w:pos="2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112"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1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manner of sale limitations,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and market stand-off arrangements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11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We intend to file one or more registration statements on Form S-8 under the Securities Act with the SEC as soon as practicable after the time at which the registration statement of which this prospectus forms a part becomes effective to register the offer and sale of shares of our Class A common stock that are subject to outstanding stock options and Class A common stock issued or issuable under our employee benefit plans as defined in Form S-8. These registration statements will become effective immediately on filing. Shares covered by these registration statements will then be eligible for sale in the public markets, subject to vesting restrictions, any applicable lock-up agreements and/or market stand-off arrangements described below and Rule 144 limitations applicable to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 and market stand-off arrangements</w:t>
      </w:r>
    </w:p>
    <w:p>
      <w:pPr>
        <w:spacing w:after="0" w:line="115"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will agree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230</w:t>
      </w:r>
    </w:p>
    <w:p>
      <w:pPr>
        <w:sectPr>
          <w:pgSz w:w="11900" w:h="16838" w:orient="portrait"/>
          <w:cols w:equalWidth="0" w:num="1">
            <w:col w:w="11280"/>
          </w:cols>
          <w:pgMar w:left="300" w:top="385" w:right="3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SEC a registration statement under the Securities Act relating to any shares of our Class A common stock or securities convertible into or exchangeable or exercisable for any shares of our Class A common stock, or (ii) enter into any swap, hedging or other agreement that transfers, in whole or in part, any of the economic consequences of ownership of any shares of Class A common stock or any such other securities, or publicly disclose the intention to undertake any of the foregoing (regardless of whether any of these transactions are to be settled by the delivery of shares of Class A common stock or such other securities, in cash or otherwise), in each case without the prior written consent of J.P. Morgan Securities LLC for a period of 180 days after the date of this prospectus, other than the shares of our Class A common stock to be sold in this offering and certain other exceptions.</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Our directors and executive officers, and substantially all of our securityholders (such persons, the lock-up parties) have entered, or will enter, into lock-up agreements with the underwriters or are subject to market stand-off arrangements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or</w:t>
      </w:r>
    </w:p>
    <w:p>
      <w:pPr>
        <w:spacing w:after="0" w:line="3" w:lineRule="exact"/>
        <w:rPr>
          <w:sz w:val="20"/>
          <w:szCs w:val="20"/>
          <w:color w:val="auto"/>
        </w:rPr>
      </w:pPr>
    </w:p>
    <w:p>
      <w:pPr>
        <w:ind w:right="160" w:firstLine="4"/>
        <w:spacing w:after="0" w:line="241" w:lineRule="auto"/>
        <w:tabs>
          <w:tab w:leader="none" w:pos="19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enter into any hedging, swap or other agreement or transactions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lock-up securities, or (iv) publicly disclose the intention to do any of the foregoing.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0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Upon the completion of this offering, the holders of 37,706,613 shares of our Class A common stock or their permitted transferees (including, following the Class B Stock Exchange, shares of our Class A common stock issuable upon the conversion of shares of Class B common stock), will be entitled to certain rights with respect to the registration of the offer and sale of their shares under the Securities Act. All such shares are covered by lock-up agreements or market stand-off arrangements. Following the expiration of the lock-up and market stand-off period,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plans</w:t>
      </w:r>
    </w:p>
    <w:p>
      <w:pPr>
        <w:spacing w:after="0" w:line="105"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or market stand-off arrangements relating to the offering described above.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231</w:t>
      </w:r>
    </w:p>
    <w:p>
      <w:pPr>
        <w:sectPr>
          <w:pgSz w:w="11900" w:h="16838" w:orient="portrait"/>
          <w:cols w:equalWidth="0" w:num="1">
            <w:col w:w="11280"/>
          </w:cols>
          <w:pgMar w:left="300" w:top="386"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U.S. federal income tax consequences to non-U.S. holders of our Class A common stock</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following is a general discussion of the material U.S. federal income tax considerations applicable to non-U.S. holders (as defined below) with respect to their ownership and disposition of shares of our Class A common stock issued pursuant to this offering. All prospective non-U.S. holders of our Class A common stock should consult their tax advisors with respect to the U.S. federal, state, local and non-U.S. tax consequences of the purchase, ownership and disposition of our Class A common stock. For purposes of this discussion, a non-U.S. holder means a beneficial owner of our Class A common stock (other than an entity or arrangement that is treated as a partnership or pass-through entity for U.S. federal income tax purposes) that is not, for U.S. federal income tax purposes, any of the following:</w:t>
      </w:r>
    </w:p>
    <w:p>
      <w:pPr>
        <w:spacing w:after="0" w:line="87" w:lineRule="exact"/>
        <w:rPr>
          <w:sz w:val="20"/>
          <w:szCs w:val="20"/>
          <w:color w:val="auto"/>
        </w:rPr>
      </w:pPr>
    </w:p>
    <w:p>
      <w:pPr>
        <w:ind w:left="220" w:hanging="216"/>
        <w:spacing w:after="0"/>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an individual citizen or resident of the United States;</w:t>
      </w:r>
    </w:p>
    <w:p>
      <w:pPr>
        <w:spacing w:after="0" w:line="111" w:lineRule="exact"/>
        <w:rPr>
          <w:rFonts w:ascii="Arial" w:cs="Arial" w:eastAsia="Arial" w:hAnsi="Arial"/>
          <w:sz w:val="14"/>
          <w:szCs w:val="14"/>
          <w:color w:val="auto"/>
        </w:rPr>
      </w:pPr>
    </w:p>
    <w:p>
      <w:pPr>
        <w:ind w:left="220" w:right="180" w:hanging="216"/>
        <w:spacing w:after="0" w:line="269" w:lineRule="auto"/>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the United States or under the laws of the United States, any state thereof or the District of Columbia;</w:t>
      </w:r>
    </w:p>
    <w:p>
      <w:pPr>
        <w:spacing w:after="0" w:line="69" w:lineRule="exact"/>
        <w:rPr>
          <w:rFonts w:ascii="Arial" w:cs="Arial" w:eastAsia="Arial" w:hAnsi="Arial"/>
          <w:sz w:val="14"/>
          <w:szCs w:val="14"/>
          <w:color w:val="auto"/>
        </w:rPr>
      </w:pPr>
    </w:p>
    <w:p>
      <w:pPr>
        <w:ind w:left="220" w:hanging="216"/>
        <w:spacing w:after="0"/>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an estate, the income of which is includable in gross income for U.S. federal income tax purposes regardless of its source; or</w:t>
      </w:r>
    </w:p>
    <w:p>
      <w:pPr>
        <w:spacing w:after="0" w:line="111" w:lineRule="exact"/>
        <w:rPr>
          <w:rFonts w:ascii="Arial" w:cs="Arial" w:eastAsia="Arial" w:hAnsi="Arial"/>
          <w:sz w:val="14"/>
          <w:szCs w:val="14"/>
          <w:color w:val="auto"/>
        </w:rPr>
      </w:pPr>
    </w:p>
    <w:p>
      <w:pPr>
        <w:ind w:left="220" w:right="80" w:hanging="216"/>
        <w:spacing w:after="0" w:line="252" w:lineRule="auto"/>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 trust if (1) a court within the United States is able to exercise primary supervision over the administration of the trust and one or more “U.S. persons,” as defined under the Code (as defined below), have the authority to control all substantial decisions of the trust or (2) such trust has made a valid election to be treated as a U.S. person for U.S. federal income tax purposes.</w:t>
      </w:r>
    </w:p>
    <w:p>
      <w:pPr>
        <w:spacing w:after="0" w:line="80"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This discussion is based on current provisions of the Internal Revenue Code of 1986, as amended (the Code), existing, temporary and proposed U.S. treasury regulations promulgated thereunder (Treasury Regulations), judicial opinions, published positions of the Internal Revenue Service (the IRS), and other applicable authorities, all of which are subject to change or to differing interpretation, possibly with retroactive effect. Any change could alter the tax consequences to non-U.S. holders described in this prospectus. This discussion assumes that a non-U.S. holder holds shares of our Class A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tax consequences (such as gift or estate taxes) other than income taxes, any U.S. alternative minimum taxes, the impact of special tax accounting rules under Section 451(b) of the Internal Revenue Code of 1986, as amended (the Code), or any state, local or non-U.S. taxes. This discussion may not apply, in whole or in part, to particular non-U.S. holders in light of their individual circumstances or to holders subject to special treatment under the U.S. federal income tax laws (such as taxpayers that have elected mark-to-market accounting, insurance companies, tax-exempt organizations, government organizations, tax-qualified retirement plans, financial institutions, brokers or dealers in securities, pension plans,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non-U.S. holders that hold our Class A common stock as part of a straddle, hedge, conversion transaction, synthetic security or other integrated investment, holders who own, actually or constructively, more than 5% of our Class A common stock, certain former U.S. citizens or long-term residents, and persons who acquire our Class A common stock through the exercise of an option or otherwise as compensation).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232</w:t>
      </w:r>
    </w:p>
    <w:p>
      <w:pPr>
        <w:sectPr>
          <w:pgSz w:w="11900" w:h="16838" w:orient="portrait"/>
          <w:cols w:equalWidth="0" w:num="1">
            <w:col w:w="11280"/>
          </w:cols>
          <w:pgMar w:left="300" w:top="386"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If a partnership (or other entity or arrangement treated as a partnership for U.S. federal income tax purposes) holds our Class A common stock, the tax treatment of a partner (or equivalent) therein will generally depend on the status of the partner and the activities of the partnership. Partners of a partnership holding our Class A common stock should consult their tax advisor as to the particular U.S. federal income tax consequences applicable to them.</w:t>
      </w:r>
    </w:p>
    <w:p>
      <w:pPr>
        <w:spacing w:after="0" w:line="70" w:lineRule="exact"/>
        <w:rPr>
          <w:sz w:val="20"/>
          <w:szCs w:val="20"/>
          <w:color w:val="auto"/>
        </w:rPr>
      </w:pPr>
    </w:p>
    <w:p>
      <w:pPr>
        <w:ind w:right="620"/>
        <w:spacing w:after="0" w:line="269" w:lineRule="auto"/>
        <w:rPr>
          <w:sz w:val="20"/>
          <w:szCs w:val="20"/>
          <w:color w:val="auto"/>
        </w:rPr>
      </w:pPr>
      <w:r>
        <w:rPr>
          <w:rFonts w:ascii="Arial" w:cs="Arial" w:eastAsia="Arial" w:hAnsi="Arial"/>
          <w:sz w:val="14"/>
          <w:szCs w:val="14"/>
          <w:color w:val="auto"/>
        </w:rPr>
        <w:t>We have not sought and will not seek any ruling from the IRS with respect to the statements made and the conclusions reached in the following discussion. There can be no assurance that the IRS will not challenge one or more of the tax consequences described herein, or that any such challenge would not be sustained by a court.</w:t>
      </w:r>
    </w:p>
    <w:p>
      <w:pPr>
        <w:spacing w:after="0" w:line="69"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b w:val="1"/>
          <w:bCs w:val="1"/>
          <w:color w:val="auto"/>
        </w:rPr>
        <w:t>THIS SUMMARY IS FOR GENERAL INFORMATION ONLY AND IS NOT INTENDED TO CONSTITUTE A COMPLETE DESCRIPTION OF ALL TAX CONSEQUENCES FOR NON-U.S. HOLDERS RELATING TO THE OWNERSHIP AND DISPOSITION OF OUR CLASS A COMMON STOCK. PROSPECTIVE HOLDERS OF OUR CLASS A COMMON STOCK SHOULD CONSULT WITH THEIR TAX ADVISORS REGARDING THE TAX CONSEQUENCES TO THEM (INCLUDING THE APPLICATION AND EFFECT OF ANY FEDERAL, STATE, LOCAL, AND NON-U.S. TAX LAWS) OF THE OWNERSHIP AND DISPOSITION OF OUR CLASS A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15"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As discussed in the section titled “Dividend policy,” we do not expect to declare or make any distributions on our Class A common stock in the foreseeable future. If we do pay dividends on shares of our Class A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excess will be treated as capital gain and such gain will be subject to the treatment described below under the section titled “—Gain on sale or other disposition of Class A common stock.” Any such distributions will also be subject to the discussion below under the section titled “—Backup withholding and information reporting” and “—Foreign account tax compliance act.”</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Any dividend paid to a non-U.S. holder on our Class A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Generally, in order for the applicable withholding agent to withhold tax at a lower treaty rate, a non-U.S. holder must certify its entitlement to treaty benefits. A non-U.S. holder generally can meet this certification requirement by providing an IRS Form W-8BEN, W-8BEN-E or other appropriate IRS W-8 form (or any successor or substitute form thereof) to the applicable withholding agent. If the non-U.S. holder holds the stock through a financial institution or other agent acting on the holder’s behalf, the holder will be required to provide appropriate documentation to the holder’s agent. The holder’s agent will then be required to provide certification to the applicable withholding agent, either directly or through other intermediaries. Any such certifications provided to an applicable withholding agent or intermediary must be updated periodically. If you are eligible for a reduced rate of U.S. federal withholding tax under an income tax treaty, you may generally obtain a refund or credit of any excess amounts withheld by filing an appropriate claim for a refund with the IRS in a timely manner.</w:t>
      </w:r>
    </w:p>
    <w:p>
      <w:pPr>
        <w:spacing w:after="0" w:line="9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Dividends received by a non-U.S. holder that are effectively connected with a U.S. trade or business conducted by the non-U.S. holder, and if required by an applicable income tax treaty between the United States and the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233</w:t>
      </w:r>
    </w:p>
    <w:p>
      <w:pPr>
        <w:sectPr>
          <w:pgSz w:w="11900" w:h="16838" w:orient="portrait"/>
          <w:cols w:equalWidth="0" w:num="1">
            <w:col w:w="11260"/>
          </w:cols>
          <w:pgMar w:left="300" w:top="385"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non-U.S. holder’s country of residence, are attributable to a permanent establishment or fixed base maintained by the non-U.S. holder in the United States, are not subject to U.S. withholding tax. To obtain this exemption, a non-U.S. holder must provide the applicable withholding agent with an IRS Form W-8ECI (or any successor or substitute form thereof) properly certifying such exemption, and periodically update such certification. Such effectively connected dividends, although not subject to withholding tax, are taxed at the same U.S. federal income tax rates applicable to U.S. persons, net of certain deductions and credits. In addition to being taxed at U.S. federal income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sale or other disposition of Class A common stock</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Subject to the discussion below under the section titled “—Backup withholding and information reporting” and “—Foreign Account Tax Compliance Act,” non-U.S. holders will generally not be subject to U.S. federal income tax on any gains realized on the sale, exchange or other disposition of our Class A common stock unless:</w:t>
      </w:r>
    </w:p>
    <w:p>
      <w:pPr>
        <w:spacing w:after="0" w:line="69" w:lineRule="exact"/>
        <w:rPr>
          <w:sz w:val="20"/>
          <w:szCs w:val="20"/>
          <w:color w:val="auto"/>
        </w:rPr>
      </w:pPr>
    </w:p>
    <w:p>
      <w:pPr>
        <w:ind w:left="220" w:right="100" w:hanging="216"/>
        <w:spacing w:after="0" w:line="252" w:lineRule="auto"/>
        <w:tabs>
          <w:tab w:leader="none" w:pos="2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fixed base maintained by the non-U.S. holder in the United States (in which case the special rules described below apply);</w:t>
      </w:r>
    </w:p>
    <w:p>
      <w:pPr>
        <w:spacing w:after="0" w:line="80" w:lineRule="exact"/>
        <w:rPr>
          <w:rFonts w:ascii="Arial" w:cs="Arial" w:eastAsia="Arial" w:hAnsi="Arial"/>
          <w:sz w:val="14"/>
          <w:szCs w:val="14"/>
          <w:color w:val="auto"/>
        </w:rPr>
      </w:pPr>
    </w:p>
    <w:p>
      <w:pPr>
        <w:ind w:left="220" w:right="120" w:hanging="216"/>
        <w:spacing w:after="0" w:line="246" w:lineRule="auto"/>
        <w:tabs>
          <w:tab w:leader="none" w:pos="2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183 days or more in the taxable year of the sale, exchange or other disposition of our Class A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provided that the non-U.S. Holder has timely filed U.S. federal income tax returns with respect to such losses; or</w:t>
      </w:r>
    </w:p>
    <w:p>
      <w:pPr>
        <w:spacing w:after="0" w:line="84" w:lineRule="exact"/>
        <w:rPr>
          <w:rFonts w:ascii="Arial" w:cs="Arial" w:eastAsia="Arial" w:hAnsi="Arial"/>
          <w:sz w:val="14"/>
          <w:szCs w:val="14"/>
          <w:color w:val="auto"/>
        </w:rPr>
      </w:pPr>
    </w:p>
    <w:p>
      <w:pPr>
        <w:ind w:left="220" w:hanging="216"/>
        <w:spacing w:after="0"/>
        <w:tabs>
          <w:tab w:leader="none" w:pos="2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rules of the Foreign Investment in Real Property Tax Act (FIRPTA), treat the gain as effectively connected with a U.S. trade or business.</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The FIRPTA rules may apply to a sale, exchange or other disposition of our Class A common stock if we are, or were within the shorter of the five-year period preceding the disposition and the non-U.S. holder’s holding period, a U.S. real property holding corporation, or USRPHC. In general, we would be a USRPHC if interests in U.S. real property comprised at least half of the value of our worldwide real property and our other assets held for use in a trade or business. Although there can be no assurances, 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are or were to become a USRPHC gain arising from the sale or other taxable disposition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 If the foregoing exception does not apply, and we are a USRPHC, a Non-U.S. Holder’s proceeds received on the disposition of our Class A common stock will generally be subject to withholding at a rate of 15%. No assurances can be provided that our Class A common stock will be regularly traded on an established securities market for the purposes of the rule described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234</w:t>
      </w:r>
    </w:p>
    <w:p>
      <w:pPr>
        <w:sectPr>
          <w:pgSz w:w="11900" w:h="16838" w:orient="portrait"/>
          <w:cols w:equalWidth="0" w:num="1">
            <w:col w:w="11280"/>
          </w:cols>
          <w:pgMar w:left="300" w:top="385"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If any gain from the sale, exchange or other disposition of our Class A common stock, (1) is effectively connected with a U.S. trade or business conducted by a non-U.S. holder and</w:t>
      </w:r>
    </w:p>
    <w:p>
      <w:pPr>
        <w:spacing w:after="0" w:line="10" w:lineRule="exact"/>
        <w:rPr>
          <w:sz w:val="20"/>
          <w:szCs w:val="20"/>
          <w:color w:val="auto"/>
        </w:rPr>
      </w:pPr>
    </w:p>
    <w:p>
      <w:pPr>
        <w:ind w:right="60" w:firstLine="4"/>
        <w:spacing w:after="0" w:line="238" w:lineRule="auto"/>
        <w:tabs>
          <w:tab w:leader="none" w:pos="21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if required by an applicable income tax treaty between the United States and the non-U.S. holder’s country of residence, is attributable to a permanent establishment or fixed maintained by such non-U.S. holder in the United States, then the gain generally will be subject to U.S. federal income tax at the same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5"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The applicable withholding agent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Dividends paid to non-U.S. holders subject to withholding of U.S. federal income tax, as described above under the section titled “—Dividends,” will generally be exempt from U.S. backup withholding.</w:t>
      </w:r>
    </w:p>
    <w:p>
      <w:pPr>
        <w:spacing w:after="0" w:line="77"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A non-U.S. holder will generally be subject to backup withholding for dividends on our Class A common stock paid to such holder unless such holder certifies under penalties of perjury that, among other things, it is a non-U.S. holder (and the payer does not have actual knowledge or reason to know that such holder is a U.S. person), generally on a properly executed IRS Form W-8BEN or W-8BEN-E or other appropriate IRS Form W-8 (or any successor or substitute form thereof), or otherwise establishes an exemption.</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Information reporting and backup withholding generally are not required with respect to the amount of any proceeds from the sale or other disposition of our Class A common stock by a non-U.S. holder outside the United States through a foreign office of a foreign broker that does not have certain specified connections to the United States. However, if a non-U.S. holder sells or otherwise disposes of its shares of Class A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77" w:lineRule="exact"/>
        <w:rPr>
          <w:sz w:val="20"/>
          <w:szCs w:val="20"/>
          <w:color w:val="auto"/>
        </w:rPr>
      </w:pPr>
    </w:p>
    <w:p>
      <w:pPr>
        <w:ind w:right="360"/>
        <w:spacing w:after="0" w:line="252"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 act</w:t>
      </w:r>
    </w:p>
    <w:p>
      <w:pPr>
        <w:spacing w:after="0" w:line="105"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Foreign Account Tax Compliance Act (FATCA), a withholding tax of 30% applies to certain payments to foreign financial institutions, including investment funds, and certain other non-U.S. entities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235</w:t>
      </w:r>
    </w:p>
    <w:p>
      <w:pPr>
        <w:sectPr>
          <w:pgSz w:w="11900" w:h="16838" w:orient="portrait"/>
          <w:cols w:equalWidth="0" w:num="1">
            <w:col w:w="11280"/>
          </w:cols>
          <w:pgMar w:left="300" w:top="385" w:right="31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if any, on, and, subject to the proposed Treasury Regulations discussed below, gross proceeds from the sale or other disposition of our Class A common stock. An intergovernmental agreement between the United States and a foreign country may modify the requirements described in this paragraph.</w:t>
      </w:r>
    </w:p>
    <w:p>
      <w:pPr>
        <w:spacing w:after="0" w:line="5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While, beginning on January 1, 2019, withholding under FATCA would have applied also to payments of gross proceeds from the sale or other disposition of our Class A common stock, proposed Treasury Regulations eliminate FATCA withholding on payments of gross proceeds entirely. Taxpayers (including applicable withholding agents) generally may rely on these proposed Treasury Regulations until final Treasury Regulations are issued.</w:t>
      </w:r>
    </w:p>
    <w:p>
      <w:pPr>
        <w:spacing w:after="0" w:line="80"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If withholding under FATCA is required on any payment related to our Class A common stock, investors not otherwise subject to withholding (or that otherwise would be entitled to a reduced rate of withholding) on such payment may be required to seek a refund or credit from the IRS.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Prospective investors are encouraged to consult with their own tax advisors regarding the possible implications of FATCA on their investment in our Class A common stock.</w:t>
      </w:r>
    </w:p>
    <w:p>
      <w:pPr>
        <w:spacing w:after="0" w:line="101"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b w:val="1"/>
          <w:bCs w:val="1"/>
          <w:color w:val="auto"/>
        </w:rPr>
        <w:t>THE PRECEDING DISCUSSION OF U.S. FEDERAL TAX CONSIDERATIONS IS FOR GENERAL INFORMATION PURPOSES ONLY. IT IS NOT LEGAL OR TAX ADVICE. EACH PROSPECTIVE INVESTOR SHOULD CONSULT ITS OWN TAX ADVISOR REGARDING THE PARTICULAR U.S. FEDERAL, STATE, LOCAL, AND NON-U.S. TAX CONSEQUENCES OF PURCHASING, HOLDING, AND DISPOSING OF OUR COMMON STOCK, INCLUDING THE CONSEQUENCES OF ANY PROPOSED CHANGE IN APPLICABLE LAWS.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236</w:t>
      </w:r>
    </w:p>
    <w:p>
      <w:pPr>
        <w:sectPr>
          <w:pgSz w:w="11900" w:h="16838" w:orient="portrait"/>
          <w:cols w:equalWidth="0" w:num="1">
            <w:col w:w="11280"/>
          </w:cols>
          <w:pgMar w:left="300" w:top="385" w:right="3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w:t>
      </w:r>
    </w:p>
    <w:p>
      <w:pPr>
        <w:spacing w:after="0" w:line="12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are offering the shares of Class A common stock described in this prospectus through a number of underwriters. J.P. Morgan Securities LLC, Piper Sandler &amp; Co., Jefferies LLC and William Blair &amp;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7162800" cy="133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700" w:type="dxa"/>
            <w:vAlign w:val="bottom"/>
            <w:tcBorders>
              <w:bottom w:val="single" w:sz="8" w:color="auto"/>
            </w:tcBorders>
            <w:gridSpan w:val="2"/>
          </w:tcPr>
          <w:p>
            <w:pPr>
              <w:jc w:val="center"/>
              <w:ind w:left="434"/>
              <w:spacing w:after="0"/>
              <w:rPr>
                <w:sz w:val="20"/>
                <w:szCs w:val="20"/>
                <w:color w:val="auto"/>
              </w:rPr>
            </w:pPr>
            <w:r>
              <w:rPr>
                <w:rFonts w:ascii="Arial" w:cs="Arial" w:eastAsia="Arial" w:hAnsi="Arial"/>
                <w:sz w:val="13"/>
                <w:szCs w:val="13"/>
                <w:b w:val="1"/>
                <w:bCs w:val="1"/>
                <w:color w:val="auto"/>
                <w:w w:val="97"/>
              </w:rPr>
              <w:t>Number of shares</w:t>
            </w:r>
          </w:p>
        </w:tc>
      </w:tr>
      <w:tr>
        <w:trPr>
          <w:trHeight w:val="148"/>
        </w:trPr>
        <w:tc>
          <w:tcPr>
            <w:tcW w:w="958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J.P. Morgan Securities LLC</w:t>
            </w:r>
          </w:p>
        </w:tc>
        <w:tc>
          <w:tcPr>
            <w:tcW w:w="164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r>
      <w:tr>
        <w:trPr>
          <w:trHeight w:val="157"/>
        </w:trPr>
        <w:tc>
          <w:tcPr>
            <w:tcW w:w="9580" w:type="dxa"/>
            <w:vAlign w:val="bottom"/>
          </w:tcPr>
          <w:p>
            <w:pPr>
              <w:spacing w:after="0" w:line="157" w:lineRule="exact"/>
              <w:rPr>
                <w:sz w:val="20"/>
                <w:szCs w:val="20"/>
                <w:color w:val="auto"/>
              </w:rPr>
            </w:pPr>
            <w:r>
              <w:rPr>
                <w:rFonts w:ascii="Arial" w:cs="Arial" w:eastAsia="Arial" w:hAnsi="Arial"/>
                <w:sz w:val="14"/>
                <w:szCs w:val="14"/>
                <w:color w:val="auto"/>
              </w:rPr>
              <w:t>Piper Sandler &amp; Co.</w:t>
            </w: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5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Jefferies LLC</w:t>
            </w:r>
          </w:p>
        </w:tc>
        <w:tc>
          <w:tcPr>
            <w:tcW w:w="164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r>
      <w:tr>
        <w:trPr>
          <w:trHeight w:val="157"/>
        </w:trPr>
        <w:tc>
          <w:tcPr>
            <w:tcW w:w="9580" w:type="dxa"/>
            <w:vAlign w:val="bottom"/>
          </w:tcPr>
          <w:p>
            <w:pPr>
              <w:spacing w:after="0" w:line="157" w:lineRule="exact"/>
              <w:rPr>
                <w:sz w:val="20"/>
                <w:szCs w:val="20"/>
                <w:color w:val="auto"/>
              </w:rPr>
            </w:pPr>
            <w:r>
              <w:rPr>
                <w:rFonts w:ascii="Arial" w:cs="Arial" w:eastAsia="Arial" w:hAnsi="Arial"/>
                <w:sz w:val="14"/>
                <w:szCs w:val="14"/>
                <w:color w:val="auto"/>
              </w:rPr>
              <w:t>William Blair &amp; Company, L.L.C.</w:t>
            </w: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5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Stifel, Nicolaus &amp; Company, Incorporated</w:t>
            </w:r>
          </w:p>
        </w:tc>
        <w:tc>
          <w:tcPr>
            <w:tcW w:w="164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r>
      <w:tr>
        <w:trPr>
          <w:trHeight w:val="157"/>
        </w:trPr>
        <w:tc>
          <w:tcPr>
            <w:tcW w:w="9580" w:type="dxa"/>
            <w:vAlign w:val="bottom"/>
          </w:tcPr>
          <w:p>
            <w:pPr>
              <w:spacing w:after="0" w:line="157" w:lineRule="exact"/>
              <w:rPr>
                <w:sz w:val="20"/>
                <w:szCs w:val="20"/>
                <w:color w:val="auto"/>
              </w:rPr>
            </w:pPr>
            <w:r>
              <w:rPr>
                <w:rFonts w:ascii="Arial" w:cs="Arial" w:eastAsia="Arial" w:hAnsi="Arial"/>
                <w:sz w:val="14"/>
                <w:szCs w:val="14"/>
                <w:color w:val="auto"/>
              </w:rPr>
              <w:t>Wells Fargo Securities, LLC</w:t>
            </w: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9580" w:type="dxa"/>
            <w:vAlign w:val="bottom"/>
            <w:shd w:val="clear" w:color="auto" w:fill="E5E5E5"/>
          </w:tcPr>
          <w:p>
            <w:pPr>
              <w:spacing w:after="0" w:line="157" w:lineRule="exact"/>
              <w:rPr>
                <w:sz w:val="20"/>
                <w:szCs w:val="20"/>
                <w:color w:val="auto"/>
              </w:rPr>
            </w:pPr>
            <w:r>
              <w:rPr>
                <w:rFonts w:ascii="Arial" w:cs="Arial" w:eastAsia="Arial" w:hAnsi="Arial"/>
                <w:sz w:val="14"/>
                <w:szCs w:val="14"/>
                <w:color w:val="auto"/>
              </w:rPr>
              <w:t>BTIG, LLC</w:t>
            </w:r>
          </w:p>
        </w:tc>
        <w:tc>
          <w:tcPr>
            <w:tcW w:w="1700" w:type="dxa"/>
            <w:vAlign w:val="bottom"/>
            <w:gridSpan w:val="2"/>
            <w:shd w:val="clear" w:color="auto" w:fill="E5E5E5"/>
          </w:tcPr>
          <w:p>
            <w:pPr>
              <w:jc w:val="center"/>
              <w:ind w:left="414"/>
              <w:spacing w:after="0" w:line="157" w:lineRule="exact"/>
              <w:rPr>
                <w:sz w:val="20"/>
                <w:szCs w:val="20"/>
                <w:color w:val="auto"/>
              </w:rPr>
            </w:pPr>
            <w:r>
              <w:rPr>
                <w:rFonts w:ascii="Arial" w:cs="Arial" w:eastAsia="Arial" w:hAnsi="Arial"/>
                <w:sz w:val="14"/>
                <w:szCs w:val="14"/>
                <w:color w:val="auto"/>
              </w:rPr>
              <w:t xml:space="preserve">                   </w:t>
            </w:r>
          </w:p>
        </w:tc>
      </w:tr>
      <w:tr>
        <w:trPr>
          <w:trHeight w:val="171"/>
        </w:trPr>
        <w:tc>
          <w:tcPr>
            <w:tcW w:w="9580" w:type="dxa"/>
            <w:vAlign w:val="bottom"/>
          </w:tcPr>
          <w:p>
            <w:pPr>
              <w:spacing w:after="0"/>
              <w:rPr>
                <w:sz w:val="20"/>
                <w:szCs w:val="20"/>
                <w:color w:val="auto"/>
              </w:rPr>
            </w:pPr>
            <w:r>
              <w:rPr>
                <w:rFonts w:ascii="Arial" w:cs="Arial" w:eastAsia="Arial" w:hAnsi="Arial"/>
                <w:sz w:val="14"/>
                <w:szCs w:val="14"/>
                <w:color w:val="auto"/>
              </w:rPr>
              <w:t>Total</w:t>
            </w:r>
          </w:p>
        </w:tc>
        <w:tc>
          <w:tcPr>
            <w:tcW w:w="1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1644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16445" cy="6350"/>
                    </a:xfrm>
                    <a:prstGeom prst="rect">
                      <a:avLst/>
                    </a:prstGeom>
                    <a:noFill/>
                  </pic:spPr>
                </pic:pic>
              </a:graphicData>
            </a:graphic>
          </wp:anchor>
        </w:drawing>
      </w:r>
    </w:p>
    <w:p>
      <w:pPr>
        <w:spacing w:after="0" w:line="236"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The underwriters are committed to purchase all the shares of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underwriters propose to offer the shares of Class A common stock directly to the public at the initial public offering price set forth on the cover page of this prospectus and to certain dealers at 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74"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85" w:lineRule="exact"/>
        <w:rPr>
          <w:sz w:val="20"/>
          <w:szCs w:val="20"/>
          <w:color w:val="auto"/>
        </w:rPr>
      </w:pPr>
    </w:p>
    <w:p>
      <w:pPr>
        <w:jc w:val="both"/>
        <w:ind w:right="140"/>
        <w:spacing w:after="0" w:line="252" w:lineRule="auto"/>
        <w:rPr>
          <w:sz w:val="20"/>
          <w:szCs w:val="20"/>
          <w:color w:val="auto"/>
        </w:rPr>
      </w:pPr>
      <w:r>
        <w:rPr>
          <w:rFonts w:ascii="Arial" w:cs="Arial" w:eastAsia="Arial" w:hAnsi="Arial"/>
          <w:sz w:val="14"/>
          <w:szCs w:val="14"/>
          <w:color w:val="auto"/>
        </w:rPr>
        <w:t>The underwriting fee is equal to the public offering price per share of Class A common stock less the amount paid by the underwriters to us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237</w:t>
      </w:r>
    </w:p>
    <w:p>
      <w:pPr>
        <w:sectPr>
          <w:pgSz w:w="11900" w:h="16838" w:orient="portrait"/>
          <w:cols w:equalWidth="0" w:num="1">
            <w:col w:w="11280"/>
          </w:cols>
          <w:pgMar w:left="300" w:top="385"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7162800" cy="133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60" w:type="dxa"/>
            <w:vAlign w:val="bottom"/>
          </w:tcPr>
          <w:p>
            <w:pPr>
              <w:jc w:val="right"/>
              <w:ind w:right="135"/>
              <w:spacing w:after="0"/>
              <w:rPr>
                <w:sz w:val="20"/>
                <w:szCs w:val="20"/>
                <w:color w:val="auto"/>
              </w:rPr>
            </w:pPr>
            <w:r>
              <w:rPr>
                <w:rFonts w:ascii="Arial" w:cs="Arial" w:eastAsia="Arial" w:hAnsi="Arial"/>
                <w:sz w:val="13"/>
                <w:szCs w:val="13"/>
                <w:b w:val="1"/>
                <w:bCs w:val="1"/>
                <w:color w:val="auto"/>
              </w:rPr>
              <w:t>Without option to</w:t>
            </w:r>
          </w:p>
        </w:tc>
        <w:tc>
          <w:tcPr>
            <w:tcW w:w="4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With full option to</w:t>
            </w:r>
          </w:p>
        </w:tc>
      </w:tr>
      <w:tr>
        <w:trPr>
          <w:trHeight w:val="147"/>
        </w:trPr>
        <w:tc>
          <w:tcPr>
            <w:tcW w:w="4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60" w:type="dxa"/>
            <w:vAlign w:val="bottom"/>
          </w:tcPr>
          <w:p>
            <w:pPr>
              <w:jc w:val="right"/>
              <w:ind w:right="135"/>
              <w:spacing w:after="0" w:line="147" w:lineRule="exact"/>
              <w:rPr>
                <w:sz w:val="20"/>
                <w:szCs w:val="20"/>
                <w:color w:val="auto"/>
              </w:rPr>
            </w:pPr>
            <w:r>
              <w:rPr>
                <w:rFonts w:ascii="Arial" w:cs="Arial" w:eastAsia="Arial" w:hAnsi="Arial"/>
                <w:sz w:val="13"/>
                <w:szCs w:val="13"/>
                <w:b w:val="1"/>
                <w:bCs w:val="1"/>
                <w:color w:val="auto"/>
              </w:rPr>
              <w:t>purchase additional</w:t>
            </w:r>
          </w:p>
        </w:tc>
        <w:tc>
          <w:tcPr>
            <w:tcW w:w="460" w:type="dxa"/>
            <w:vAlign w:val="bottom"/>
          </w:tcPr>
          <w:p>
            <w:pPr>
              <w:spacing w:after="0"/>
              <w:rPr>
                <w:sz w:val="12"/>
                <w:szCs w:val="12"/>
                <w:color w:val="auto"/>
              </w:rPr>
            </w:pPr>
          </w:p>
        </w:tc>
        <w:tc>
          <w:tcPr>
            <w:tcW w:w="14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purchase additional</w:t>
            </w:r>
          </w:p>
        </w:tc>
      </w:tr>
      <w:tr>
        <w:trPr>
          <w:trHeight w:val="157"/>
        </w:trPr>
        <w:tc>
          <w:tcPr>
            <w:tcW w:w="40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shares exercise</w:t>
            </w: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 exercise</w:t>
            </w:r>
          </w:p>
        </w:tc>
      </w:tr>
      <w:tr>
        <w:trPr>
          <w:trHeight w:val="148"/>
        </w:trPr>
        <w:tc>
          <w:tcPr>
            <w:tcW w:w="408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Per share</w:t>
            </w:r>
          </w:p>
        </w:tc>
        <w:tc>
          <w:tcPr>
            <w:tcW w:w="3740" w:type="dxa"/>
            <w:vAlign w:val="bottom"/>
            <w:shd w:val="clear" w:color="auto" w:fill="E5E5E5"/>
          </w:tcPr>
          <w:p>
            <w:pPr>
              <w:jc w:val="right"/>
              <w:ind w:right="110"/>
              <w:spacing w:after="0" w:line="148" w:lineRule="exact"/>
              <w:rPr>
                <w:sz w:val="20"/>
                <w:szCs w:val="20"/>
                <w:color w:val="auto"/>
              </w:rPr>
            </w:pPr>
            <w:r>
              <w:rPr>
                <w:rFonts w:ascii="Arial" w:cs="Arial" w:eastAsia="Arial" w:hAnsi="Arial"/>
                <w:sz w:val="14"/>
                <w:szCs w:val="14"/>
                <w:color w:val="auto"/>
              </w:rPr>
              <w:t>$</w:t>
            </w:r>
          </w:p>
        </w:tc>
        <w:tc>
          <w:tcPr>
            <w:tcW w:w="1560" w:type="dxa"/>
            <w:vAlign w:val="bottom"/>
            <w:shd w:val="clear" w:color="auto" w:fill="E5E5E5"/>
          </w:tcPr>
          <w:p>
            <w:pPr>
              <w:jc w:val="right"/>
              <w:ind w:right="275"/>
              <w:spacing w:after="0" w:line="148" w:lineRule="exact"/>
              <w:rPr>
                <w:sz w:val="20"/>
                <w:szCs w:val="20"/>
                <w:color w:val="auto"/>
              </w:rPr>
            </w:pPr>
            <w:r>
              <w:rPr>
                <w:rFonts w:ascii="Arial" w:cs="Arial" w:eastAsia="Arial" w:hAnsi="Arial"/>
                <w:sz w:val="14"/>
                <w:szCs w:val="14"/>
                <w:color w:val="auto"/>
              </w:rPr>
              <w:t xml:space="preserve">                   </w:t>
            </w:r>
          </w:p>
        </w:tc>
        <w:tc>
          <w:tcPr>
            <w:tcW w:w="460" w:type="dxa"/>
            <w:vAlign w:val="bottom"/>
            <w:shd w:val="clear" w:color="auto" w:fill="E5E5E5"/>
          </w:tcPr>
          <w:p>
            <w:pPr>
              <w:jc w:val="right"/>
              <w:ind w:right="110"/>
              <w:spacing w:after="0" w:line="148" w:lineRule="exact"/>
              <w:rPr>
                <w:sz w:val="20"/>
                <w:szCs w:val="20"/>
                <w:color w:val="auto"/>
              </w:rPr>
            </w:pPr>
            <w:r>
              <w:rPr>
                <w:rFonts w:ascii="Arial" w:cs="Arial" w:eastAsia="Arial" w:hAnsi="Arial"/>
                <w:sz w:val="14"/>
                <w:szCs w:val="14"/>
                <w:color w:val="auto"/>
              </w:rPr>
              <w:t>$</w:t>
            </w:r>
          </w:p>
        </w:tc>
        <w:tc>
          <w:tcPr>
            <w:tcW w:w="1440" w:type="dxa"/>
            <w:vAlign w:val="bottom"/>
            <w:shd w:val="clear" w:color="auto" w:fill="E5E5E5"/>
          </w:tcPr>
          <w:p>
            <w:pPr>
              <w:jc w:val="right"/>
              <w:ind w:right="135"/>
              <w:spacing w:after="0" w:line="148" w:lineRule="exact"/>
              <w:rPr>
                <w:sz w:val="20"/>
                <w:szCs w:val="20"/>
                <w:color w:val="auto"/>
              </w:rPr>
            </w:pPr>
            <w:r>
              <w:rPr>
                <w:rFonts w:ascii="Arial" w:cs="Arial" w:eastAsia="Arial" w:hAnsi="Arial"/>
                <w:sz w:val="14"/>
                <w:szCs w:val="14"/>
                <w:color w:val="auto"/>
              </w:rPr>
              <w:t xml:space="preserve">                   </w:t>
            </w:r>
          </w:p>
        </w:tc>
      </w:tr>
      <w:tr>
        <w:trPr>
          <w:trHeight w:val="185"/>
        </w:trPr>
        <w:tc>
          <w:tcPr>
            <w:tcW w:w="4080" w:type="dxa"/>
            <w:vAlign w:val="bottom"/>
          </w:tcPr>
          <w:p>
            <w:pPr>
              <w:spacing w:after="0"/>
              <w:rPr>
                <w:sz w:val="20"/>
                <w:szCs w:val="20"/>
                <w:color w:val="auto"/>
              </w:rPr>
            </w:pPr>
            <w:r>
              <w:rPr>
                <w:rFonts w:ascii="Arial" w:cs="Arial" w:eastAsia="Arial" w:hAnsi="Arial"/>
                <w:sz w:val="14"/>
                <w:szCs w:val="14"/>
                <w:color w:val="auto"/>
              </w:rPr>
              <w:t>Total</w:t>
            </w:r>
          </w:p>
        </w:tc>
        <w:tc>
          <w:tcPr>
            <w:tcW w:w="37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560" w:type="dxa"/>
            <w:vAlign w:val="bottom"/>
          </w:tcPr>
          <w:p>
            <w:pPr>
              <w:spacing w:after="0"/>
              <w:rPr>
                <w:sz w:val="16"/>
                <w:szCs w:val="16"/>
                <w:color w:val="auto"/>
              </w:rPr>
            </w:pPr>
          </w:p>
        </w:tc>
        <w:tc>
          <w:tcPr>
            <w:tcW w:w="4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2279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22795" cy="6350"/>
                    </a:xfrm>
                    <a:prstGeom prst="rect">
                      <a:avLst/>
                    </a:prstGeom>
                    <a:noFill/>
                  </pic:spPr>
                </pic:pic>
              </a:graphicData>
            </a:graphic>
          </wp:anchor>
        </w:drawing>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relating to the clearance of this offering with the Financial Industry Regulatory Authority, Inc. (FINRA) in an amount up to $        .</w:t>
      </w:r>
    </w:p>
    <w:p>
      <w:pPr>
        <w:spacing w:after="0" w:line="80"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0"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We will agree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 a registration statement under the Securities Act relating to any shares of our Class A common stock or securities convertible into or exchangeable or exercisable for any shares of our Class A common stock, or</w:t>
      </w:r>
    </w:p>
    <w:p>
      <w:pPr>
        <w:spacing w:after="0" w:line="1" w:lineRule="exact"/>
        <w:rPr>
          <w:sz w:val="20"/>
          <w:szCs w:val="20"/>
          <w:color w:val="auto"/>
        </w:rPr>
      </w:pPr>
    </w:p>
    <w:p>
      <w:pPr>
        <w:ind w:right="20" w:firstLine="4"/>
        <w:spacing w:after="0" w:line="239" w:lineRule="auto"/>
        <w:tabs>
          <w:tab w:leader="none" w:pos="19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enter into any swap, hedging or other agreement that transfers, in whole or in part, any of the economic consequences of ownership of any shares of Class A common stock or any such other securities, or publicly disclose the intention to undertake any of the foregoing (regardless of whether any of these transactions are to be settled by the delivery of shares of Class A common stock or such other securities, in cash or otherwise), in each case without the prior written consent of J.P. Morgan Securities LLC for a period of 180 days after the date of this prospectus, other than the shares of our Class A common stock to be sold in this offering.</w:t>
      </w:r>
    </w:p>
    <w:p>
      <w:pPr>
        <w:spacing w:after="0" w:line="79"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recipients enter into a lock-up agreement with the underwriters; (iii) the issuance of up to 5% of the outstanding shares of our common stock, or securities convertible into, exercisable for, or which are otherwise exchangeable for, our common stock, immediately following the closing date of this offering, in acquisitions or other similar strategic transactions,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93"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Our directors and executive officers, and substantially all of our securityholders (such persons, the lock-up parties) have entered, or will enter, into lock-up agreements or are subject to market stand-off arrangements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238</w:t>
      </w:r>
    </w:p>
    <w:p>
      <w:pPr>
        <w:sectPr>
          <w:pgSz w:w="11900" w:h="16838" w:orient="portrait"/>
          <w:cols w:equalWidth="0" w:num="1">
            <w:col w:w="11280"/>
          </w:cols>
          <w:pgMar w:left="300" w:top="385" w:right="31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lock-up securities, or (iv) publicly disclose the intention to do any of the foregoing.</w:t>
      </w:r>
    </w:p>
    <w:p>
      <w:pPr>
        <w:spacing w:after="0" w:line="7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87"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or for bona fide estate planning purposes, (ii) by will or intestacy, (iii) to any trust for the direct or indirect benefit of the lock-up party or the immediate family of the lock-up party, or if the lock-up party is a trust, to a trustor or beneficiary of the trust or to the estate of a beneficiary of such trust, (iv) to a partnership, limited liability company or other entity of which the lock-up party and its immediate family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 (B) as part of a distribution to members or stockholders of the lock-up party; (vii) by operation of law, such as pursuant to a qualified domestic order, divorce settlement, divorce decree or separation agreement, (viii) to us from an employee upon death, disability or termination of employment, in each case, of such employee, (ix) as part of a sale of lock-up securities acquired (A) from underwriters in this offering or (B) in open market transactions after the completion of this offering, (x) to us in connection with the vesting, settlement, or exercise of restricted stock units, options, warrants or other rights to purchase shares of our common stock (including, in each case, by way of “net” or “cashless” exercise), including for the payment of exercise price, tax or remittance payments due as a result of the vesting, settlement, or exercise of such restricted stock units, options, warrants or rights, provided that any such shares of our common stock received upon such exercise, vesting or settlement shall be subject to the terms of such lock-up agreement, and provided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239</w:t>
      </w:r>
    </w:p>
    <w:p>
      <w:pPr>
        <w:sectPr>
          <w:pgSz w:w="11900" w:h="16838" w:orient="portrait"/>
          <w:cols w:equalWidth="0" w:num="1">
            <w:col w:w="11280"/>
          </w:cols>
          <w:pgMar w:left="300" w:top="385" w:right="3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further that any such restricted stock units, options, warrants or rights are held by the lock-up party pursuant to an agreement or equity awards granted under a stock incentive plan or other equity award plan, each such agreement or plan which is described in this prospectus, (xi) in “sell to cover” or similar open market transactions by an employee of the Company (who is not a Section 16 officer or director of the Company) of up to $10 million of shares of common stock (in the aggregate for all employees) during the restricted period to satisfy tax withholding obligations as a result of the exercise, vesting and/or settlement of equity awards (including options) held by the lock-up party and issued pursuant to a plan or arrangement described in this prospectus, or (xii) pursuant to a bona fide third-party tender offer, merger, consolidation or other similar transaction approved by our Board of Directors and made to all holders of our capital stock involving a change of control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90% of our outstanding voting securities (or the surviving entity)), provided that in the event that such tender offer, merger, consolidation or other similar transaction is not completed, all such lock-up securities shall remain subject to the restrictions in the immediately preceding paragraph; (b) the exercise of outstanding options, settlement of restricted stock units or other equity awards or exercise of warrants pursuant to plans described in this prospectus, provided that any lock-up securities received upon such exercise, vesting or settlement would be subject to restrictions similar to those in the immediately preceding paragraph; (c) the conversion, exchange or reclassification of outstanding equity securities into shares of our common stock or warrants to acquire shares of our common stock, provided that any such shares of our common stock or warrants received upon such conversion would be subject to restrictions similar to those in the immediately preceding paragraph; and (d) the establishment by lock-up parties of trading plans pursuant to Rule 10b5-1 under the Exchange Act for the transfer of shares of the lock-up securities, provided that (1) such plans do not provide for the transfer of lock-up securities during the restricted period, and</w:t>
      </w:r>
    </w:p>
    <w:p>
      <w:pPr>
        <w:spacing w:after="0" w:line="1" w:lineRule="exact"/>
        <w:rPr>
          <w:sz w:val="20"/>
          <w:szCs w:val="20"/>
          <w:color w:val="auto"/>
        </w:rPr>
      </w:pPr>
    </w:p>
    <w:p>
      <w:pPr>
        <w:ind w:right="40" w:firstLine="4"/>
        <w:spacing w:after="0" w:line="241" w:lineRule="auto"/>
        <w:tabs>
          <w:tab w:leader="none" w:pos="21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required public announcement or filing under the Exchange Act made by any person regarding the establishment of such plan during the restricted period shall include a statement that the undersigned is not permitted to transfer, sell or otherwise dispose of securities under such plan during the restricted period in contravention of restrictions similar to those in the immediately preceding paragraph and no public filing, report or announcement by any party shall be made voluntarily in connection with such trading plan.</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J.P. Morgan Securities LLC, in its sole discretion, may release the securities subject to any of the lock-up agreements with the underwriters described above, in whole or in part at any time.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12"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We have applied to have our Class A common stock approved for listing on the Nasdaq Global Select Market under the trading symbol “BLLN,” and this offering is contingent upon obtaining such approval.</w:t>
      </w:r>
    </w:p>
    <w:p>
      <w:pPr>
        <w:spacing w:after="0" w:line="5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240</w:t>
      </w:r>
    </w:p>
    <w:p>
      <w:pPr>
        <w:sectPr>
          <w:pgSz w:w="11900" w:h="16838" w:orient="portrait"/>
          <w:cols w:equalWidth="0" w:num="1">
            <w:col w:w="11260"/>
          </w:cols>
          <w:pgMar w:left="300" w:top="385"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7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85" w:lineRule="exact"/>
        <w:rPr>
          <w:sz w:val="20"/>
          <w:szCs w:val="20"/>
          <w:color w:val="auto"/>
        </w:rPr>
      </w:pPr>
    </w:p>
    <w:p>
      <w:pPr>
        <w:jc w:val="both"/>
        <w:ind w:right="240"/>
        <w:spacing w:after="0" w:line="252" w:lineRule="auto"/>
        <w:rPr>
          <w:sz w:val="20"/>
          <w:szCs w:val="20"/>
          <w:color w:val="auto"/>
        </w:rPr>
      </w:pPr>
      <w:r>
        <w:rPr>
          <w:rFonts w:ascii="Arial" w:cs="Arial" w:eastAsia="Arial" w:hAnsi="Arial"/>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80" w:lineRule="exact"/>
        <w:rPr>
          <w:sz w:val="20"/>
          <w:szCs w:val="20"/>
          <w:color w:val="auto"/>
        </w:rPr>
      </w:pPr>
    </w:p>
    <w:p>
      <w:pPr>
        <w:ind w:right="220"/>
        <w:spacing w:after="0" w:line="309" w:lineRule="auto"/>
        <w:rPr>
          <w:sz w:val="20"/>
          <w:szCs w:val="20"/>
          <w:color w:val="auto"/>
        </w:rPr>
      </w:pPr>
      <w:r>
        <w:rPr>
          <w:rFonts w:ascii="Arial" w:cs="Arial" w:eastAsia="Arial" w:hAnsi="Arial"/>
          <w:sz w:val="13"/>
          <w:szCs w:val="13"/>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45" w:lineRule="exact"/>
        <w:rPr>
          <w:sz w:val="20"/>
          <w:szCs w:val="20"/>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101"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shares of our Class A common stock, or that the shares will trade in the public market at or above the initial public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15"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241</w:t>
      </w:r>
    </w:p>
    <w:p>
      <w:pPr>
        <w:sectPr>
          <w:pgSz w:w="11900" w:h="16838" w:orient="portrait"/>
          <w:cols w:equalWidth="0" w:num="1">
            <w:col w:w="11180"/>
          </w:cols>
          <w:pgMar w:left="300" w:top="385" w:right="4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15" w:lineRule="exact"/>
        <w:rPr>
          <w:sz w:val="20"/>
          <w:szCs w:val="20"/>
          <w:color w:val="auto"/>
        </w:rPr>
      </w:pPr>
    </w:p>
    <w:p>
      <w:pPr>
        <w:ind w:right="220"/>
        <w:spacing w:after="0"/>
        <w:rPr>
          <w:sz w:val="20"/>
          <w:szCs w:val="20"/>
          <w:color w:val="auto"/>
        </w:rPr>
      </w:pPr>
      <w:r>
        <w:rPr>
          <w:rFonts w:ascii="Arial" w:cs="Arial" w:eastAsia="Arial" w:hAnsi="Arial"/>
          <w:sz w:val="14"/>
          <w:szCs w:val="14"/>
          <w:color w:val="auto"/>
        </w:rPr>
        <w:t>At our request, the underwriters have reserved up to 5% of the shares of Class A common stock being offered by this prospectus for sale, at the initial public offering price, to our officers, directors and employees through a directed share program. Shares purchased through the directed share program will not be subject to a lock-up restriction, except in the case of shares purchased by any of our directors or officers. We do not know if these parties will choose to purchase all or any portion of these reserved shares, but the number of shares of our Class A common stock available for sale to the general public will be reduced to the extent these individuals or entities purchase such reserved shares. Any reserved shares that are not so purchased will be offered by the underwriters to the general public on the same terms as the other shares offered by this prospectus. J.P. Morgan Securities LLC will administer our directed share program. We will agree to indemnify the underwriters against certain liabilities and expenses, including liabilities under the Securities Act, in connection with sales of the shares reserved for the directed share program.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0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5" w:lineRule="exact"/>
        <w:rPr>
          <w:sz w:val="20"/>
          <w:szCs w:val="20"/>
          <w:color w:val="auto"/>
        </w:rPr>
      </w:pPr>
    </w:p>
    <w:p>
      <w:pPr>
        <w:ind w:left="1020" w:hanging="565"/>
        <w:spacing w:after="0"/>
        <w:tabs>
          <w:tab w:leader="none" w:pos="10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Prospectus Regulation;</w:t>
      </w:r>
    </w:p>
    <w:p>
      <w:pPr>
        <w:spacing w:after="0" w:line="111" w:lineRule="exact"/>
        <w:rPr>
          <w:rFonts w:ascii="Arial" w:cs="Arial" w:eastAsia="Arial" w:hAnsi="Arial"/>
          <w:sz w:val="14"/>
          <w:szCs w:val="14"/>
          <w:color w:val="auto"/>
        </w:rPr>
      </w:pPr>
    </w:p>
    <w:p>
      <w:pPr>
        <w:ind w:left="1020" w:right="480" w:hanging="565"/>
        <w:spacing w:after="0" w:line="269" w:lineRule="auto"/>
        <w:tabs>
          <w:tab w:leader="none" w:pos="10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underwriters; or</w:t>
      </w:r>
    </w:p>
    <w:p>
      <w:pPr>
        <w:spacing w:after="0" w:line="69" w:lineRule="exact"/>
        <w:rPr>
          <w:rFonts w:ascii="Arial" w:cs="Arial" w:eastAsia="Arial" w:hAnsi="Arial"/>
          <w:sz w:val="14"/>
          <w:szCs w:val="14"/>
          <w:color w:val="auto"/>
        </w:rPr>
      </w:pPr>
    </w:p>
    <w:p>
      <w:pPr>
        <w:ind w:left="1020" w:hanging="565"/>
        <w:spacing w:after="0"/>
        <w:tabs>
          <w:tab w:leader="none" w:pos="10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12" w:lineRule="exact"/>
        <w:rPr>
          <w:sz w:val="20"/>
          <w:szCs w:val="20"/>
          <w:color w:val="auto"/>
        </w:rPr>
      </w:pPr>
    </w:p>
    <w:p>
      <w:pPr>
        <w:ind w:right="500"/>
        <w:spacing w:after="0" w:line="269" w:lineRule="auto"/>
        <w:rPr>
          <w:sz w:val="20"/>
          <w:szCs w:val="20"/>
          <w:color w:val="auto"/>
        </w:rPr>
      </w:pPr>
      <w:r>
        <w:rPr>
          <w:rFonts w:ascii="Arial" w:cs="Arial" w:eastAsia="Arial" w:hAnsi="Arial"/>
          <w:sz w:val="14"/>
          <w:szCs w:val="14"/>
          <w:color w:val="auto"/>
        </w:rPr>
        <w:t>provided that no such offer of shares shall require us or any underwriter to publish a prospectus pursuant to Article 3 of the Prospectus Regulation or supplement a prospectus pursuant to Article 23 of the Prospectus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242</w:t>
      </w:r>
    </w:p>
    <w:p>
      <w:pPr>
        <w:sectPr>
          <w:pgSz w:w="11900" w:h="16838" w:orient="portrait"/>
          <w:cols w:equalWidth="0" w:num="1">
            <w:col w:w="11280"/>
          </w:cols>
          <w:pgMar w:left="300" w:top="385" w:right="3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Regulation. and each person who initially acquires any shares or to whom any offer is made will be deemed to have represented, acknowledged and agreed to and with each of the underwriters and to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79" w:lineRule="exact"/>
        <w:rPr>
          <w:sz w:val="20"/>
          <w:szCs w:val="20"/>
          <w:color w:val="auto"/>
        </w:rPr>
      </w:pPr>
    </w:p>
    <w:p>
      <w:pPr>
        <w:ind w:right="460"/>
        <w:spacing w:after="0" w:line="252" w:lineRule="auto"/>
        <w:rPr>
          <w:sz w:val="20"/>
          <w:szCs w:val="20"/>
          <w:color w:val="auto"/>
        </w:rPr>
      </w:pPr>
      <w:r>
        <w:rPr>
          <w:rFonts w:ascii="Arial" w:cs="Arial" w:eastAsia="Arial" w:hAnsi="Arial"/>
          <w:sz w:val="14"/>
          <w:szCs w:val="14"/>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No shares have been offered or will be offered pursuant to the offering to the public in the United Kingdom prior to the publication of a prospectus in relation to the shares which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85" w:lineRule="exact"/>
        <w:rPr>
          <w:sz w:val="20"/>
          <w:szCs w:val="20"/>
          <w:color w:val="auto"/>
        </w:rPr>
      </w:pPr>
    </w:p>
    <w:p>
      <w:pPr>
        <w:ind w:left="1020" w:hanging="565"/>
        <w:spacing w:after="0"/>
        <w:tabs>
          <w:tab w:leader="none" w:pos="10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UK Prospectus Regulation;</w:t>
      </w:r>
    </w:p>
    <w:p>
      <w:pPr>
        <w:spacing w:after="0" w:line="111" w:lineRule="exact"/>
        <w:rPr>
          <w:rFonts w:ascii="Arial" w:cs="Arial" w:eastAsia="Arial" w:hAnsi="Arial"/>
          <w:sz w:val="14"/>
          <w:szCs w:val="14"/>
          <w:color w:val="auto"/>
        </w:rPr>
      </w:pPr>
    </w:p>
    <w:p>
      <w:pPr>
        <w:ind w:left="1020" w:right="240" w:hanging="565"/>
        <w:spacing w:after="0" w:line="269" w:lineRule="auto"/>
        <w:tabs>
          <w:tab w:leader="none" w:pos="10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UK Prospectus Regulation), subject to obtaining the prior consent of underwriters for any such offer; or</w:t>
      </w:r>
    </w:p>
    <w:p>
      <w:pPr>
        <w:spacing w:after="0" w:line="69" w:lineRule="exact"/>
        <w:rPr>
          <w:rFonts w:ascii="Arial" w:cs="Arial" w:eastAsia="Arial" w:hAnsi="Arial"/>
          <w:sz w:val="14"/>
          <w:szCs w:val="14"/>
          <w:color w:val="auto"/>
        </w:rPr>
      </w:pPr>
    </w:p>
    <w:p>
      <w:pPr>
        <w:ind w:left="1020" w:hanging="565"/>
        <w:spacing w:after="0"/>
        <w:tabs>
          <w:tab w:leader="none" w:pos="10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FSMA,</w:t>
      </w:r>
    </w:p>
    <w:p>
      <w:pPr>
        <w:spacing w:after="0" w:line="112"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7"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243</w:t>
      </w:r>
    </w:p>
    <w:p>
      <w:pPr>
        <w:sectPr>
          <w:pgSz w:w="11900" w:h="16838" w:orient="portrait"/>
          <w:cols w:equalWidth="0" w:num="1">
            <w:col w:w="11280"/>
          </w:cols>
          <w:pgMar w:left="300" w:top="386" w:right="3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113"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 does not constitute an offer to the public or a solicitation to purchase or invest in any shares. No shares have been offered or will be offered to the public 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Switzerland, except that offers of shares may be made to the public in Switzerland at any time under the following exemptions under the Swiss Financial Services Act (FinSA):</w:t>
      </w:r>
    </w:p>
    <w:p>
      <w:pPr>
        <w:spacing w:after="0" w:line="98" w:lineRule="exact"/>
        <w:rPr>
          <w:sz w:val="20"/>
          <w:szCs w:val="20"/>
          <w:color w:val="auto"/>
        </w:rPr>
      </w:pPr>
    </w:p>
    <w:p>
      <w:pPr>
        <w:ind w:left="1020" w:hanging="565"/>
        <w:spacing w:after="0"/>
        <w:tabs>
          <w:tab w:leader="none" w:pos="10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any person which is a professional client as defined under the FinSA;</w:t>
      </w:r>
    </w:p>
    <w:p>
      <w:pPr>
        <w:spacing w:after="0" w:line="111" w:lineRule="exact"/>
        <w:rPr>
          <w:rFonts w:ascii="Arial" w:cs="Arial" w:eastAsia="Arial" w:hAnsi="Arial"/>
          <w:sz w:val="14"/>
          <w:szCs w:val="14"/>
          <w:color w:val="auto"/>
        </w:rPr>
      </w:pPr>
    </w:p>
    <w:p>
      <w:pPr>
        <w:ind w:left="1020" w:right="780" w:hanging="565"/>
        <w:spacing w:after="0" w:line="269" w:lineRule="auto"/>
        <w:tabs>
          <w:tab w:leader="none" w:pos="10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fewer than 500 persons (other than professional clients as defined under the FinSA), subject to obtaining the prior consent of the representatives of the underwriters for any such offer; or</w:t>
      </w:r>
    </w:p>
    <w:p>
      <w:pPr>
        <w:spacing w:after="0" w:line="69" w:lineRule="exact"/>
        <w:rPr>
          <w:rFonts w:ascii="Arial" w:cs="Arial" w:eastAsia="Arial" w:hAnsi="Arial"/>
          <w:sz w:val="14"/>
          <w:szCs w:val="14"/>
          <w:color w:val="auto"/>
        </w:rPr>
      </w:pPr>
    </w:p>
    <w:p>
      <w:pPr>
        <w:ind w:left="1020" w:right="440" w:hanging="565"/>
        <w:spacing w:after="0" w:line="269" w:lineRule="auto"/>
        <w:tabs>
          <w:tab w:leader="none" w:pos="10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36 FinSA in connection with Article 44 of the Swiss Financial Services Ordinance, provided that no such offer of shares shall require the Company or any investment bank to publish a prospectus pursuant to Article 35 FinSA.</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The shares have not been and will not be listed or admitted to trading on a trading venue in Switzerland.</w:t>
      </w:r>
    </w:p>
    <w:p>
      <w:pPr>
        <w:spacing w:after="0" w:line="112"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Dubai International Financial Centre</w:t>
      </w:r>
    </w:p>
    <w:p>
      <w:pPr>
        <w:spacing w:after="0" w:line="113"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This document relates to an Exempt Offer in accordance with the Markets Law, DIFC Law No. 1 of 2012, as amended. This document is intended for distribution only to persons of a type specified in the Markets Law,</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244</w:t>
      </w:r>
    </w:p>
    <w:p>
      <w:pPr>
        <w:sectPr>
          <w:pgSz w:w="11900" w:h="16838" w:orient="portrait"/>
          <w:cols w:equalWidth="0" w:num="1">
            <w:col w:w="11260"/>
          </w:cols>
          <w:pgMar w:left="300" w:top="385"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40"/>
        <w:spacing w:after="0" w:line="271" w:lineRule="auto"/>
        <w:rPr>
          <w:sz w:val="20"/>
          <w:szCs w:val="20"/>
          <w:color w:val="auto"/>
        </w:rPr>
      </w:pPr>
      <w:r>
        <w:rPr>
          <w:rFonts w:ascii="Arial" w:cs="Arial" w:eastAsia="Arial" w:hAnsi="Arial"/>
          <w:sz w:val="13"/>
          <w:szCs w:val="13"/>
          <w:color w:val="auto"/>
        </w:rPr>
        <w:t>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5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United Arab Emirates</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w:t>
      </w:r>
    </w:p>
    <w:p>
      <w:pPr>
        <w:spacing w:after="0" w:line="112" w:lineRule="exact"/>
        <w:rPr>
          <w:sz w:val="20"/>
          <w:szCs w:val="20"/>
          <w:color w:val="auto"/>
        </w:rPr>
      </w:pPr>
    </w:p>
    <w:p>
      <w:pPr>
        <w:ind w:left="220" w:hanging="216"/>
        <w:spacing w:after="0"/>
        <w:tabs>
          <w:tab w:leader="none" w:pos="2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(the Corporations Act);</w:t>
      </w:r>
    </w:p>
    <w:p>
      <w:pPr>
        <w:spacing w:after="0" w:line="111" w:lineRule="exact"/>
        <w:rPr>
          <w:rFonts w:ascii="Arial" w:cs="Arial" w:eastAsia="Arial" w:hAnsi="Arial"/>
          <w:sz w:val="14"/>
          <w:szCs w:val="14"/>
          <w:color w:val="auto"/>
        </w:rPr>
      </w:pPr>
    </w:p>
    <w:p>
      <w:pPr>
        <w:ind w:left="220" w:right="160" w:hanging="216"/>
        <w:spacing w:after="0" w:line="269" w:lineRule="auto"/>
        <w:tabs>
          <w:tab w:leader="none" w:pos="2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9" w:lineRule="exact"/>
        <w:rPr>
          <w:rFonts w:ascii="Arial" w:cs="Arial" w:eastAsia="Arial" w:hAnsi="Arial"/>
          <w:sz w:val="14"/>
          <w:szCs w:val="14"/>
          <w:color w:val="auto"/>
        </w:rPr>
      </w:pPr>
    </w:p>
    <w:p>
      <w:pPr>
        <w:ind w:left="220" w:right="60" w:hanging="216"/>
        <w:spacing w:after="0" w:line="269" w:lineRule="auto"/>
        <w:tabs>
          <w:tab w:leader="none" w:pos="2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4"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As any offer of shares of our Class A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Class A common stock you undertake to us that you will not, for a period of 12 months from the date of issue of the shares, offer,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245</w:t>
      </w:r>
    </w:p>
    <w:p>
      <w:pPr>
        <w:sectPr>
          <w:pgSz w:w="11900" w:h="16838" w:orient="portrait"/>
          <w:cols w:equalWidth="0" w:num="1">
            <w:col w:w="11280"/>
          </w:cols>
          <w:pgMar w:left="300" w:top="385" w:right="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transfer, assign or otherwise alienate those shares of our Class A common stock to investors in Australia except in circumstances where disclosure to investors is not required under Chapter 6D.2 of the Corporations Act or where a compliant disclosure document is prepared and lodged with ASIC.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113"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113" w:lineRule="exact"/>
        <w:rPr>
          <w:sz w:val="20"/>
          <w:szCs w:val="20"/>
          <w:color w:val="auto"/>
        </w:rPr>
      </w:pPr>
    </w:p>
    <w:p>
      <w:pPr>
        <w:ind w:right="60"/>
        <w:spacing w:after="0"/>
        <w:rPr>
          <w:sz w:val="20"/>
          <w:szCs w:val="20"/>
          <w:color w:val="auto"/>
        </w:rPr>
      </w:pPr>
      <w:r>
        <w:rPr>
          <w:rFonts w:ascii="Arial" w:cs="Arial" w:eastAsia="Arial" w:hAnsi="Arial"/>
          <w:sz w:val="14"/>
          <w:szCs w:val="14"/>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103"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no shares have been or will be offered or sold and no shares have been or will be made the subject of an invitation for subscription or purchase, and no prospectus or any other document or material in connection with the offer or sale, or invitation for subscription or purchase, of the shares,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90"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the shares of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246</w:t>
      </w:r>
    </w:p>
    <w:p>
      <w:pPr>
        <w:sectPr>
          <w:pgSz w:w="11900" w:h="16838" w:orient="portrait"/>
          <w:cols w:equalWidth="0" w:num="1">
            <w:col w:w="11240"/>
          </w:cols>
          <w:pgMar w:left="300" w:top="385" w:right="3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103"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Saudi Arabia</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British Virgin Islands</w:t>
      </w:r>
    </w:p>
    <w:p>
      <w:pPr>
        <w:spacing w:after="0" w:line="103"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China</w:t>
      </w:r>
    </w:p>
    <w:p>
      <w:pPr>
        <w:spacing w:after="0" w:line="11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This prospectus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Korea</w:t>
      </w:r>
    </w:p>
    <w:p>
      <w:pPr>
        <w:spacing w:after="0" w:line="113"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247</w:t>
      </w:r>
    </w:p>
    <w:p>
      <w:pPr>
        <w:sectPr>
          <w:pgSz w:w="11900" w:h="16838" w:orient="portrait"/>
          <w:cols w:equalWidth="0" w:num="1">
            <w:col w:w="11280"/>
          </w:cols>
          <w:pgMar w:left="300" w:top="385" w:right="3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Malaysia</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Taiwan</w:t>
      </w:r>
    </w:p>
    <w:p>
      <w:pPr>
        <w:spacing w:after="0" w:line="10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South Africa</w:t>
      </w:r>
    </w:p>
    <w:p>
      <w:pPr>
        <w:spacing w:after="0" w:line="103"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Due to restrictions under the securities laws of South Africa, no “</w:t>
      </w:r>
      <w:r>
        <w:rPr>
          <w:rFonts w:ascii="Arial" w:cs="Arial" w:eastAsia="Arial" w:hAnsi="Arial"/>
          <w:sz w:val="14"/>
          <w:szCs w:val="14"/>
          <w:i w:val="1"/>
          <w:iCs w:val="1"/>
          <w:color w:val="auto"/>
        </w:rPr>
        <w:t>offer to the public</w:t>
      </w:r>
      <w:r>
        <w:rPr>
          <w:rFonts w:ascii="Arial" w:cs="Arial" w:eastAsia="Arial" w:hAnsi="Arial"/>
          <w:sz w:val="14"/>
          <w:szCs w:val="14"/>
          <w:color w:val="auto"/>
        </w:rPr>
        <w:t>” (as such term is defined in the South African Companies Act, No. 71 of 2008 (as amended or re-enacted) (the South African Companies Act) is being made in connection with the issue of the shares in South Africa. Accordingly, this document does not, nor is it intended to, constitute a “</w:t>
      </w:r>
      <w:r>
        <w:rPr>
          <w:rFonts w:ascii="Arial" w:cs="Arial" w:eastAsia="Arial" w:hAnsi="Arial"/>
          <w:sz w:val="14"/>
          <w:szCs w:val="14"/>
          <w:i w:val="1"/>
          <w:iCs w:val="1"/>
          <w:color w:val="auto"/>
        </w:rPr>
        <w:t>registered prospectus</w:t>
      </w:r>
      <w:r>
        <w:rPr>
          <w:rFonts w:ascii="Arial" w:cs="Arial" w:eastAsia="Arial" w:hAnsi="Arial"/>
          <w:sz w:val="14"/>
          <w:szCs w:val="14"/>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248</w:t>
      </w:r>
    </w:p>
    <w:p>
      <w:pPr>
        <w:sectPr>
          <w:pgSz w:w="11900" w:h="16838" w:orient="portrait"/>
          <w:cols w:equalWidth="0" w:num="1">
            <w:col w:w="11240"/>
          </w:cols>
          <w:pgMar w:left="300" w:top="385" w:right="3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69"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Section 96 (1) (a)</w:t>
      </w:r>
      <w:r>
        <w:rPr>
          <w:sz w:val="20"/>
          <w:szCs w:val="20"/>
          <w:color w:val="auto"/>
        </w:rPr>
        <w:tab/>
      </w:r>
      <w:r>
        <w:rPr>
          <w:rFonts w:ascii="Arial" w:cs="Arial" w:eastAsia="Arial" w:hAnsi="Arial"/>
          <w:sz w:val="13"/>
          <w:szCs w:val="13"/>
          <w:color w:val="auto"/>
        </w:rPr>
        <w:t>the offer, transfer, sale, renunciation or delivery is to:</w:t>
      </w:r>
    </w:p>
    <w:p>
      <w:pPr>
        <w:spacing w:after="0" w:line="122" w:lineRule="exact"/>
        <w:rPr>
          <w:sz w:val="20"/>
          <w:szCs w:val="20"/>
          <w:color w:val="auto"/>
        </w:rPr>
      </w:pPr>
    </w:p>
    <w:p>
      <w:pPr>
        <w:ind w:left="2420" w:hanging="160"/>
        <w:spacing w:after="0"/>
        <w:tabs>
          <w:tab w:leader="none" w:pos="24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persons whose ordinary business, or part of whose ordinary business, is to deal in securities, as principal or agent;</w:t>
      </w:r>
    </w:p>
    <w:p>
      <w:pPr>
        <w:spacing w:after="0" w:line="122" w:lineRule="exact"/>
        <w:rPr>
          <w:rFonts w:ascii="Arial" w:cs="Arial" w:eastAsia="Arial" w:hAnsi="Arial"/>
          <w:sz w:val="14"/>
          <w:szCs w:val="14"/>
          <w:color w:val="auto"/>
        </w:rPr>
      </w:pPr>
    </w:p>
    <w:p>
      <w:pPr>
        <w:ind w:left="2460" w:hanging="200"/>
        <w:spacing w:after="0"/>
        <w:tabs>
          <w:tab w:leader="none" w:pos="24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South African Public Investment Corporation;</w:t>
      </w:r>
    </w:p>
    <w:p>
      <w:pPr>
        <w:spacing w:after="0" w:line="122" w:lineRule="exact"/>
        <w:rPr>
          <w:rFonts w:ascii="Arial" w:cs="Arial" w:eastAsia="Arial" w:hAnsi="Arial"/>
          <w:sz w:val="14"/>
          <w:szCs w:val="14"/>
          <w:color w:val="auto"/>
        </w:rPr>
      </w:pPr>
    </w:p>
    <w:p>
      <w:pPr>
        <w:ind w:left="2480" w:hanging="220"/>
        <w:spacing w:after="0"/>
        <w:tabs>
          <w:tab w:leader="none" w:pos="24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persons or entities regulated by the Reserve Bank of South Africa;</w:t>
      </w:r>
    </w:p>
    <w:p>
      <w:pPr>
        <w:spacing w:after="0" w:line="122" w:lineRule="exact"/>
        <w:rPr>
          <w:rFonts w:ascii="Arial" w:cs="Arial" w:eastAsia="Arial" w:hAnsi="Arial"/>
          <w:sz w:val="14"/>
          <w:szCs w:val="14"/>
          <w:color w:val="auto"/>
        </w:rPr>
      </w:pPr>
    </w:p>
    <w:p>
      <w:pPr>
        <w:ind w:left="2500" w:hanging="240"/>
        <w:spacing w:after="0"/>
        <w:tabs>
          <w:tab w:leader="none" w:pos="25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authorized financial service providers under South African law;</w:t>
      </w:r>
    </w:p>
    <w:p>
      <w:pPr>
        <w:spacing w:after="0" w:line="122" w:lineRule="exact"/>
        <w:rPr>
          <w:rFonts w:ascii="Arial" w:cs="Arial" w:eastAsia="Arial" w:hAnsi="Arial"/>
          <w:sz w:val="14"/>
          <w:szCs w:val="14"/>
          <w:color w:val="auto"/>
        </w:rPr>
      </w:pPr>
    </w:p>
    <w:p>
      <w:pPr>
        <w:ind w:left="2460" w:hanging="200"/>
        <w:spacing w:after="0"/>
        <w:tabs>
          <w:tab w:leader="none" w:pos="24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financial institutions recognised as such under South African law;</w:t>
      </w:r>
    </w:p>
    <w:p>
      <w:pPr>
        <w:spacing w:after="0" w:line="122" w:lineRule="exact"/>
        <w:rPr>
          <w:rFonts w:ascii="Arial" w:cs="Arial" w:eastAsia="Arial" w:hAnsi="Arial"/>
          <w:sz w:val="14"/>
          <w:szCs w:val="14"/>
          <w:color w:val="auto"/>
        </w:rPr>
      </w:pPr>
    </w:p>
    <w:p>
      <w:pPr>
        <w:ind w:left="2260" w:right="40"/>
        <w:spacing w:after="0" w:line="309" w:lineRule="auto"/>
        <w:tabs>
          <w:tab w:leader="none" w:pos="2493" w:val="left"/>
        </w:tabs>
        <w:numPr>
          <w:ilvl w:val="0"/>
          <w:numId w:val="159"/>
        </w:numPr>
        <w:rPr>
          <w:rFonts w:ascii="Arial" w:cs="Arial" w:eastAsia="Arial" w:hAnsi="Arial"/>
          <w:sz w:val="13"/>
          <w:szCs w:val="13"/>
          <w:color w:val="auto"/>
        </w:rPr>
      </w:pPr>
      <w:r>
        <w:rPr>
          <w:rFonts w:ascii="Arial" w:cs="Arial" w:eastAsia="Arial" w:hAnsi="Arial"/>
          <w:sz w:val="13"/>
          <w:szCs w:val="13"/>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55" w:lineRule="exact"/>
        <w:rPr>
          <w:rFonts w:ascii="Arial" w:cs="Arial" w:eastAsia="Arial" w:hAnsi="Arial"/>
          <w:sz w:val="13"/>
          <w:szCs w:val="13"/>
          <w:color w:val="auto"/>
        </w:rPr>
      </w:pPr>
    </w:p>
    <w:p>
      <w:pPr>
        <w:ind w:left="2520" w:hanging="260"/>
        <w:spacing w:after="0"/>
        <w:tabs>
          <w:tab w:leader="none" w:pos="25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any combination of the persons in (i) to (vi); or</w:t>
      </w:r>
    </w:p>
    <w:p>
      <w:pPr>
        <w:sectPr>
          <w:pgSz w:w="11900" w:h="16838" w:orient="portrait"/>
          <w:cols w:equalWidth="0" w:num="1">
            <w:col w:w="11280"/>
          </w:cols>
          <w:pgMar w:left="300" w:top="385" w:right="319" w:bottom="144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Section 96 (1) (b)</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70" w:lineRule="exact"/>
        <w:rPr>
          <w:sz w:val="20"/>
          <w:szCs w:val="20"/>
          <w:color w:val="auto"/>
        </w:rPr>
      </w:pPr>
    </w:p>
    <w:p>
      <w:pPr>
        <w:sectPr>
          <w:pgSz w:w="11900" w:h="16838" w:orient="portrait"/>
          <w:cols w:equalWidth="0" w:num="2">
            <w:col w:w="1540" w:space="720"/>
            <w:col w:w="9020"/>
          </w:cols>
          <w:pgMar w:left="300" w:top="385" w:right="319" w:bottom="1440" w:gutter="0" w:footer="0" w:header="0"/>
          <w:type w:val="continuous"/>
        </w:sectPr>
      </w:pPr>
    </w:p>
    <w:p>
      <w:pPr>
        <w:spacing w:after="0"/>
        <w:rPr>
          <w:sz w:val="20"/>
          <w:szCs w:val="20"/>
          <w:color w:val="auto"/>
        </w:rPr>
      </w:pPr>
      <w:r>
        <w:rPr>
          <w:rFonts w:ascii="Arial" w:cs="Arial" w:eastAsia="Arial" w:hAnsi="Arial"/>
          <w:sz w:val="14"/>
          <w:szCs w:val="14"/>
          <w:color w:val="auto"/>
        </w:rPr>
        <w:t>Information made available in this prospectus should not be considered as “</w:t>
      </w:r>
      <w:r>
        <w:rPr>
          <w:rFonts w:ascii="Arial" w:cs="Arial" w:eastAsia="Arial" w:hAnsi="Arial"/>
          <w:sz w:val="14"/>
          <w:szCs w:val="14"/>
          <w:i w:val="1"/>
          <w:iCs w:val="1"/>
          <w:color w:val="auto"/>
        </w:rPr>
        <w:t>advice</w:t>
      </w:r>
      <w:r>
        <w:rPr>
          <w:rFonts w:ascii="Arial" w:cs="Arial" w:eastAsia="Arial" w:hAnsi="Arial"/>
          <w:sz w:val="14"/>
          <w:szCs w:val="14"/>
          <w:color w:val="auto"/>
        </w:rPr>
        <w:t>” as defined in the South African Financial Advisory and Intermediary Services Act,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Israel</w:t>
      </w:r>
    </w:p>
    <w:p>
      <w:pPr>
        <w:spacing w:after="0" w:line="103" w:lineRule="exact"/>
        <w:rPr>
          <w:sz w:val="20"/>
          <w:szCs w:val="20"/>
          <w:color w:val="auto"/>
        </w:rPr>
      </w:pPr>
    </w:p>
    <w:p>
      <w:pPr>
        <w:ind w:right="80"/>
        <w:spacing w:after="0"/>
        <w:rPr>
          <w:sz w:val="20"/>
          <w:szCs w:val="20"/>
          <w:color w:val="auto"/>
        </w:rPr>
      </w:pPr>
      <w:r>
        <w:rPr>
          <w:rFonts w:ascii="Arial" w:cs="Arial" w:eastAsia="Arial" w:hAnsi="Arial"/>
          <w:sz w:val="14"/>
          <w:szCs w:val="14"/>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same and agree to it.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Mexico</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shares have not been and will not be registered with the Mexican National Securities Registry (Registro Nacional de Valores, or the RNV) maintained by the Mexican National Banking and Securities Commission (Comisión Nacional Bancaria y de Valores, or the CNBV), and therefore, may not be offered or sold publicly in Mexico or otherwise be subject to intermediation activities in Mexico, however, the shares may only be offered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249</w:t>
      </w:r>
    </w:p>
    <w:p>
      <w:pPr>
        <w:sectPr>
          <w:pgSz w:w="11900" w:h="16838" w:orient="portrait"/>
          <w:cols w:equalWidth="0" w:num="1">
            <w:col w:w="11280"/>
          </w:cols>
          <w:pgMar w:left="300" w:top="385" w:right="319" w:bottom="1440" w:gutter="0" w:footer="0" w:header="0"/>
          <w:type w:val="continuous"/>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and sold in Mexico on a private placement basis to investors that qualify as institutional or qualified investors pursuant to the private placement exemption set forth in Article 8 of the Mexican Securities Market Law (Ley del Mercado de Valores) and regulations thereunder. The information contained in this prospectus is solely our responsibility and has not been reviewed or authorized by the CNBV and may not be publicly distributed in Mexico. In making an investment decision, all investors, including any Mexican investor, who may acquire the shares from time to time, must rely on their own examination of the Company and the terms of this offering and the notes, including the merits and risks involved.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India</w:t>
      </w:r>
    </w:p>
    <w:p>
      <w:pPr>
        <w:spacing w:after="0" w:line="113"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This prospectus has not been and will not be registered as a prospectus with any registrar of companies in India. This prospectus has not been and will not be reviewed or approved by any statutory or regulatory authority in India, including the Securities and Exchange Board of India, Reserve Bank of India, any registrar of companies in India or any stock exchange in India. This prospectus and this offering of ordinary shares are not and should not be construed as an invitation, offer or sale of any securities to the public in India. Other than in compliance with the private placement exemptions under applicable laws and regulations in India, including the Companies Act, 2013, as amended, our ordinary shares have not been, and will not be, offered or sold to the public or any member of the public in India. This prospectus is strictly personal to the recipient and neither this prospectus nor the offering of our ordinary shares is calculated to result, directly or indirectly, in our ordinary shares becoming available for subscription or purchase by persons other than those receiving the invitation or offer. Each investor is deemed to have acknowledged, represented and agreed that it is eligible to invest in us and our ordinary shares under applicable laws, rules and regulations in India, without the requirement to obtain any prior approval, and that it is not prohibited or prevented under any law, rule or regulation in India from acquiring, owning or selling our ordinary shares.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250</w:t>
      </w:r>
    </w:p>
    <w:p>
      <w:pPr>
        <w:sectPr>
          <w:pgSz w:w="11900" w:h="16838" w:orient="portrait"/>
          <w:cols w:equalWidth="0" w:num="1">
            <w:col w:w="11280"/>
          </w:cols>
          <w:pgMar w:left="300" w:top="385" w:right="3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matters</w:t>
      </w:r>
    </w:p>
    <w:p>
      <w:pPr>
        <w:spacing w:after="0" w:line="125" w:lineRule="exact"/>
        <w:rPr>
          <w:sz w:val="20"/>
          <w:szCs w:val="20"/>
          <w:color w:val="auto"/>
        </w:rPr>
      </w:pPr>
    </w:p>
    <w:p>
      <w:pPr>
        <w:jc w:val="both"/>
        <w:ind w:right="100"/>
        <w:spacing w:after="0" w:line="252" w:lineRule="auto"/>
        <w:rPr>
          <w:sz w:val="20"/>
          <w:szCs w:val="20"/>
          <w:color w:val="auto"/>
        </w:rPr>
      </w:pPr>
      <w:r>
        <w:rPr>
          <w:rFonts w:ascii="Arial" w:cs="Arial" w:eastAsia="Arial" w:hAnsi="Arial"/>
          <w:sz w:val="14"/>
          <w:szCs w:val="14"/>
          <w:color w:val="auto"/>
        </w:rPr>
        <w:t>The validity of the shares of Class A common stock being offered by this prospectus will be passed upon for us by Gunderson Dettmer Stough Villeneuve Franklin &amp; Hachigian, LLP, San Francisco, California. As of the date of this prospectus, an investment fund associated with Gunderson Dettmer Stough Villeneuve Franklin &amp; Hachigian, LLP beneficially owned less than 0.1% of the outstanding shares of our common stock. Cooley LLP, San Francisco, California, is representing the underwriters in connection with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Experts</w:t>
      </w:r>
    </w:p>
    <w:p>
      <w:pPr>
        <w:spacing w:after="0" w:line="125" w:lineRule="exact"/>
        <w:rPr>
          <w:sz w:val="20"/>
          <w:szCs w:val="20"/>
          <w:color w:val="auto"/>
        </w:rPr>
      </w:pPr>
    </w:p>
    <w:p>
      <w:pPr>
        <w:ind w:right="900"/>
        <w:spacing w:after="0" w:line="269" w:lineRule="auto"/>
        <w:rPr>
          <w:sz w:val="20"/>
          <w:szCs w:val="20"/>
          <w:color w:val="auto"/>
        </w:rPr>
      </w:pPr>
      <w:r>
        <w:rPr>
          <w:rFonts w:ascii="Arial" w:cs="Arial" w:eastAsia="Arial" w:hAnsi="Arial"/>
          <w:sz w:val="14"/>
          <w:szCs w:val="14"/>
          <w:color w:val="auto"/>
        </w:rPr>
        <w:t>The financial statements as of December 31, 2024 and 2023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2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Class A common stock being offered by this prospectus, which constitutes a part of the registration statement. This prospectus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8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Upon the completion of this offering, we will be subject to the information reporting requirements of the Exchange Act, and we will file reports, proxy statements, and other information with the SEC. The SEC maintains a website that contains reports, proxy and information statements, and other information regarding registrants that file electronically with the SEC. The address of the website is www.sec.gov. We also maintain a website at https://billiontoone.com, at which you may access these materials free of charge as soon as reasonably practicable after they are electronically filed with, or furnished to, the SEC. However, the information contained in or accessible through our website is not part of this prospectus or the registration statement of which this prospectus forms a part.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251</w:t>
      </w:r>
    </w:p>
    <w:p>
      <w:pPr>
        <w:sectPr>
          <w:pgSz w:w="11900" w:h="16838" w:orient="portrait"/>
          <w:cols w:equalWidth="0" w:num="1">
            <w:col w:w="11260"/>
          </w:cols>
          <w:pgMar w:left="300" w:top="385"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2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w w:val="99"/>
              </w:rPr>
              <w:t>Index to financial statements</w:t>
            </w:r>
          </w:p>
        </w:tc>
        <w:tc>
          <w:tcPr>
            <w:tcW w:w="320" w:type="dxa"/>
            <w:vAlign w:val="bottom"/>
          </w:tcPr>
          <w:p>
            <w:pPr>
              <w:spacing w:after="0"/>
              <w:rPr>
                <w:sz w:val="16"/>
                <w:szCs w:val="16"/>
                <w:color w:val="auto"/>
              </w:rPr>
            </w:pPr>
          </w:p>
        </w:tc>
      </w:tr>
      <w:tr>
        <w:trPr>
          <w:trHeight w:val="340"/>
        </w:trPr>
        <w:tc>
          <w:tcPr>
            <w:tcW w:w="8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BILLIONTOONE, INC. AUDITED FINANCIAL STATEMENTS AS OF AND FOR THE YEARS ENDED DECEMBER 31, 2024 AND</w:t>
            </w:r>
          </w:p>
        </w:tc>
        <w:tc>
          <w:tcPr>
            <w:tcW w:w="320" w:type="dxa"/>
            <w:vAlign w:val="bottom"/>
          </w:tcPr>
          <w:p>
            <w:pPr>
              <w:spacing w:after="0"/>
              <w:rPr>
                <w:sz w:val="24"/>
                <w:szCs w:val="24"/>
                <w:color w:val="auto"/>
              </w:rPr>
            </w:pPr>
          </w:p>
        </w:tc>
      </w:tr>
      <w:tr>
        <w:trPr>
          <w:trHeight w:val="170"/>
        </w:trPr>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1"/>
        </w:trPr>
        <w:tc>
          <w:tcPr>
            <w:tcW w:w="8200" w:type="dxa"/>
            <w:vAlign w:val="bottom"/>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3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F-2</w:t>
            </w:r>
          </w:p>
        </w:tc>
      </w:tr>
      <w:tr>
        <w:trPr>
          <w:trHeight w:val="148"/>
        </w:trPr>
        <w:tc>
          <w:tcPr>
            <w:tcW w:w="86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8"/>
              </w:rPr>
              <w:t>Balance Sheets</w:t>
            </w:r>
          </w:p>
        </w:tc>
        <w:tc>
          <w:tcPr>
            <w:tcW w:w="2420" w:type="dxa"/>
            <w:vAlign w:val="bottom"/>
            <w:tcBorders>
              <w:top w:val="single" w:sz="8" w:color="0000EE"/>
            </w:tcBorders>
            <w:gridSpan w:val="4"/>
          </w:tcPr>
          <w:p>
            <w:pPr>
              <w:spacing w:after="0"/>
              <w:rPr>
                <w:sz w:val="12"/>
                <w:szCs w:val="12"/>
                <w:color w:val="auto"/>
              </w:rPr>
            </w:pPr>
          </w:p>
        </w:tc>
        <w:tc>
          <w:tcPr>
            <w:tcW w:w="4920" w:type="dxa"/>
            <w:vAlign w:val="bottom"/>
            <w:gridSpan w:val="2"/>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F-3</w:t>
            </w:r>
          </w:p>
        </w:tc>
      </w:tr>
      <w:tr>
        <w:trPr>
          <w:trHeight w:val="148"/>
        </w:trPr>
        <w:tc>
          <w:tcPr>
            <w:tcW w:w="8200" w:type="dxa"/>
            <w:vAlign w:val="bottom"/>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Statements of Operations and Comprehensive Loss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8"/>
        </w:trPr>
        <w:tc>
          <w:tcPr>
            <w:tcW w:w="456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9"/>
              </w:rPr>
              <w:t>Statements of Redeemable Convertible Preferred Stock and Stockholders’ Deficit</w:t>
            </w:r>
          </w:p>
        </w:tc>
        <w:tc>
          <w:tcPr>
            <w:tcW w:w="364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F-5</w:t>
            </w:r>
          </w:p>
        </w:tc>
      </w:tr>
      <w:tr>
        <w:trPr>
          <w:trHeight w:val="148"/>
        </w:trPr>
        <w:tc>
          <w:tcPr>
            <w:tcW w:w="146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8"/>
              </w:rPr>
              <w:t>Statements of Cash Flows</w:t>
            </w:r>
          </w:p>
        </w:tc>
        <w:tc>
          <w:tcPr>
            <w:tcW w:w="6740" w:type="dxa"/>
            <w:vAlign w:val="bottom"/>
            <w:gridSpan w:val="5"/>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F-6</w:t>
            </w:r>
          </w:p>
        </w:tc>
      </w:tr>
      <w:tr>
        <w:trPr>
          <w:trHeight w:val="148"/>
        </w:trPr>
        <w:tc>
          <w:tcPr>
            <w:tcW w:w="168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9"/>
              </w:rPr>
              <w:t>Notes to Financial Statements</w:t>
            </w:r>
          </w:p>
        </w:tc>
        <w:tc>
          <w:tcPr>
            <w:tcW w:w="6520" w:type="dxa"/>
            <w:vAlign w:val="bottom"/>
            <w:gridSpan w:val="4"/>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F-8</w:t>
            </w:r>
          </w:p>
        </w:tc>
      </w:tr>
      <w:tr>
        <w:trPr>
          <w:trHeight w:val="331"/>
        </w:trPr>
        <w:tc>
          <w:tcPr>
            <w:tcW w:w="8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BILLIONTOONE, INC. UNAUDITED INTERIM FINANCIAL STATEMENTS AS OF AND FOR THE SIX MONTHS ENDED JUNE</w:t>
            </w:r>
          </w:p>
        </w:tc>
        <w:tc>
          <w:tcPr>
            <w:tcW w:w="320" w:type="dxa"/>
            <w:vAlign w:val="bottom"/>
          </w:tcPr>
          <w:p>
            <w:pPr>
              <w:spacing w:after="0"/>
              <w:rPr>
                <w:sz w:val="24"/>
                <w:szCs w:val="24"/>
                <w:color w:val="auto"/>
              </w:rPr>
            </w:pPr>
          </w:p>
        </w:tc>
      </w:tr>
      <w:tr>
        <w:trPr>
          <w:trHeight w:val="170"/>
        </w:trPr>
        <w:tc>
          <w:tcPr>
            <w:tcW w:w="82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30, 2025 AND 2024</w:t>
            </w:r>
          </w:p>
        </w:tc>
        <w:tc>
          <w:tcPr>
            <w:tcW w:w="320" w:type="dxa"/>
            <w:vAlign w:val="bottom"/>
          </w:tcPr>
          <w:p>
            <w:pPr>
              <w:spacing w:after="0"/>
              <w:rPr>
                <w:sz w:val="14"/>
                <w:szCs w:val="14"/>
                <w:color w:val="auto"/>
              </w:rPr>
            </w:pPr>
          </w:p>
        </w:tc>
      </w:tr>
      <w:tr>
        <w:trPr>
          <w:trHeight w:val="151"/>
        </w:trPr>
        <w:tc>
          <w:tcPr>
            <w:tcW w:w="860" w:type="dxa"/>
            <w:vAlign w:val="bottom"/>
            <w:tcBorders>
              <w:bottom w:val="single" w:sz="8" w:color="0000EE"/>
            </w:tcBorders>
          </w:tcPr>
          <w:p>
            <w:pPr>
              <w:spacing w:after="0" w:line="151" w:lineRule="exact"/>
              <w:rPr>
                <w:sz w:val="20"/>
                <w:szCs w:val="20"/>
                <w:color w:val="auto"/>
              </w:rPr>
            </w:pPr>
            <w:r>
              <w:rPr>
                <w:rFonts w:ascii="Times New Roman" w:cs="Times New Roman" w:eastAsia="Times New Roman" w:hAnsi="Times New Roman"/>
                <w:sz w:val="14"/>
                <w:szCs w:val="14"/>
                <w:color w:val="0000EE"/>
                <w:w w:val="98"/>
              </w:rPr>
              <w:t>Balance Sheets</w:t>
            </w:r>
          </w:p>
        </w:tc>
        <w:tc>
          <w:tcPr>
            <w:tcW w:w="7340" w:type="dxa"/>
            <w:vAlign w:val="bottom"/>
            <w:gridSpan w:val="6"/>
          </w:tcPr>
          <w:p>
            <w:pPr>
              <w:spacing w:after="0"/>
              <w:rPr>
                <w:sz w:val="13"/>
                <w:szCs w:val="13"/>
                <w:color w:val="auto"/>
              </w:rPr>
            </w:pPr>
          </w:p>
        </w:tc>
        <w:tc>
          <w:tcPr>
            <w:tcW w:w="3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F-39</w:t>
            </w:r>
          </w:p>
        </w:tc>
      </w:tr>
      <w:tr>
        <w:trPr>
          <w:trHeight w:val="148"/>
        </w:trPr>
        <w:tc>
          <w:tcPr>
            <w:tcW w:w="8200" w:type="dxa"/>
            <w:vAlign w:val="bottom"/>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Statements of Operations and Comprehensive Loss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F-40</w:t>
            </w: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8"/>
        </w:trPr>
        <w:tc>
          <w:tcPr>
            <w:tcW w:w="456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9"/>
              </w:rPr>
              <w:t>Statements of Redeemable Convertible Preferred Stock and Stockholders’ Deficit</w:t>
            </w:r>
          </w:p>
        </w:tc>
        <w:tc>
          <w:tcPr>
            <w:tcW w:w="364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F-41</w:t>
            </w:r>
          </w:p>
        </w:tc>
      </w:tr>
      <w:tr>
        <w:trPr>
          <w:trHeight w:val="148"/>
        </w:trPr>
        <w:tc>
          <w:tcPr>
            <w:tcW w:w="146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8"/>
              </w:rPr>
              <w:t>Statements of Cash Flows</w:t>
            </w:r>
          </w:p>
        </w:tc>
        <w:tc>
          <w:tcPr>
            <w:tcW w:w="6740" w:type="dxa"/>
            <w:vAlign w:val="bottom"/>
            <w:gridSpan w:val="5"/>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F-42</w:t>
            </w:r>
          </w:p>
        </w:tc>
      </w:tr>
      <w:tr>
        <w:trPr>
          <w:trHeight w:val="148"/>
        </w:trPr>
        <w:tc>
          <w:tcPr>
            <w:tcW w:w="8200" w:type="dxa"/>
            <w:vAlign w:val="bottom"/>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Notes to Financial Statements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F-44</w:t>
            </w:r>
          </w:p>
        </w:tc>
      </w:tr>
      <w:tr>
        <w:trPr>
          <w:trHeight w:val="295"/>
        </w:trPr>
        <w:tc>
          <w:tcPr>
            <w:tcW w:w="8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color w:val="auto"/>
              </w:rPr>
              <w:t>F-1</w:t>
            </w:r>
          </w:p>
        </w:tc>
        <w:tc>
          <w:tcPr>
            <w:tcW w:w="320" w:type="dxa"/>
            <w:vAlign w:val="bottom"/>
          </w:tcPr>
          <w:p>
            <w:pPr>
              <w:spacing w:after="0"/>
              <w:rPr>
                <w:sz w:val="24"/>
                <w:szCs w:val="24"/>
                <w:color w:val="auto"/>
              </w:rPr>
            </w:pPr>
          </w:p>
        </w:tc>
      </w:tr>
    </w:tbl>
    <w:p>
      <w:pPr>
        <w:sectPr>
          <w:pgSz w:w="11900" w:h="16838" w:orient="portrait"/>
          <w:cols w:equalWidth="0" w:num="1">
            <w:col w:w="10159"/>
          </w:cols>
          <w:pgMar w:left="300" w:top="385"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Board of Directors and Stockholders of BillionToOne, Inc.</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93" w:lineRule="exact"/>
        <w:rPr>
          <w:sz w:val="20"/>
          <w:szCs w:val="20"/>
          <w:color w:val="auto"/>
        </w:rPr>
      </w:pPr>
    </w:p>
    <w:p>
      <w:pPr>
        <w:ind w:left="1360" w:right="399"/>
        <w:spacing w:after="0" w:line="256" w:lineRule="auto"/>
        <w:rPr>
          <w:sz w:val="20"/>
          <w:szCs w:val="20"/>
          <w:color w:val="auto"/>
        </w:rPr>
      </w:pPr>
      <w:r>
        <w:rPr>
          <w:rFonts w:ascii="Times New Roman" w:cs="Times New Roman" w:eastAsia="Times New Roman" w:hAnsi="Times New Roman"/>
          <w:sz w:val="14"/>
          <w:szCs w:val="14"/>
          <w:color w:val="auto"/>
        </w:rPr>
        <w:t>We have audited the accompanying 2024 financial statements of BillionToOne, Inc. and the 2023 consolidated financial statements of BillionToOne, Inc. and its subsidiary (collectively referred to as “the Company”), which comprise the balance sheets as of December 31, 2024 and 2023, and the related statements of operations and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360" w:right="239"/>
        <w:spacing w:after="0" w:line="322" w:lineRule="auto"/>
        <w:rPr>
          <w:sz w:val="20"/>
          <w:szCs w:val="20"/>
          <w:color w:val="auto"/>
        </w:rPr>
      </w:pPr>
      <w:r>
        <w:rPr>
          <w:rFonts w:ascii="Times New Roman" w:cs="Times New Roman" w:eastAsia="Times New Roman" w:hAnsi="Times New Roman"/>
          <w:sz w:val="13"/>
          <w:szCs w:val="13"/>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0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Florham Park, New Jersey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June 20, 2025</w:t>
      </w:r>
    </w:p>
    <w:p>
      <w:pPr>
        <w:spacing w:after="0" w:line="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5"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80" w:type="dxa"/>
            <w:vAlign w:val="bottom"/>
            <w:tcBorders>
              <w:bottom w:val="single" w:sz="8" w:color="E5E5E5"/>
            </w:tcBorders>
          </w:tcPr>
          <w:p>
            <w:pPr>
              <w:spacing w:after="0"/>
              <w:rPr>
                <w:sz w:val="9"/>
                <w:szCs w:val="9"/>
                <w:color w:val="auto"/>
              </w:rPr>
            </w:pPr>
          </w:p>
        </w:tc>
        <w:tc>
          <w:tcPr>
            <w:tcW w:w="10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E5E5E5"/>
            </w:tcBorders>
          </w:tcPr>
          <w:p>
            <w:pPr>
              <w:spacing w:after="0"/>
              <w:rPr>
                <w:sz w:val="9"/>
                <w:szCs w:val="9"/>
                <w:color w:val="auto"/>
              </w:rPr>
            </w:pPr>
          </w:p>
        </w:tc>
        <w:tc>
          <w:tcPr>
            <w:tcW w:w="8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97,268</w:t>
            </w:r>
          </w:p>
        </w:tc>
        <w:tc>
          <w:tcPr>
            <w:tcW w:w="100" w:type="dxa"/>
            <w:vAlign w:val="bottom"/>
            <w:shd w:val="clear" w:color="auto" w:fill="E5E5E5"/>
          </w:tcPr>
          <w:p>
            <w:pPr>
              <w:spacing w:after="0"/>
              <w:rPr>
                <w:sz w:val="14"/>
                <w:szCs w:val="14"/>
                <w:color w:val="auto"/>
              </w:rPr>
            </w:pPr>
          </w:p>
        </w:tc>
        <w:tc>
          <w:tcPr>
            <w:tcW w:w="2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191,477</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8,733</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115,497</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227,817</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56,387</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51,739</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191,677</w:t>
            </w:r>
          </w:p>
        </w:tc>
        <w:tc>
          <w:tcPr>
            <w:tcW w:w="100" w:type="dxa"/>
            <w:vAlign w:val="bottom"/>
            <w:shd w:val="clear" w:color="auto" w:fill="E5E5E5"/>
          </w:tcPr>
          <w:p>
            <w:pPr>
              <w:spacing w:after="0"/>
              <w:rPr>
                <w:sz w:val="14"/>
                <w:szCs w:val="14"/>
                <w:color w:val="auto"/>
              </w:rPr>
            </w:pPr>
          </w:p>
        </w:tc>
        <w:tc>
          <w:tcPr>
            <w:tcW w:w="2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302,059</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commissions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 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lease liabilities, 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Convertible notes</w:t>
            </w:r>
          </w:p>
        </w:tc>
        <w:tc>
          <w:tcPr>
            <w:tcW w:w="1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47,686</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55,195</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50,802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Financing lease liabilities, non-current portion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161,203</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134,306</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480" w:type="dxa"/>
            <w:vAlign w:val="bottom"/>
            <w:shd w:val="clear" w:color="auto" w:fill="E5E5E5"/>
          </w:tcPr>
          <w:p>
            <w:pPr>
              <w:spacing w:after="0" w:line="153" w:lineRule="exact"/>
              <w:rPr>
                <w:sz w:val="20"/>
                <w:szCs w:val="20"/>
                <w:color w:val="auto"/>
              </w:rPr>
            </w:pPr>
            <w:r>
              <w:rPr>
                <w:rFonts w:ascii="Times New Roman" w:cs="Times New Roman" w:eastAsia="Times New Roman" w:hAnsi="Times New Roman"/>
                <w:sz w:val="14"/>
                <w:szCs w:val="14"/>
                <w:color w:val="auto"/>
              </w:rPr>
              <w:t>Redeemable convertible preferred stock, $0.00001 par value; 23,161,933 and 29,544,989 shares authorized as of</w:t>
            </w: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4"/>
                <w:szCs w:val="14"/>
                <w:color w:val="auto"/>
              </w:rPr>
              <w:t>December 31, 2023 and 2024, respectively; 22,701,179 and 29,084,235 shares issued and outstanding as of</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4"/>
                <w:szCs w:val="14"/>
                <w:color w:val="auto"/>
              </w:rPr>
              <w:t>December 31, 2023 and 2024, respectively; aggregate liquidation preference of $232,025 and $422,458 as of</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4"/>
                <w:szCs w:val="14"/>
                <w:color w:val="auto"/>
              </w:rPr>
              <w:t>December 31, 2023 and 2024, respectively</w:t>
            </w:r>
          </w:p>
        </w:tc>
        <w:tc>
          <w:tcPr>
            <w:tcW w:w="100" w:type="dxa"/>
            <w:vAlign w:val="bottom"/>
            <w:shd w:val="clear" w:color="auto" w:fill="E5E5E5"/>
          </w:tcPr>
          <w:p>
            <w:pPr>
              <w:spacing w:after="0"/>
              <w:rPr>
                <w:sz w:val="15"/>
                <w:szCs w:val="15"/>
                <w:color w:val="auto"/>
              </w:rPr>
            </w:pPr>
          </w:p>
        </w:tc>
        <w:tc>
          <w:tcPr>
            <w:tcW w:w="120" w:type="dxa"/>
            <w:vAlign w:val="bottom"/>
            <w:tcBorders>
              <w:bottom w:val="single" w:sz="8" w:color="auto"/>
            </w:tcBorders>
            <w:shd w:val="clear" w:color="auto" w:fill="E5E5E5"/>
          </w:tcPr>
          <w:p>
            <w:pPr>
              <w:spacing w:after="0"/>
              <w:rPr>
                <w:sz w:val="15"/>
                <w:szCs w:val="15"/>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249,527</w:t>
            </w:r>
          </w:p>
        </w:tc>
        <w:tc>
          <w:tcPr>
            <w:tcW w:w="1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20" w:type="dxa"/>
            <w:vAlign w:val="bottom"/>
            <w:tcBorders>
              <w:bottom w:val="single" w:sz="8" w:color="auto"/>
            </w:tcBorders>
            <w:shd w:val="clear" w:color="auto" w:fill="E5E5E5"/>
          </w:tcPr>
          <w:p>
            <w:pPr>
              <w:spacing w:after="0"/>
              <w:rPr>
                <w:sz w:val="15"/>
                <w:szCs w:val="15"/>
                <w:color w:val="auto"/>
              </w:rPr>
            </w:pPr>
          </w:p>
        </w:tc>
        <w:tc>
          <w:tcPr>
            <w:tcW w:w="140" w:type="dxa"/>
            <w:vAlign w:val="bottom"/>
            <w:tcBorders>
              <w:bottom w:val="single" w:sz="8" w:color="auto"/>
            </w:tcBorders>
            <w:shd w:val="clear" w:color="auto" w:fill="E5E5E5"/>
          </w:tcPr>
          <w:p>
            <w:pPr>
              <w:spacing w:after="0"/>
              <w:rPr>
                <w:sz w:val="15"/>
                <w:szCs w:val="15"/>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419,409</w:t>
            </w: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80" w:type="dxa"/>
            <w:vAlign w:val="bottom"/>
            <w:shd w:val="clear" w:color="auto" w:fill="E5E5E5"/>
          </w:tcPr>
          <w:p>
            <w:pPr>
              <w:ind w:left="260"/>
              <w:spacing w:after="0" w:line="153" w:lineRule="exact"/>
              <w:rPr>
                <w:sz w:val="20"/>
                <w:szCs w:val="20"/>
                <w:color w:val="auto"/>
              </w:rPr>
            </w:pPr>
            <w:r>
              <w:rPr>
                <w:rFonts w:ascii="Times New Roman" w:cs="Times New Roman" w:eastAsia="Times New Roman" w:hAnsi="Times New Roman"/>
                <w:sz w:val="14"/>
                <w:szCs w:val="14"/>
                <w:color w:val="auto"/>
              </w:rPr>
              <w:t>Common stock, $0.00001 par value; 42,176,761 and 51,100,000 shares authorized as of December 31, 2023</w:t>
            </w: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4"/>
                <w:szCs w:val="14"/>
                <w:color w:val="auto"/>
              </w:rPr>
              <w:t>and 2024, respectively; 10,572,061 and 10,925,950 shares issued and outstanding as of December 31, 2023</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4"/>
                <w:szCs w:val="14"/>
                <w:color w:val="auto"/>
              </w:rPr>
              <w:t>and 2024, respectively</w:t>
            </w: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(240,631)</w:t>
            </w: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0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(282,201)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deficit</w:t>
            </w:r>
          </w:p>
        </w:tc>
        <w:tc>
          <w:tcPr>
            <w:tcW w:w="2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w w:val="95"/>
              </w:rPr>
              <w:t>     191,677</w:t>
            </w:r>
          </w:p>
        </w:tc>
        <w:tc>
          <w:tcPr>
            <w:tcW w:w="2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w w:val="99"/>
              </w:rPr>
              <w:t>  302,059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Operations and Comprehensive Loss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920" w:type="dxa"/>
            <w:vAlign w:val="bottom"/>
            <w:tcBorders>
              <w:bottom w:val="single" w:sz="8" w:color="E5E5E5"/>
            </w:tcBorders>
          </w:tcPr>
          <w:p>
            <w:pPr>
              <w:spacing w:after="0"/>
              <w:rPr>
                <w:sz w:val="9"/>
                <w:szCs w:val="9"/>
                <w:color w:val="auto"/>
              </w:rPr>
            </w:pPr>
          </w:p>
        </w:tc>
        <w:tc>
          <w:tcPr>
            <w:tcW w:w="1440" w:type="dxa"/>
            <w:vAlign w:val="bottom"/>
            <w:tcBorders>
              <w:bottom w:val="single" w:sz="8" w:color="E5E5E5"/>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top w:val="single" w:sz="8" w:color="auto"/>
              <w:bottom w:val="single" w:sz="8" w:color="E5E5E5"/>
            </w:tcBorders>
          </w:tcPr>
          <w:p>
            <w:pPr>
              <w:spacing w:after="0"/>
              <w:rPr>
                <w:sz w:val="9"/>
                <w:szCs w:val="9"/>
                <w:color w:val="auto"/>
              </w:rPr>
            </w:pPr>
          </w:p>
        </w:tc>
        <w:tc>
          <w:tcPr>
            <w:tcW w:w="260" w:type="dxa"/>
            <w:vAlign w:val="bottom"/>
            <w:tcBorders>
              <w:top w:val="single" w:sz="8" w:color="auto"/>
              <w:bottom w:val="single" w:sz="8" w:color="E5E5E5"/>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440" w:type="dxa"/>
            <w:vAlign w:val="bottom"/>
            <w:shd w:val="clear" w:color="auto" w:fill="E5E5E5"/>
          </w:tcPr>
          <w:p>
            <w:pPr>
              <w:spacing w:after="0"/>
              <w:rPr>
                <w:sz w:val="13"/>
                <w:szCs w:val="13"/>
                <w:color w:val="auto"/>
              </w:rPr>
            </w:pPr>
          </w:p>
        </w:tc>
        <w:tc>
          <w:tcPr>
            <w:tcW w:w="160" w:type="dxa"/>
            <w:vAlign w:val="bottom"/>
            <w:shd w:val="clear" w:color="auto" w:fill="E5E5E5"/>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71,729</w:t>
            </w:r>
          </w:p>
        </w:tc>
        <w:tc>
          <w:tcPr>
            <w:tcW w:w="3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160" w:type="dxa"/>
            <w:vAlign w:val="bottom"/>
            <w:shd w:val="clear" w:color="auto" w:fill="E5E5E5"/>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152,582</w:t>
            </w: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54,421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Gross profit</w:t>
            </w:r>
          </w:p>
        </w:tc>
        <w:tc>
          <w:tcPr>
            <w:tcW w:w="144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17,308</w:t>
            </w: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80,915</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22,414</w:t>
            </w: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36,596</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64,389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4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86,803</w:t>
            </w: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128,061</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Loss from operations</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49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9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(3,272)</w:t>
            </w: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gain on extinguishment of debt</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(3,137)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(12,921)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(442)</w:t>
            </w: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4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(82,674)</w:t>
            </w: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(41,541)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600" w:type="dxa"/>
            <w:vAlign w:val="bottom"/>
            <w:gridSpan w:val="2"/>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(82,683)</w:t>
            </w:r>
          </w:p>
        </w:tc>
        <w:tc>
          <w:tcPr>
            <w:tcW w:w="420" w:type="dxa"/>
            <w:vAlign w:val="bottom"/>
            <w:gridSpan w:val="2"/>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(41,570)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 per share:</w:t>
            </w: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4"/>
                <w:szCs w:val="14"/>
                <w:color w:val="auto"/>
              </w:rPr>
              <w:t>Basic and diluted</w:t>
            </w:r>
          </w:p>
        </w:tc>
        <w:tc>
          <w:tcPr>
            <w:tcW w:w="1600" w:type="dxa"/>
            <w:vAlign w:val="bottom"/>
            <w:gridSpan w:val="2"/>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(8.45)</w:t>
            </w:r>
          </w:p>
        </w:tc>
        <w:tc>
          <w:tcPr>
            <w:tcW w:w="420" w:type="dxa"/>
            <w:vAlign w:val="bottom"/>
            <w:gridSpan w:val="2"/>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calculating net loss per share:</w:t>
            </w: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4"/>
                <w:szCs w:val="14"/>
                <w:color w:val="auto"/>
              </w:rPr>
              <w:t>Basic and diluted</w:t>
            </w:r>
          </w:p>
        </w:tc>
        <w:tc>
          <w:tcPr>
            <w:tcW w:w="1440" w:type="dxa"/>
            <w:vAlign w:val="bottom"/>
            <w:shd w:val="clear" w:color="auto" w:fill="E5E5E5"/>
          </w:tcPr>
          <w:p>
            <w:pPr>
              <w:spacing w:after="0"/>
              <w:rPr>
                <w:sz w:val="14"/>
                <w:szCs w:val="14"/>
                <w:color w:val="auto"/>
              </w:rPr>
            </w:pPr>
          </w:p>
        </w:tc>
        <w:tc>
          <w:tcPr>
            <w:tcW w:w="160" w:type="dxa"/>
            <w:vAlign w:val="bottom"/>
            <w:shd w:val="clear" w:color="auto" w:fill="E5E5E5"/>
          </w:tcPr>
          <w:p>
            <w:pPr>
              <w:jc w:val="right"/>
              <w:ind w:right="8"/>
              <w:spacing w:after="0"/>
              <w:rPr>
                <w:sz w:val="20"/>
                <w:szCs w:val="20"/>
                <w:color w:val="auto"/>
              </w:rPr>
            </w:pPr>
            <w:r>
              <w:rPr>
                <w:rFonts w:ascii="Times New Roman" w:cs="Times New Roman" w:eastAsia="Times New Roman" w:hAnsi="Times New Roman"/>
                <w:sz w:val="10"/>
                <w:szCs w:val="10"/>
                <w:color w:val="auto"/>
                <w:w w:val="79"/>
              </w:rPr>
              <w:t> </w:t>
            </w:r>
          </w:p>
        </w:tc>
        <w:tc>
          <w:tcPr>
            <w:tcW w:w="880" w:type="dxa"/>
            <w:vAlign w:val="bottom"/>
            <w:gridSpan w:val="2"/>
            <w:shd w:val="clear" w:color="auto" w:fill="E5E5E5"/>
          </w:tcPr>
          <w:p>
            <w:pPr>
              <w:jc w:val="right"/>
              <w:ind w:right="300"/>
              <w:spacing w:after="0"/>
              <w:rPr>
                <w:sz w:val="20"/>
                <w:szCs w:val="20"/>
                <w:color w:val="auto"/>
              </w:rPr>
            </w:pPr>
            <w:r>
              <w:rPr>
                <w:rFonts w:ascii="Times New Roman" w:cs="Times New Roman" w:eastAsia="Times New Roman" w:hAnsi="Times New Roman"/>
                <w:sz w:val="14"/>
                <w:szCs w:val="14"/>
                <w:color w:val="auto"/>
                <w:w w:val="94"/>
              </w:rPr>
              <w:t>     9,783</w:t>
            </w:r>
          </w:p>
        </w:tc>
        <w:tc>
          <w:tcPr>
            <w:tcW w:w="260" w:type="dxa"/>
            <w:vAlign w:val="bottom"/>
            <w:shd w:val="clear" w:color="auto" w:fill="E5E5E5"/>
          </w:tcPr>
          <w:p>
            <w:pPr>
              <w:spacing w:after="0"/>
              <w:rPr>
                <w:sz w:val="14"/>
                <w:szCs w:val="14"/>
                <w:color w:val="auto"/>
              </w:rPr>
            </w:pPr>
          </w:p>
        </w:tc>
        <w:tc>
          <w:tcPr>
            <w:tcW w:w="160" w:type="dxa"/>
            <w:vAlign w:val="bottom"/>
            <w:shd w:val="clear" w:color="auto" w:fill="E5E5E5"/>
          </w:tcPr>
          <w:p>
            <w:pPr>
              <w:jc w:val="right"/>
              <w:ind w:right="8"/>
              <w:spacing w:after="0"/>
              <w:rPr>
                <w:sz w:val="20"/>
                <w:szCs w:val="20"/>
                <w:color w:val="auto"/>
              </w:rPr>
            </w:pPr>
            <w:r>
              <w:rPr>
                <w:rFonts w:ascii="Times New Roman" w:cs="Times New Roman" w:eastAsia="Times New Roman" w:hAnsi="Times New Roman"/>
                <w:sz w:val="10"/>
                <w:szCs w:val="10"/>
                <w:color w:val="auto"/>
                <w:w w:val="79"/>
              </w:rPr>
              <w:t> </w:t>
            </w:r>
          </w:p>
        </w:tc>
        <w:tc>
          <w:tcPr>
            <w:tcW w:w="7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w w:val="93"/>
              </w:rPr>
              <w:t>     10,080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5"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Redeemable Convertible Preferred Stock and Stockholders’ Deficit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auto"/>
            </w:tcBorders>
            <w:gridSpan w:val="3"/>
          </w:tcPr>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4"/>
            <w:vMerge w:val="continue"/>
          </w:tcPr>
          <w:p>
            <w:pPr>
              <w:spacing w:after="0"/>
              <w:rPr>
                <w:sz w:val="10"/>
                <w:szCs w:val="10"/>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720" w:type="dxa"/>
            <w:vAlign w:val="bottom"/>
            <w:gridSpan w:val="2"/>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32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Borders>
              <w:top w:val="single" w:sz="8" w:color="E5E5E5"/>
            </w:tcBorders>
            <w:shd w:val="clear" w:color="auto" w:fill="E5E5E5"/>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100" w:type="dxa"/>
            <w:vAlign w:val="bottom"/>
            <w:tcBorders>
              <w:top w:val="single" w:sz="8" w:color="E5E5E5"/>
            </w:tcBorders>
            <w:shd w:val="clear" w:color="auto" w:fill="E5E5E5"/>
          </w:tcPr>
          <w:p>
            <w:pPr>
              <w:spacing w:after="0"/>
              <w:rPr>
                <w:sz w:val="12"/>
                <w:szCs w:val="12"/>
                <w:color w:val="auto"/>
              </w:rPr>
            </w:pPr>
          </w:p>
        </w:tc>
        <w:tc>
          <w:tcPr>
            <w:tcW w:w="84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22,701,179</w:t>
            </w:r>
          </w:p>
        </w:tc>
        <w:tc>
          <w:tcPr>
            <w:tcW w:w="12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249,527</w:t>
            </w:r>
          </w:p>
        </w:tc>
        <w:tc>
          <w:tcPr>
            <w:tcW w:w="200" w:type="dxa"/>
            <w:vAlign w:val="bottom"/>
            <w:tcBorders>
              <w:top w:val="single" w:sz="8" w:color="E5E5E5"/>
              <w:right w:val="single" w:sz="8" w:color="auto"/>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10,424,709</w:t>
            </w:r>
          </w:p>
        </w:tc>
        <w:tc>
          <w:tcPr>
            <w:tcW w:w="8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16,140</w:t>
            </w:r>
          </w:p>
        </w:tc>
        <w:tc>
          <w:tcPr>
            <w:tcW w:w="10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(157,948)</w:t>
            </w:r>
          </w:p>
        </w:tc>
        <w:tc>
          <w:tcPr>
            <w:tcW w:w="10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(141,808)</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147,352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w w:val="99"/>
              </w:rPr>
              <w:t>Partial repayment of promissory note by executive</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4"/>
                <w:szCs w:val="14"/>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Vesting of early exercises</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3"/>
                <w:szCs w:val="13"/>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(82,683)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(82,683)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22,701,179</w:t>
            </w:r>
          </w:p>
        </w:tc>
        <w:tc>
          <w:tcPr>
            <w:tcW w:w="400" w:type="dxa"/>
            <w:vAlign w:val="bottom"/>
            <w:gridSpan w:val="2"/>
            <w:shd w:val="clear" w:color="auto" w:fill="E5E5E5"/>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99"/>
              </w:rPr>
              <w:t>249,527</w:t>
            </w:r>
          </w:p>
        </w:tc>
        <w:tc>
          <w:tcPr>
            <w:tcW w:w="200" w:type="dxa"/>
            <w:vAlign w:val="bottom"/>
            <w:tcBorders>
              <w:right w:val="single" w:sz="8" w:color="auto"/>
            </w:tcBorders>
            <w:shd w:val="clear" w:color="auto" w:fill="E5E5E5"/>
          </w:tcPr>
          <w:p>
            <w:pPr>
              <w:spacing w:after="0"/>
              <w:rPr>
                <w:sz w:val="13"/>
                <w:szCs w:val="13"/>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10,572,061</w:t>
            </w:r>
          </w:p>
        </w:tc>
        <w:tc>
          <w:tcPr>
            <w:tcW w:w="80" w:type="dxa"/>
            <w:vAlign w:val="bottom"/>
            <w:shd w:val="clear" w:color="auto" w:fill="E5E5E5"/>
          </w:tcPr>
          <w:p>
            <w:pPr>
              <w:spacing w:after="0"/>
              <w:rPr>
                <w:sz w:val="13"/>
                <w:szCs w:val="13"/>
                <w:color w:val="auto"/>
              </w:rPr>
            </w:pPr>
          </w:p>
        </w:tc>
        <w:tc>
          <w:tcPr>
            <w:tcW w:w="240" w:type="dxa"/>
            <w:vAlign w:val="bottom"/>
            <w:gridSpan w:val="2"/>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100" w:type="dxa"/>
            <w:vAlign w:val="bottom"/>
            <w:shd w:val="clear" w:color="auto" w:fill="E5E5E5"/>
          </w:tcPr>
          <w:p>
            <w:pPr>
              <w:spacing w:after="0"/>
              <w:rPr>
                <w:sz w:val="13"/>
                <w:szCs w:val="13"/>
                <w:color w:val="auto"/>
              </w:rPr>
            </w:pPr>
          </w:p>
        </w:tc>
        <w:tc>
          <w:tcPr>
            <w:tcW w:w="1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3"/>
                <w:szCs w:val="13"/>
                <w:color w:val="auto"/>
              </w:rPr>
              <w:t>(240,631)</w:t>
            </w:r>
          </w:p>
        </w:tc>
        <w:tc>
          <w:tcPr>
            <w:tcW w:w="1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3"/>
                <w:szCs w:val="13"/>
                <w:color w:val="auto"/>
              </w:rPr>
              <w:t>(219,053)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Issuance of Series C-1 redeemable convertible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 upon settlement of Convertible</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39,886</w:t>
            </w:r>
          </w:p>
        </w:tc>
        <w:tc>
          <w:tcPr>
            <w:tcW w:w="200" w:type="dxa"/>
            <w:vAlign w:val="bottom"/>
            <w:tcBorders>
              <w:right w:val="single" w:sz="8" w:color="auto"/>
            </w:tcBorders>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Issuance of Series D redeemable convertible</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200" w:type="dxa"/>
            <w:vAlign w:val="bottom"/>
            <w:tcBorders>
              <w:right w:val="single" w:sz="8" w:color="auto"/>
            </w:tcBorders>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rPr>
              <w:t>preferred stock, net of issuance costs of $474</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1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99"/>
              </w:rPr>
              <w:t>129,996</w:t>
            </w:r>
          </w:p>
        </w:tc>
        <w:tc>
          <w:tcPr>
            <w:tcW w:w="200" w:type="dxa"/>
            <w:vAlign w:val="bottom"/>
            <w:tcBorders>
              <w:right w:val="single" w:sz="8" w:color="auto"/>
            </w:tcBorders>
            <w:shd w:val="clear" w:color="auto" w:fill="E5E5E5"/>
          </w:tcPr>
          <w:p>
            <w:pPr>
              <w:spacing w:after="0"/>
              <w:rPr>
                <w:sz w:val="14"/>
                <w:szCs w:val="14"/>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380,639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4"/>
                <w:szCs w:val="14"/>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(26,750)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Vesting of early exercises</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3"/>
                <w:szCs w:val="13"/>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(41,570)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(41,570)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        29,084,235</w:t>
            </w:r>
          </w:p>
        </w:tc>
        <w:tc>
          <w:tcPr>
            <w:tcW w:w="400" w:type="dxa"/>
            <w:vAlign w:val="bottom"/>
            <w:gridSpan w:val="2"/>
            <w:shd w:val="clear" w:color="auto" w:fill="E5E5E5"/>
          </w:tcPr>
          <w:p>
            <w:pPr>
              <w:ind w:left="120"/>
              <w:spacing w:after="0"/>
              <w:rPr>
                <w:sz w:val="20"/>
                <w:szCs w:val="20"/>
                <w:color w:val="auto"/>
              </w:rPr>
            </w:pPr>
            <w:r>
              <w:rPr>
                <w:rFonts w:ascii="Times New Roman" w:cs="Times New Roman" w:eastAsia="Times New Roman" w:hAnsi="Times New Roman"/>
                <w:sz w:val="13"/>
                <w:szCs w:val="13"/>
                <w:color w:val="auto"/>
              </w:rPr>
              <w:t xml:space="preserve">$     </w:t>
            </w: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99"/>
              </w:rPr>
              <w:t>419,409</w:t>
            </w:r>
          </w:p>
        </w:tc>
        <w:tc>
          <w:tcPr>
            <w:tcW w:w="200" w:type="dxa"/>
            <w:vAlign w:val="bottom"/>
            <w:tcBorders>
              <w:right w:val="single" w:sz="8" w:color="auto"/>
            </w:tcBorders>
            <w:shd w:val="clear" w:color="auto" w:fill="E5E5E5"/>
          </w:tcPr>
          <w:p>
            <w:pPr>
              <w:spacing w:after="0"/>
              <w:rPr>
                <w:sz w:val="13"/>
                <w:szCs w:val="13"/>
                <w:color w:val="auto"/>
              </w:rPr>
            </w:pPr>
          </w:p>
        </w:tc>
        <w:tc>
          <w:tcPr>
            <w:tcW w:w="1060" w:type="dxa"/>
            <w:vAlign w:val="bottom"/>
            <w:gridSpan w:val="3"/>
            <w:shd w:val="clear" w:color="auto" w:fill="E5E5E5"/>
          </w:tcPr>
          <w:p>
            <w:pPr>
              <w:jc w:val="right"/>
              <w:ind w:right="100"/>
              <w:spacing w:after="0"/>
              <w:rPr>
                <w:sz w:val="20"/>
                <w:szCs w:val="20"/>
                <w:color w:val="auto"/>
              </w:rPr>
            </w:pPr>
            <w:r>
              <w:rPr>
                <w:rFonts w:ascii="Times New Roman" w:cs="Times New Roman" w:eastAsia="Times New Roman" w:hAnsi="Times New Roman"/>
                <w:sz w:val="13"/>
                <w:szCs w:val="13"/>
                <w:color w:val="auto"/>
              </w:rPr>
              <w:t>      10,925,950</w:t>
            </w:r>
          </w:p>
        </w:tc>
        <w:tc>
          <w:tcPr>
            <w:tcW w:w="240" w:type="dxa"/>
            <w:vAlign w:val="bottom"/>
            <w:gridSpan w:val="2"/>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83"/>
              </w:rPr>
              <w:t>   -</w:t>
            </w:r>
          </w:p>
        </w:tc>
        <w:tc>
          <w:tcPr>
            <w:tcW w:w="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3"/>
                <w:szCs w:val="13"/>
                <w:color w:val="auto"/>
                <w:w w:val="94"/>
              </w:rPr>
              <w:t>     30,545</w:t>
            </w:r>
          </w:p>
        </w:tc>
        <w:tc>
          <w:tcPr>
            <w:tcW w:w="1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3"/>
                <w:szCs w:val="13"/>
                <w:color w:val="auto"/>
                <w:w w:val="90"/>
              </w:rPr>
              <w:t>   (282,201)</w:t>
            </w:r>
          </w:p>
        </w:tc>
        <w:tc>
          <w:tcPr>
            <w:tcW w:w="1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3"/>
                <w:szCs w:val="13"/>
                <w:color w:val="auto"/>
              </w:rPr>
              <w:t> (251,656)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5"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Cash Flows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7"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6020"/>
        <w:spacing w:after="0" w:line="234"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36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(82,683)</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 costs and accretion of exit fees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Debt issuance costs on term loan expensed upon election of fair value option</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redeemable convertible preferred stock warrants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gain on extinguishment of debt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12,921</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receivable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(2,588)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Inventories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300"/>
              <w:spacing w:after="0"/>
              <w:rPr>
                <w:sz w:val="20"/>
                <w:szCs w:val="20"/>
                <w:color w:val="auto"/>
              </w:rPr>
            </w:pPr>
            <w:r>
              <w:rPr>
                <w:rFonts w:ascii="Times New Roman" w:cs="Times New Roman" w:eastAsia="Times New Roman" w:hAnsi="Times New Roman"/>
                <w:sz w:val="14"/>
                <w:szCs w:val="14"/>
                <w:color w:val="auto"/>
              </w:rPr>
              <w:t>(1,412)</w:t>
            </w: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Other non-current assets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(3,101)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commissions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Deferred revenue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certificates of deposit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Deposits paid for financing leases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300"/>
              <w:spacing w:after="0"/>
              <w:rPr>
                <w:sz w:val="20"/>
                <w:szCs w:val="20"/>
                <w:color w:val="auto"/>
              </w:rPr>
            </w:pPr>
            <w:r>
              <w:rPr>
                <w:rFonts w:ascii="Times New Roman" w:cs="Times New Roman" w:eastAsia="Times New Roman" w:hAnsi="Times New Roman"/>
                <w:sz w:val="14"/>
                <w:szCs w:val="14"/>
                <w:color w:val="auto"/>
              </w:rPr>
              <w:t>(988)</w:t>
            </w: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(6,174)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780" w:type="dxa"/>
            <w:vAlign w:val="bottom"/>
            <w:shd w:val="clear" w:color="auto" w:fill="E5E5E5"/>
          </w:tcPr>
          <w:p>
            <w:pPr>
              <w:spacing w:after="0"/>
              <w:rPr>
                <w:sz w:val="14"/>
                <w:szCs w:val="14"/>
                <w:color w:val="auto"/>
              </w:rPr>
            </w:pP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920" w:type="dxa"/>
            <w:vAlign w:val="bottom"/>
            <w:gridSpan w:val="2"/>
            <w:shd w:val="clear" w:color="auto" w:fill="E5E5E5"/>
          </w:tcPr>
          <w:p>
            <w:pPr>
              <w:jc w:val="right"/>
              <w:ind w:right="340"/>
              <w:spacing w:after="0"/>
              <w:rPr>
                <w:sz w:val="20"/>
                <w:szCs w:val="20"/>
                <w:color w:val="auto"/>
              </w:rPr>
            </w:pPr>
            <w:r>
              <w:rPr>
                <w:rFonts w:ascii="Times New Roman" w:cs="Times New Roman" w:eastAsia="Times New Roman" w:hAnsi="Times New Roman"/>
                <w:sz w:val="14"/>
                <w:szCs w:val="14"/>
                <w:color w:val="auto"/>
                <w:w w:val="94"/>
              </w:rPr>
              <w:t>   82,838</w:t>
            </w:r>
          </w:p>
        </w:tc>
        <w:tc>
          <w:tcPr>
            <w:tcW w:w="28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w w:val="96"/>
              </w:rPr>
              <w:t>   (5,433)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20" w:type="dxa"/>
            <w:vAlign w:val="bottom"/>
          </w:tcPr>
          <w:p>
            <w:pPr>
              <w:ind w:left="4160"/>
              <w:spacing w:after="0"/>
              <w:rPr>
                <w:sz w:val="20"/>
                <w:szCs w:val="20"/>
                <w:color w:val="auto"/>
              </w:rPr>
            </w:pPr>
            <w:r>
              <w:rPr>
                <w:rFonts w:ascii="Times New Roman" w:cs="Times New Roman" w:eastAsia="Times New Roman" w:hAnsi="Times New Roman"/>
                <w:sz w:val="14"/>
                <w:szCs w:val="14"/>
                <w:color w:val="auto"/>
              </w:rPr>
              <w:t>F-6</w:t>
            </w:r>
          </w:p>
        </w:tc>
        <w:tc>
          <w:tcPr>
            <w:tcW w:w="7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Cash Flows—Continued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6120"/>
        <w:spacing w:after="0" w:line="234"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360" w:type="dxa"/>
        <w:tblCellMar>
          <w:top w:w="0" w:type="dxa"/>
          <w:left w:w="0" w:type="dxa"/>
          <w:bottom w:w="0" w:type="dxa"/>
          <w:right w:w="0" w:type="dxa"/>
        </w:tblCellMar>
      </w:tblPr>
      <w:tr>
        <w:trPr>
          <w:trHeight w:val="106"/>
        </w:trPr>
        <w:tc>
          <w:tcPr>
            <w:tcW w:w="6140" w:type="dxa"/>
            <w:vAlign w:val="bottom"/>
            <w:tcBorders>
              <w:bottom w:val="single" w:sz="8" w:color="E5E5E5"/>
            </w:tcBorders>
          </w:tcPr>
          <w:p>
            <w:pPr>
              <w:spacing w:after="0"/>
              <w:rPr>
                <w:sz w:val="9"/>
                <w:szCs w:val="9"/>
                <w:color w:val="auto"/>
              </w:rPr>
            </w:pPr>
          </w:p>
        </w:tc>
        <w:tc>
          <w:tcPr>
            <w:tcW w:w="120" w:type="dxa"/>
            <w:vAlign w:val="bottom"/>
            <w:tcBorders>
              <w:bottom w:val="single" w:sz="8" w:color="E5E5E5"/>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E5E5E5"/>
            </w:tcBorders>
          </w:tcPr>
          <w:p>
            <w:pPr>
              <w:spacing w:after="0"/>
              <w:rPr>
                <w:sz w:val="9"/>
                <w:szCs w:val="9"/>
                <w:color w:val="auto"/>
              </w:rPr>
            </w:pPr>
          </w:p>
        </w:tc>
        <w:tc>
          <w:tcPr>
            <w:tcW w:w="120" w:type="dxa"/>
            <w:vAlign w:val="bottom"/>
            <w:tcBorders>
              <w:top w:val="single" w:sz="8" w:color="auto"/>
              <w:bottom w:val="single" w:sz="8" w:color="E5E5E5"/>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E5E5E5"/>
            </w:tcBorders>
          </w:tcPr>
          <w:p>
            <w:pPr>
              <w:spacing w:after="0"/>
              <w:rPr>
                <w:sz w:val="9"/>
                <w:szCs w:val="9"/>
                <w:color w:val="auto"/>
              </w:rPr>
            </w:pPr>
          </w:p>
        </w:tc>
      </w:tr>
      <w:tr>
        <w:trPr>
          <w:trHeight w:val="148"/>
        </w:trPr>
        <w:tc>
          <w:tcPr>
            <w:tcW w:w="614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debt,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49,775</w:t>
            </w: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Repayment of debt upon extinguishment</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(35,000)</w:t>
            </w: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Payment of exit fee and prepayment payable upon debt extinguishment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(1,688)</w:t>
            </w: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5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w w:val="97"/>
              </w:rPr>
              <w:t>(2,090)</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(2,376)</w:t>
            </w: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(546)</w:t>
            </w: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Payment of debt issuance costs on term loan</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stock options, net of repurchases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Proceeds from partial repayment of promissory note by executive</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r>
      <w:tr>
        <w:trPr>
          <w:trHeight w:val="169"/>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D redeemable convertible preferred stock, net of issuance costs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129,996</w:t>
            </w: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spacing w:after="0"/>
              <w:rPr>
                <w:sz w:val="14"/>
                <w:szCs w:val="14"/>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93"/>
              </w:rPr>
              <w:t>13,405</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141,017</w:t>
            </w:r>
          </w:p>
        </w:tc>
        <w:tc>
          <w:tcPr>
            <w:tcW w:w="120" w:type="dxa"/>
            <w:vAlign w:val="bottom"/>
            <w:shd w:val="clear" w:color="auto" w:fill="E5E5E5"/>
          </w:tcPr>
          <w:p>
            <w:pPr>
              <w:spacing w:after="0"/>
              <w:rPr>
                <w:sz w:val="14"/>
                <w:szCs w:val="14"/>
                <w:color w:val="auto"/>
              </w:rPr>
            </w:pPr>
          </w:p>
        </w:tc>
      </w:tr>
      <w:tr>
        <w:trPr>
          <w:trHeight w:val="169"/>
        </w:trPr>
        <w:tc>
          <w:tcPr>
            <w:tcW w:w="6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42,571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94,209</w:t>
            </w: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spacing w:after="0"/>
              <w:rPr>
                <w:sz w:val="14"/>
                <w:szCs w:val="14"/>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93"/>
              </w:rPr>
              <w:t>54,697</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97,268</w:t>
            </w:r>
          </w:p>
        </w:tc>
        <w:tc>
          <w:tcPr>
            <w:tcW w:w="120" w:type="dxa"/>
            <w:vAlign w:val="bottom"/>
            <w:shd w:val="clear" w:color="auto" w:fill="E5E5E5"/>
          </w:tcPr>
          <w:p>
            <w:pPr>
              <w:spacing w:after="0"/>
              <w:rPr>
                <w:sz w:val="14"/>
                <w:szCs w:val="14"/>
                <w:color w:val="auto"/>
              </w:rPr>
            </w:pPr>
          </w:p>
        </w:tc>
      </w:tr>
      <w:tr>
        <w:trPr>
          <w:trHeight w:val="169"/>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 xml:space="preserve">        </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97,268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191,477</w:t>
            </w:r>
          </w:p>
        </w:tc>
        <w:tc>
          <w:tcPr>
            <w:tcW w:w="1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6140" w:type="dxa"/>
            <w:vAlign w:val="bottom"/>
            <w:shd w:val="clear" w:color="auto" w:fill="E5E5E5"/>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1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60" w:type="dxa"/>
            <w:vAlign w:val="bottom"/>
          </w:tcPr>
          <w:p>
            <w:pPr>
              <w:spacing w:after="0"/>
              <w:rPr>
                <w:sz w:val="14"/>
                <w:szCs w:val="14"/>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3,915</w:t>
            </w: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E5E5E5"/>
          </w:tcPr>
          <w:p>
            <w:pPr>
              <w:spacing w:after="0"/>
              <w:rPr>
                <w:sz w:val="14"/>
                <w:szCs w:val="14"/>
                <w:color w:val="auto"/>
              </w:rPr>
            </w:pP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60" w:type="dxa"/>
            <w:vAlign w:val="bottom"/>
            <w:shd w:val="clear" w:color="auto" w:fill="E5E5E5"/>
          </w:tcPr>
          <w:p>
            <w:pPr>
              <w:spacing w:after="0"/>
              <w:rPr>
                <w:sz w:val="14"/>
                <w:szCs w:val="14"/>
                <w:color w:val="auto"/>
              </w:rPr>
            </w:pP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E5E5E5"/>
          </w:tcPr>
          <w:p>
            <w:pPr>
              <w:spacing w:after="0"/>
              <w:rPr>
                <w:sz w:val="14"/>
                <w:szCs w:val="14"/>
                <w:color w:val="auto"/>
              </w:rPr>
            </w:pPr>
          </w:p>
        </w:tc>
      </w:tr>
      <w:tr>
        <w:trPr>
          <w:trHeight w:val="16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expenses and other current liabilities</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tcPr>
          <w:p>
            <w:pPr>
              <w:spacing w:after="0"/>
              <w:rPr>
                <w:sz w:val="14"/>
                <w:szCs w:val="14"/>
                <w:color w:val="auto"/>
              </w:rPr>
            </w:pPr>
          </w:p>
        </w:tc>
      </w:tr>
      <w:tr>
        <w:trPr>
          <w:trHeight w:val="168"/>
        </w:trPr>
        <w:tc>
          <w:tcPr>
            <w:tcW w:w="61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Issuance of Series C-1 redeemable convertible preferred stock upon settlement of convertible notes</w:t>
            </w: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39,886</w:t>
            </w:r>
          </w:p>
        </w:tc>
        <w:tc>
          <w:tcPr>
            <w:tcW w:w="120" w:type="dxa"/>
            <w:vAlign w:val="bottom"/>
            <w:shd w:val="clear" w:color="auto" w:fill="E5E5E5"/>
          </w:tcPr>
          <w:p>
            <w:pPr>
              <w:spacing w:after="0"/>
              <w:rPr>
                <w:sz w:val="14"/>
                <w:szCs w:val="14"/>
                <w:color w:val="auto"/>
              </w:rPr>
            </w:pPr>
          </w:p>
        </w:tc>
      </w:tr>
      <w:tr>
        <w:trPr>
          <w:trHeight w:val="183"/>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 for which cash has not been received</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5"/>
                <w:szCs w:val="15"/>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261"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BillionToOne, Inc. (the “Company”, “we”, or “our”) was formed in 2016, and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the proprietary technology to non-invasive prenatal screening (“Prenatal”) and liquid biopsy (“Oncology”).</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3" w:lineRule="exact"/>
        <w:rPr>
          <w:sz w:val="20"/>
          <w:szCs w:val="20"/>
          <w:color w:val="auto"/>
        </w:rPr>
      </w:pPr>
    </w:p>
    <w:p>
      <w:pPr>
        <w:ind w:left="1360" w:right="259"/>
        <w:spacing w:after="0" w:line="287" w:lineRule="auto"/>
        <w:rPr>
          <w:sz w:val="20"/>
          <w:szCs w:val="20"/>
          <w:color w:val="auto"/>
        </w:rPr>
      </w:pPr>
      <w:r>
        <w:rPr>
          <w:rFonts w:ascii="Times New Roman" w:cs="Times New Roman" w:eastAsia="Times New Roman" w:hAnsi="Times New Roman"/>
          <w:sz w:val="13"/>
          <w:szCs w:val="13"/>
          <w:color w:val="auto"/>
        </w:rPr>
        <w:t>The accompanying financial statements have been prepared in conformity with accounting principles generally accepted in the United States of America (“U.S. GAAP”). Prior to April 2024, the financial statements also included the Company’s wholly owned subsidiary SeqIndia Labs Private Limited which had immaterial activities and was not material to these financial statements and was divested in April 2024. Accordingly, in 2023, the financial statements were consolidated while in 2024 they were not. All intercompany transactions and balances have been eliminated upon consolidation.</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the fair value of common stock, stock-based compensation, deferred tax assets and liabilities, useful lives of long-lived assets, the incremental borrowing rate applied to operating and finance leases, determination of revenue recognition and accounts receivable, the valuation of warrants for common stock and warrants for redeemable convertible preferred stock, and valuation of debt and convertible notes. These estimates are inherently subject to judgment and actual results could differ from those estimates.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Company is an emerging growth company, as defined by the Jumpstart Our Business Startups Act of 2012 (the “JOBS Act”). Under the JOBS Act, emerging growth companies may delay adopting new or revised accounting standards that have different effective dates to public and private companies until the earlier of the date that (i) the company is no longer an emerging growth company or (ii) the Company affirmatively and irrevocably opts out of the extended transition period as permitted in the JOBS Act. As a result, these financial statements may not be comparable to companies that comply with the new or revised accounting pronouncements as of public company effective dates. The Company expects to avail itself of the extended transition period for any other new or revised accounting standards during the period in which it remains an emerging growth company.</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3"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To date, the Company’s available liquidity and operations have been financed primarily through the issuance of convertible notes, redeemable convertible preferred stock and debt. The Company has incurred losses through the year ended December 31, 2024. The Company used $53.7 million and $41.4 million in operating activities for the years ended December 31, 2023 and 2024, respectively, and had an accumulated deficit of $240.6 million and $282.2 million as of December 31, 2023 and 2024, respectively. The Company continues to invest in the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59"/>
        <w:spacing w:after="0" w:line="296" w:lineRule="auto"/>
        <w:rPr>
          <w:sz w:val="20"/>
          <w:szCs w:val="20"/>
          <w:color w:val="auto"/>
        </w:rPr>
      </w:pPr>
      <w:r>
        <w:rPr>
          <w:rFonts w:ascii="Times New Roman" w:cs="Times New Roman" w:eastAsia="Times New Roman" w:hAnsi="Times New Roman"/>
          <w:sz w:val="13"/>
          <w:szCs w:val="13"/>
          <w:color w:val="auto"/>
        </w:rPr>
        <w:t>development and commercialization of its existing and future products and, consequently, it will need to generate additional revenues to achieve future profitability and may need to raise additional equity or debt financing. The Company believes its existing cash and cash equivalent balances and cash generated from sales will be sufficient to meet its cash needs for at least the next 12 months after the financial statements are available for issuance.</w:t>
      </w:r>
    </w:p>
    <w:p>
      <w:pPr>
        <w:spacing w:after="0" w:line="118" w:lineRule="exact"/>
        <w:rPr>
          <w:sz w:val="20"/>
          <w:szCs w:val="20"/>
          <w:color w:val="auto"/>
        </w:rPr>
      </w:pPr>
    </w:p>
    <w:p>
      <w:pPr>
        <w:ind w:left="1360" w:right="359"/>
        <w:spacing w:after="0" w:line="266" w:lineRule="auto"/>
        <w:rPr>
          <w:sz w:val="20"/>
          <w:szCs w:val="20"/>
          <w:color w:val="auto"/>
        </w:rPr>
      </w:pPr>
      <w:r>
        <w:rPr>
          <w:rFonts w:ascii="Times New Roman" w:cs="Times New Roman" w:eastAsia="Times New Roman" w:hAnsi="Times New Roman"/>
          <w:sz w:val="14"/>
          <w:szCs w:val="14"/>
          <w:color w:val="auto"/>
        </w:rPr>
        <w:t>These financial statements were prepared under the assumption that the Company will continue as a going concern, which contemplates the realization of assets and satisfaction of liabilities in the ordinary course of business, and do not include any adjustments relating to the recoverability and classification of recorded asset amounts or the amounts and classification of liabilities that might result from the outcome of this uncertainty.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93"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Certain of the Company’s product candidates are in clinical development or in preclinical development. If the Company is unable to advance its product candidates through clinical development, obtain regulatory approval and ultimately commercialize its product candidates, or experiences significant delays in doing so, the Company’s business will be materially harmed. Even if the Company completes the necessary preclinical studies and clinical trials, the regulatory approval process is expensive, time-consuming and uncertain and may prevent the Company from obtaining clinical trial and marketing approvals for the commercialization of some or all of its product candidates. As a result, the Company cannot predict when, or if, and in which territories, it will obtain marketing approval to commercialize a product candidate.</w:t>
      </w:r>
    </w:p>
    <w:p>
      <w:pPr>
        <w:spacing w:after="0" w:line="14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42"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The Company’s cash and cash equivalents consist of all highly liquid investments deposited with banks, including money market funds. The money market fund policies require the weighted average maturity of the fund’s securities holdings not to exceed 90 days.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3" w:lineRule="exact"/>
        <w:rPr>
          <w:sz w:val="20"/>
          <w:szCs w:val="20"/>
          <w:color w:val="auto"/>
        </w:rPr>
      </w:pPr>
    </w:p>
    <w:p>
      <w:pPr>
        <w:ind w:left="1360" w:right="339"/>
        <w:spacing w:after="0" w:line="266"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significant concentration of credit risk consist primarily of cash and cash equivalents and accounts receivable. The Company’s cash and cash equivalents are generally held with large financial institutions. Certain deposits held with these financial institutions are in excess of the amount of FDIC insured limits provided on such deposits.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5"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As of December 31, 2023 and 2024, no customers represented more than 10% of accounts receivable, and for the years ended December 31, 2023 and 2024, no customers represented more than 10% of the Company’s revenue.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3" w:lineRule="exact"/>
        <w:rPr>
          <w:sz w:val="20"/>
          <w:szCs w:val="20"/>
          <w:color w:val="auto"/>
        </w:rPr>
      </w:pPr>
    </w:p>
    <w:p>
      <w:pPr>
        <w:ind w:left="1360" w:right="419"/>
        <w:spacing w:after="0" w:line="255" w:lineRule="auto"/>
        <w:rPr>
          <w:sz w:val="20"/>
          <w:szCs w:val="20"/>
          <w:color w:val="auto"/>
        </w:rPr>
      </w:pPr>
      <w:r>
        <w:rPr>
          <w:rFonts w:ascii="Times New Roman" w:cs="Times New Roman" w:eastAsia="Times New Roman" w:hAnsi="Times New Roman"/>
          <w:sz w:val="14"/>
          <w:szCs w:val="14"/>
          <w:color w:val="auto"/>
        </w:rPr>
        <w:t>The Company records certain of its financial assets and liabilities at fair value, including money market funds, which are measured at fair value using quoted prices in active markets (Level 1 inputs). The carrying amounts of the Company’s other financial instruments, which include cash, accounts receivable, and accounts payable approximate their fair values due to their short-term nature.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ectPr>
          <w:pgSz w:w="11900" w:h="16838" w:orient="portrait"/>
          <w:cols w:equalWidth="0" w:num="1">
            <w:col w:w="10159"/>
          </w:cols>
          <w:pgMar w:left="300" w:top="385" w:right="1440" w:bottom="1440" w:gutter="0" w:footer="0" w:header="0"/>
        </w:sectPr>
      </w:pPr>
    </w:p>
    <w:p>
      <w:pPr>
        <w:spacing w:after="0" w:line="16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color w:val="auto"/>
        </w:rPr>
        <w:t>Level 1 input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399"/>
        <w:spacing w:after="0" w:line="282" w:lineRule="auto"/>
        <w:rPr>
          <w:sz w:val="20"/>
          <w:szCs w:val="20"/>
          <w:color w:val="auto"/>
        </w:rPr>
      </w:pPr>
      <w:r>
        <w:rPr>
          <w:rFonts w:ascii="Times New Roman" w:cs="Times New Roman" w:eastAsia="Times New Roman" w:hAnsi="Times New Roman"/>
          <w:sz w:val="14"/>
          <w:szCs w:val="14"/>
          <w:color w:val="auto"/>
        </w:rPr>
        <w:t>Quoted prices (unadjusted) in active markets for identical assets or liabilities that the reporting entity can access at the measurement date.</w:t>
      </w:r>
    </w:p>
    <w:p>
      <w:pPr>
        <w:spacing w:after="0" w:line="41" w:lineRule="exact"/>
        <w:rPr>
          <w:sz w:val="20"/>
          <w:szCs w:val="20"/>
          <w:color w:val="auto"/>
        </w:rPr>
      </w:pPr>
    </w:p>
    <w:p>
      <w:pPr>
        <w:sectPr>
          <w:pgSz w:w="11900" w:h="16838" w:orient="portrait"/>
          <w:cols w:equalWidth="0" w:num="2">
            <w:col w:w="2800" w:space="360"/>
            <w:col w:w="6999"/>
          </w:cols>
          <w:pgMar w:left="300" w:top="385"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3"/>
          <w:szCs w:val="13"/>
          <w:color w:val="auto"/>
        </w:rPr>
        <w:t>Level 2 input</w:t>
      </w:r>
    </w:p>
    <w:p>
      <w:pPr>
        <w:spacing w:after="0" w:line="20" w:lineRule="exact"/>
        <w:rPr>
          <w:sz w:val="20"/>
          <w:szCs w:val="20"/>
          <w:color w:val="auto"/>
        </w:rPr>
      </w:pPr>
      <w:r>
        <w:rPr>
          <w:sz w:val="20"/>
          <w:szCs w:val="20"/>
          <w:color w:val="auto"/>
        </w:rPr>
        <w:br w:type="column"/>
      </w:r>
    </w:p>
    <w:p>
      <w:pPr>
        <w:ind w:right="379"/>
        <w:spacing w:after="0" w:line="282" w:lineRule="auto"/>
        <w:rPr>
          <w:sz w:val="20"/>
          <w:szCs w:val="20"/>
          <w:color w:val="auto"/>
        </w:rPr>
      </w:pPr>
      <w:r>
        <w:rPr>
          <w:rFonts w:ascii="Times New Roman" w:cs="Times New Roman" w:eastAsia="Times New Roman" w:hAnsi="Times New Roman"/>
          <w:sz w:val="14"/>
          <w:szCs w:val="14"/>
          <w:color w:val="auto"/>
        </w:rPr>
        <w:t>Inputs other than the quoted prices included within Level 1 that are observable for the assets or liability, either directly or indirectly.</w:t>
      </w:r>
    </w:p>
    <w:p>
      <w:pPr>
        <w:spacing w:after="0" w:line="41" w:lineRule="exact"/>
        <w:rPr>
          <w:sz w:val="20"/>
          <w:szCs w:val="20"/>
          <w:color w:val="auto"/>
        </w:rPr>
      </w:pPr>
    </w:p>
    <w:p>
      <w:pPr>
        <w:sectPr>
          <w:pgSz w:w="11900" w:h="16838" w:orient="portrait"/>
          <w:cols w:equalWidth="0" w:num="2">
            <w:col w:w="2800" w:space="360"/>
            <w:col w:w="6999"/>
          </w:cols>
          <w:pgMar w:left="300" w:top="385"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3"/>
          <w:szCs w:val="13"/>
          <w:color w:val="auto"/>
        </w:rPr>
        <w:t>Level 3 input</w:t>
      </w:r>
    </w:p>
    <w:p>
      <w:pPr>
        <w:spacing w:after="0" w:line="20" w:lineRule="exact"/>
        <w:rPr>
          <w:sz w:val="20"/>
          <w:szCs w:val="20"/>
          <w:color w:val="auto"/>
        </w:rPr>
      </w:pPr>
      <w:r>
        <w:rPr>
          <w:sz w:val="20"/>
          <w:szCs w:val="20"/>
          <w:color w:val="auto"/>
        </w:rPr>
        <w:br w:type="column"/>
      </w:r>
    </w:p>
    <w:p>
      <w:pPr>
        <w:jc w:val="both"/>
        <w:ind w:right="239"/>
        <w:spacing w:after="0" w:line="266" w:lineRule="auto"/>
        <w:rPr>
          <w:sz w:val="20"/>
          <w:szCs w:val="20"/>
          <w:color w:val="auto"/>
        </w:rPr>
      </w:pPr>
      <w:r>
        <w:rPr>
          <w:rFonts w:ascii="Times New Roman" w:cs="Times New Roman" w:eastAsia="Times New Roman" w:hAnsi="Times New Roman"/>
          <w:sz w:val="14"/>
          <w:szCs w:val="14"/>
          <w:color w:val="auto"/>
        </w:rPr>
        <w:t>Unobservable inputs for the assets or liability. Unobservable inputs shall be used to measure fair value to the extent that relevant observable inputs are not available, thereby allowing for situations in which there is little, if any, market activity for the asset or liability at the measurement date.</w:t>
      </w:r>
    </w:p>
    <w:p>
      <w:pPr>
        <w:spacing w:after="0" w:line="136" w:lineRule="exact"/>
        <w:rPr>
          <w:sz w:val="20"/>
          <w:szCs w:val="20"/>
          <w:color w:val="auto"/>
        </w:rPr>
      </w:pPr>
    </w:p>
    <w:p>
      <w:pPr>
        <w:sectPr>
          <w:pgSz w:w="11900" w:h="16838" w:orient="portrait"/>
          <w:cols w:equalWidth="0" w:num="2">
            <w:col w:w="2800" w:space="360"/>
            <w:col w:w="6999"/>
          </w:cols>
          <w:pgMar w:left="300" w:top="385" w:right="1440" w:bottom="1440" w:gutter="0" w:footer="0" w:header="0"/>
          <w:type w:val="continuous"/>
        </w:sectPr>
      </w:pPr>
    </w:p>
    <w:p>
      <w:pPr>
        <w:ind w:left="1360" w:right="799"/>
        <w:spacing w:after="0" w:line="282"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w:t>
      </w:r>
    </w:p>
    <w:p>
      <w:pPr>
        <w:spacing w:after="0" w:line="125" w:lineRule="exact"/>
        <w:rPr>
          <w:sz w:val="20"/>
          <w:szCs w:val="20"/>
          <w:color w:val="auto"/>
        </w:rPr>
      </w:pPr>
    </w:p>
    <w:p>
      <w:pPr>
        <w:ind w:left="1360" w:right="319"/>
        <w:spacing w:after="0" w:line="266" w:lineRule="auto"/>
        <w:rPr>
          <w:sz w:val="20"/>
          <w:szCs w:val="20"/>
          <w:color w:val="auto"/>
        </w:rPr>
      </w:pPr>
      <w:r>
        <w:rPr>
          <w:rFonts w:ascii="Times New Roman" w:cs="Times New Roman" w:eastAsia="Times New Roman" w:hAnsi="Times New Roman"/>
          <w:sz w:val="14"/>
          <w:szCs w:val="14"/>
          <w:color w:val="auto"/>
        </w:rPr>
        <w:t>The Company’s money market funds are quoted in an active market and classified within Level 1 of the fair value hierarchy, which are measured at fair value based on the closing price as of the reporting date. The Company’s convertible notes and term loan, which the Company elected the fair value option for, and warrant liabilities are classified as Level 3 of the fair value hierarchy and are recorded at fair value on a recurring basis.</w:t>
      </w:r>
    </w:p>
    <w:p>
      <w:pPr>
        <w:spacing w:after="0" w:line="136"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During the years ended December 31, 2023 and 2024, there was no change in the fair value of the convertible notes or loan agreement that was related to changes in credit risk.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Company regularly assesses the collectability of accounts and reviews the allowance by considering factors such as historical experience, the age of the accounts receivable balances, and current economic conditions that may affect a customer’s ability to pay. Based on this assessment for credit losses the Company determined an allowance for credit losses was not needed given the payors from whom such receivables are collectible and the relatively short duration over which the majority of receivables are collected.</w:t>
      </w:r>
    </w:p>
    <w:p>
      <w:pPr>
        <w:spacing w:after="0" w:line="139" w:lineRule="exact"/>
        <w:rPr>
          <w:sz w:val="20"/>
          <w:szCs w:val="20"/>
          <w:color w:val="auto"/>
        </w:rPr>
      </w:pPr>
    </w:p>
    <w:p>
      <w:pPr>
        <w:jc w:val="both"/>
        <w:ind w:left="1360" w:right="339"/>
        <w:spacing w:after="0" w:line="322" w:lineRule="auto"/>
        <w:rPr>
          <w:sz w:val="20"/>
          <w:szCs w:val="20"/>
          <w:color w:val="auto"/>
        </w:rPr>
      </w:pPr>
      <w:r>
        <w:rPr>
          <w:rFonts w:ascii="Times New Roman" w:cs="Times New Roman" w:eastAsia="Times New Roman" w:hAnsi="Times New Roman"/>
          <w:sz w:val="13"/>
          <w:szCs w:val="13"/>
          <w:color w:val="auto"/>
        </w:rPr>
        <w:t>There was no allowance for credit losses as of December 31, 2023 and 2024. Account balances are written off against the allowance after all means of collection have been exhausted without success. During the years ended December 31, 2023 and 2024, there were no write-offs of accounts receivable.</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3" w:lineRule="exact"/>
        <w:rPr>
          <w:sz w:val="20"/>
          <w:szCs w:val="20"/>
          <w:color w:val="auto"/>
        </w:rPr>
      </w:pPr>
    </w:p>
    <w:p>
      <w:pPr>
        <w:ind w:left="1360" w:right="339"/>
        <w:spacing w:after="0" w:line="282" w:lineRule="auto"/>
        <w:rPr>
          <w:sz w:val="20"/>
          <w:szCs w:val="20"/>
          <w:color w:val="auto"/>
        </w:rPr>
      </w:pPr>
      <w:r>
        <w:rPr>
          <w:rFonts w:ascii="Times New Roman" w:cs="Times New Roman" w:eastAsia="Times New Roman" w:hAnsi="Times New Roman"/>
          <w:sz w:val="14"/>
          <w:szCs w:val="14"/>
          <w:color w:val="auto"/>
        </w:rPr>
        <w:t>Inventories consist primarily of supplies for prenatal testing, consumables and lab supplies (including reagents) which are stated at the lower-of-cost or net realizable value. The cost of inventory is determined on an average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5" w:right="1440"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519"/>
        <w:spacing w:after="0" w:line="258" w:lineRule="auto"/>
        <w:rPr>
          <w:sz w:val="20"/>
          <w:szCs w:val="20"/>
          <w:color w:val="auto"/>
        </w:rPr>
      </w:pPr>
      <w:r>
        <w:rPr>
          <w:rFonts w:ascii="Times New Roman" w:cs="Times New Roman" w:eastAsia="Times New Roman" w:hAnsi="Times New Roman"/>
          <w:sz w:val="14"/>
          <w:szCs w:val="14"/>
          <w:color w:val="auto"/>
        </w:rPr>
        <w:t>cost method. Inventory that is obsolete or in excess of forecasted demand is written down to its estimated net realizable value. The Company periodically reviews its inventory and writes off products that are determined to be obsolete based on market factors, utilization rates and product expiration dates. Inventory write-downs are recognized as cost of revenue in the accompanying statements of operations and comprehensive loss. During the years ended December 31, 2023 and 2024, inventory write-downs totaled approximately $0.1 million and $0.1 million, respectively, and were related to expired and unusable products.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3"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Property and equipment, net is stated at historical cost less accumulated depreciation and amortization. Depreciation and amortization on property and equipment is calculated using the straight-line method over the estimated useful lives of the assets which are as follows:</w:t>
      </w:r>
    </w:p>
    <w:p>
      <w:pPr>
        <w:spacing w:after="0" w:line="16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52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3300" w:type="dxa"/>
            <w:vAlign w:val="bottom"/>
            <w:shd w:val="clear" w:color="auto" w:fill="E5E5E5"/>
          </w:tcPr>
          <w:p>
            <w:pPr>
              <w:jc w:val="center"/>
              <w:ind w:left="1550"/>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168"/>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3300" w:type="dxa"/>
            <w:vAlign w:val="bottom"/>
          </w:tcPr>
          <w:p>
            <w:pPr>
              <w:jc w:val="center"/>
              <w:ind w:left="1550"/>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168"/>
        </w:trPr>
        <w:tc>
          <w:tcPr>
            <w:tcW w:w="52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Automobiles</w:t>
            </w:r>
          </w:p>
        </w:tc>
        <w:tc>
          <w:tcPr>
            <w:tcW w:w="3300" w:type="dxa"/>
            <w:vAlign w:val="bottom"/>
            <w:shd w:val="clear" w:color="auto" w:fill="E5E5E5"/>
          </w:tcPr>
          <w:p>
            <w:pPr>
              <w:jc w:val="center"/>
              <w:ind w:left="1550"/>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168"/>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Computer hardware</w:t>
            </w:r>
          </w:p>
        </w:tc>
        <w:tc>
          <w:tcPr>
            <w:tcW w:w="3300" w:type="dxa"/>
            <w:vAlign w:val="bottom"/>
          </w:tcPr>
          <w:p>
            <w:pPr>
              <w:jc w:val="center"/>
              <w:ind w:left="1550"/>
              <w:spacing w:after="0"/>
              <w:rPr>
                <w:sz w:val="20"/>
                <w:szCs w:val="20"/>
                <w:color w:val="auto"/>
              </w:rPr>
            </w:pPr>
            <w:r>
              <w:rPr>
                <w:rFonts w:ascii="Times New Roman" w:cs="Times New Roman" w:eastAsia="Times New Roman" w:hAnsi="Times New Roman"/>
                <w:sz w:val="14"/>
                <w:szCs w:val="14"/>
                <w:color w:val="auto"/>
                <w:w w:val="99"/>
              </w:rPr>
              <w:t>3 years</w:t>
            </w:r>
          </w:p>
        </w:tc>
      </w:tr>
      <w:tr>
        <w:trPr>
          <w:trHeight w:val="168"/>
        </w:trPr>
        <w:tc>
          <w:tcPr>
            <w:tcW w:w="52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3300" w:type="dxa"/>
            <w:vAlign w:val="bottom"/>
            <w:shd w:val="clear" w:color="auto" w:fill="E5E5E5"/>
          </w:tcPr>
          <w:p>
            <w:pPr>
              <w:jc w:val="center"/>
              <w:ind w:left="1550"/>
              <w:spacing w:after="0"/>
              <w:rPr>
                <w:sz w:val="20"/>
                <w:szCs w:val="20"/>
                <w:color w:val="auto"/>
              </w:rPr>
            </w:pPr>
            <w:r>
              <w:rPr>
                <w:rFonts w:ascii="Times New Roman" w:cs="Times New Roman" w:eastAsia="Times New Roman" w:hAnsi="Times New Roman"/>
                <w:sz w:val="14"/>
                <w:szCs w:val="14"/>
                <w:color w:val="auto"/>
                <w:w w:val="99"/>
              </w:rPr>
              <w:t>3 years</w:t>
            </w:r>
          </w:p>
        </w:tc>
      </w:tr>
      <w:tr>
        <w:trPr>
          <w:trHeight w:val="153"/>
        </w:trPr>
        <w:tc>
          <w:tcPr>
            <w:tcW w:w="52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Leasehold improvements</w:t>
            </w:r>
          </w:p>
        </w:tc>
        <w:tc>
          <w:tcPr>
            <w:tcW w:w="3300" w:type="dxa"/>
            <w:vAlign w:val="bottom"/>
          </w:tcPr>
          <w:p>
            <w:pPr>
              <w:jc w:val="center"/>
              <w:ind w:left="1570"/>
              <w:spacing w:after="0" w:line="153" w:lineRule="exact"/>
              <w:rPr>
                <w:sz w:val="20"/>
                <w:szCs w:val="20"/>
                <w:color w:val="auto"/>
              </w:rPr>
            </w:pPr>
            <w:r>
              <w:rPr>
                <w:rFonts w:ascii="Times New Roman" w:cs="Times New Roman" w:eastAsia="Times New Roman" w:hAnsi="Times New Roman"/>
                <w:sz w:val="14"/>
                <w:szCs w:val="14"/>
                <w:color w:val="auto"/>
                <w:w w:val="99"/>
              </w:rPr>
              <w:t>Shorter of 10 years or</w:t>
            </w:r>
          </w:p>
        </w:tc>
      </w:tr>
      <w:tr>
        <w:trPr>
          <w:trHeight w:val="183"/>
        </w:trPr>
        <w:tc>
          <w:tcPr>
            <w:tcW w:w="5280" w:type="dxa"/>
            <w:vAlign w:val="bottom"/>
          </w:tcPr>
          <w:p>
            <w:pPr>
              <w:spacing w:after="0"/>
              <w:rPr>
                <w:sz w:val="15"/>
                <w:szCs w:val="15"/>
                <w:color w:val="auto"/>
              </w:rPr>
            </w:pPr>
          </w:p>
        </w:tc>
        <w:tc>
          <w:tcPr>
            <w:tcW w:w="3300" w:type="dxa"/>
            <w:vAlign w:val="bottom"/>
          </w:tcPr>
          <w:p>
            <w:pPr>
              <w:jc w:val="center"/>
              <w:ind w:left="1570"/>
              <w:spacing w:after="0"/>
              <w:rPr>
                <w:sz w:val="20"/>
                <w:szCs w:val="20"/>
                <w:color w:val="auto"/>
              </w:rPr>
            </w:pPr>
            <w:r>
              <w:rPr>
                <w:rFonts w:ascii="Times New Roman" w:cs="Times New Roman" w:eastAsia="Times New Roman" w:hAnsi="Times New Roman"/>
                <w:sz w:val="14"/>
                <w:szCs w:val="14"/>
                <w:color w:val="auto"/>
              </w:rPr>
              <w:t>remaining lease term</w:t>
            </w:r>
          </w:p>
        </w:tc>
      </w:tr>
      <w:tr>
        <w:trPr>
          <w:trHeight w:val="33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and repairs are charged to expenses as incurred.</w:t>
            </w:r>
          </w:p>
        </w:tc>
        <w:tc>
          <w:tcPr>
            <w:tcW w:w="3300" w:type="dxa"/>
            <w:vAlign w:val="bottom"/>
          </w:tcPr>
          <w:p>
            <w:pPr>
              <w:spacing w:after="0"/>
              <w:rPr>
                <w:sz w:val="24"/>
                <w:szCs w:val="24"/>
                <w:color w:val="auto"/>
              </w:rPr>
            </w:pPr>
          </w:p>
        </w:tc>
      </w:tr>
    </w:tbl>
    <w:p>
      <w:pPr>
        <w:spacing w:after="0" w:line="153" w:lineRule="exact"/>
        <w:rPr>
          <w:sz w:val="20"/>
          <w:szCs w:val="20"/>
          <w:color w:val="auto"/>
        </w:rPr>
      </w:pPr>
    </w:p>
    <w:p>
      <w:pPr>
        <w:jc w:val="both"/>
        <w:ind w:left="1360" w:right="259"/>
        <w:spacing w:after="0" w:line="282" w:lineRule="auto"/>
        <w:rPr>
          <w:sz w:val="20"/>
          <w:szCs w:val="20"/>
          <w:color w:val="auto"/>
        </w:rPr>
      </w:pPr>
      <w:r>
        <w:rPr>
          <w:rFonts w:ascii="Times New Roman" w:cs="Times New Roman" w:eastAsia="Times New Roman" w:hAnsi="Times New Roman"/>
          <w:sz w:val="14"/>
          <w:szCs w:val="14"/>
          <w:color w:val="auto"/>
        </w:rPr>
        <w:t>The Company entered into finance leases for certain lab equipment. The Company records amortization of assets leased in connection with finance lease arrangements as depreciation expense.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The Company evaluates long-lived assets for indicators of possible impairment when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There were no such impairment losses during the years ended December 31, 2023 and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ind w:left="1360" w:right="379"/>
        <w:spacing w:after="0" w:line="266" w:lineRule="auto"/>
        <w:rPr>
          <w:sz w:val="20"/>
          <w:szCs w:val="20"/>
          <w:color w:val="auto"/>
        </w:rPr>
      </w:pPr>
      <w:r>
        <w:rPr>
          <w:rFonts w:ascii="Times New Roman" w:cs="Times New Roman" w:eastAsia="Times New Roman" w:hAnsi="Times New Roman"/>
          <w:sz w:val="14"/>
          <w:szCs w:val="14"/>
          <w:color w:val="auto"/>
        </w:rPr>
        <w:t>The Company determines if an arrangement is a lease, or contains a lease,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If the Company determines a lease exists, the Company then determines whether the lease should be classified as an operating or finance lease. A lease is classified as a finance lease when one or more of the following criteria</w:t>
      </w:r>
    </w:p>
    <w:p>
      <w:pPr>
        <w:ind w:left="1360" w:right="879"/>
        <w:spacing w:after="0" w:line="260" w:lineRule="auto"/>
        <w:rPr>
          <w:sz w:val="20"/>
          <w:szCs w:val="20"/>
          <w:color w:val="auto"/>
        </w:rPr>
      </w:pPr>
      <w:r>
        <w:rPr>
          <w:rFonts w:ascii="Times New Roman" w:cs="Times New Roman" w:eastAsia="Times New Roman" w:hAnsi="Times New Roman"/>
          <w:sz w:val="14"/>
          <w:szCs w:val="14"/>
          <w:color w:val="auto"/>
        </w:rPr>
        <w:t>are met: (1) the lease transfers ownership of the asset by the end of the lease term, (2) the lease contains an option to purchase the asset that is reasonably certain to be exercised, (3) the lease term is for a major part of the</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5"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 Operating leases consist of the Company’s real estate facilities and finance leases consist of the Company’s lab equipment.</w:t>
      </w:r>
    </w:p>
    <w:p>
      <w:pPr>
        <w:spacing w:after="0" w:line="139" w:lineRule="exact"/>
        <w:rPr>
          <w:sz w:val="20"/>
          <w:szCs w:val="20"/>
          <w:color w:val="auto"/>
        </w:rPr>
      </w:pPr>
    </w:p>
    <w:p>
      <w:pPr>
        <w:ind w:left="1360" w:right="279"/>
        <w:spacing w:after="0" w:line="266" w:lineRule="auto"/>
        <w:rPr>
          <w:sz w:val="20"/>
          <w:szCs w:val="20"/>
          <w:color w:val="auto"/>
        </w:rPr>
      </w:pPr>
      <w:r>
        <w:rPr>
          <w:rFonts w:ascii="Times New Roman" w:cs="Times New Roman" w:eastAsia="Times New Roman" w:hAnsi="Times New Roman"/>
          <w:sz w:val="14"/>
          <w:szCs w:val="14"/>
          <w:color w:val="auto"/>
        </w:rPr>
        <w:t>At the lease commencement date, the Company records a right-of-use (“ROU”) asset and a lease liability for all leases, except for short-term leases with an original term of 12 months or less, whereby the Company has elected a practical expedient not to recognize an ROU asset or lease liability for short term leases.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ROU assets are measured based on the corresponding lease liability adjusted for (i) payments made to the lessor at or before the commencement date,</w:t>
      </w:r>
    </w:p>
    <w:p>
      <w:pPr>
        <w:spacing w:after="0" w:line="22" w:lineRule="exact"/>
        <w:rPr>
          <w:sz w:val="20"/>
          <w:szCs w:val="20"/>
          <w:color w:val="auto"/>
        </w:rPr>
      </w:pPr>
    </w:p>
    <w:p>
      <w:pPr>
        <w:ind w:left="1360" w:right="239" w:firstLine="3"/>
        <w:spacing w:after="0" w:line="252" w:lineRule="auto"/>
        <w:tabs>
          <w:tab w:leader="none" w:pos="156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direct costs incurred and (iii) tenant incentives under the lease. All ROU assets are periodically reviewed for impairment in accordance with standards that apply to long-lived assets.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leases generally do not provide an implicit rate, the Company estimates its incremental borrowing rate based on the information available such as credit rating, lease term and collateral at lease commencement date for borrowings with a similar term.</w:t>
      </w:r>
    </w:p>
    <w:p>
      <w:pPr>
        <w:spacing w:after="0" w:line="146" w:lineRule="exact"/>
        <w:rPr>
          <w:sz w:val="20"/>
          <w:szCs w:val="20"/>
          <w:color w:val="auto"/>
        </w:rPr>
      </w:pPr>
    </w:p>
    <w:p>
      <w:pPr>
        <w:ind w:left="1360" w:right="419"/>
        <w:spacing w:after="0" w:line="266" w:lineRule="auto"/>
        <w:rPr>
          <w:sz w:val="20"/>
          <w:szCs w:val="20"/>
          <w:color w:val="auto"/>
        </w:rPr>
      </w:pPr>
      <w:r>
        <w:rPr>
          <w:rFonts w:ascii="Times New Roman" w:cs="Times New Roman" w:eastAsia="Times New Roman" w:hAnsi="Times New Roman"/>
          <w:sz w:val="14"/>
          <w:szCs w:val="14"/>
          <w:color w:val="auto"/>
        </w:rPr>
        <w:t>Lease expense for operating leases consists of the fixed lease payments recognized on a straight-line basis over the lease term plus variable lease payments as incurred. Lease expense for finance leases consists of the depreciation recognized on a straight-line basis over the lease term and interest expense on the lease liability based on the discount rate at lease commencement.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The Company does not assume renewals or early terminations unless it is reasonably certain the Company will exercise these options at commencement.</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elected the practical expedient which allows the Company to not allocate consideration between lease and non-lease components.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Variable lease payments are recognized in the period in which the obligation for those payments are incurred.</w:t>
      </w:r>
    </w:p>
    <w:p>
      <w:pPr>
        <w:spacing w:after="0" w:line="2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1360" w:right="399"/>
        <w:spacing w:after="0" w:line="266" w:lineRule="auto"/>
        <w:rPr>
          <w:sz w:val="20"/>
          <w:szCs w:val="20"/>
          <w:color w:val="auto"/>
        </w:rPr>
      </w:pPr>
      <w:r>
        <w:rPr>
          <w:rFonts w:ascii="Times New Roman" w:cs="Times New Roman" w:eastAsia="Times New Roman" w:hAnsi="Times New Roman"/>
          <w:sz w:val="14"/>
          <w:szCs w:val="14"/>
          <w:color w:val="auto"/>
        </w:rPr>
        <w:t>The Company recognizes revenue upon transfer of control of promised goods and services in an amount that reflects the consideration it expects to be entitled to receive in exchange for those goods and services. Under ASC 606—</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the Company applies the following five-step approach:</w:t>
      </w:r>
    </w:p>
    <w:p>
      <w:pPr>
        <w:spacing w:after="0" w:line="63" w:lineRule="exact"/>
        <w:rPr>
          <w:sz w:val="20"/>
          <w:szCs w:val="20"/>
          <w:color w:val="auto"/>
        </w:rPr>
      </w:pPr>
    </w:p>
    <w:p>
      <w:pPr>
        <w:ind w:left="1700" w:hanging="253"/>
        <w:spacing w:after="0"/>
        <w:tabs>
          <w:tab w:leader="none" w:pos="17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a performance obligation is satisfied</w:t>
      </w:r>
    </w:p>
    <w:p>
      <w:pPr>
        <w:spacing w:after="0" w:line="175" w:lineRule="exact"/>
        <w:rPr>
          <w:sz w:val="20"/>
          <w:szCs w:val="20"/>
          <w:color w:val="auto"/>
        </w:rPr>
      </w:pPr>
    </w:p>
    <w:p>
      <w:pPr>
        <w:jc w:val="both"/>
        <w:ind w:left="1360" w:right="519"/>
        <w:spacing w:after="0" w:line="296" w:lineRule="auto"/>
        <w:rPr>
          <w:sz w:val="20"/>
          <w:szCs w:val="20"/>
          <w:color w:val="auto"/>
        </w:rPr>
      </w:pPr>
      <w:r>
        <w:rPr>
          <w:rFonts w:ascii="Times New Roman" w:cs="Times New Roman" w:eastAsia="Times New Roman" w:hAnsi="Times New Roman"/>
          <w:sz w:val="13"/>
          <w:szCs w:val="13"/>
          <w:color w:val="auto"/>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w:t>
      </w:r>
    </w:p>
    <w:p>
      <w:pPr>
        <w:spacing w:after="0" w:line="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5"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 generally bills an insurance carrier, Medicaid or a patient or a combination of both upon delivery of test results.</w:t>
      </w:r>
    </w:p>
    <w:p>
      <w:pPr>
        <w:spacing w:after="0" w:line="17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Company enters into contracts with third-party payors including insurance carriers and Medicaid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spacing w:after="0" w:line="139" w:lineRule="exact"/>
        <w:rPr>
          <w:sz w:val="20"/>
          <w:szCs w:val="20"/>
          <w:color w:val="auto"/>
        </w:rPr>
      </w:pPr>
    </w:p>
    <w:p>
      <w:pPr>
        <w:ind w:left="1360" w:right="259"/>
        <w:spacing w:after="0" w:line="276" w:lineRule="auto"/>
        <w:rPr>
          <w:sz w:val="20"/>
          <w:szCs w:val="20"/>
          <w:color w:val="auto"/>
        </w:rPr>
      </w:pPr>
      <w:r>
        <w:rPr>
          <w:rFonts w:ascii="Times New Roman" w:cs="Times New Roman" w:eastAsia="Times New Roman" w:hAnsi="Times New Roman"/>
          <w:sz w:val="13"/>
          <w:szCs w:val="13"/>
          <w:color w:val="auto"/>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insurance carriers.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 those estimates when actual experience supports doing so. In establishing variable consideration, the Company considers payors with similar reimbursement 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spacing w:after="0" w:line="132" w:lineRule="exact"/>
        <w:rPr>
          <w:sz w:val="20"/>
          <w:szCs w:val="20"/>
          <w:color w:val="auto"/>
        </w:rPr>
      </w:pPr>
    </w:p>
    <w:p>
      <w:pPr>
        <w:ind w:left="1360" w:right="259"/>
        <w:spacing w:after="0" w:line="273" w:lineRule="auto"/>
        <w:rPr>
          <w:sz w:val="20"/>
          <w:szCs w:val="20"/>
          <w:color w:val="auto"/>
        </w:rPr>
      </w:pPr>
      <w:r>
        <w:rPr>
          <w:rFonts w:ascii="Times New Roman" w:cs="Times New Roman" w:eastAsia="Times New Roman" w:hAnsi="Times New Roman"/>
          <w:sz w:val="13"/>
          <w:szCs w:val="13"/>
          <w:color w:val="auto"/>
        </w:rPr>
        <w:t>In January 2023, the Company entered a partnership with Johnson &amp; Johnson under which the Company is licensing the Company’s proprietary knowledge, performing clinical trial support services including developing a clinical study assay, and other testing services to support a clinical trial for the counterparty. The Company concluded that the agreement with Johnson &amp; Johnson was within the scope of ASC 606 because the counterparty in the agreement meets the definition of a customer. The Company evaluated the terms of the agreement for revenue recognition, including whether the services are capable of being distinct and considered distinct within the context of the contract. The Company concluded that the licensing of the know how is not distinct from the other promises within the agreement and, as a result, was treated as a single performance obligation. Under this contract the Company receives payments upon the achievement of milestones, including (i) receipt of approval of the trial, which was achieved in 2023, (ii) various patient enrollment milestones, and (iii) subsequent full trial completion, as well as reimbursement for testing services. In making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 The Company recognizes revenue for the single performance obligation over time as the related services are provided. The Company utilizes an input method to measure progress to depict the transfer of services as the Company believes it provides a faithful depiction of the transfer of services over the contract. In accordance with ASC 606, the Company applies the constraint on variable consideration and includes such amounts in the transaction price only to the extent that it is probable that a significant reversal of cumulative revenue will not occur when the associated uncertainty is resolved.</w:t>
      </w:r>
    </w:p>
    <w:p>
      <w:pPr>
        <w:spacing w:after="0" w:line="138" w:lineRule="exact"/>
        <w:rPr>
          <w:sz w:val="20"/>
          <w:szCs w:val="20"/>
          <w:color w:val="auto"/>
        </w:rPr>
      </w:pPr>
    </w:p>
    <w:p>
      <w:pPr>
        <w:ind w:left="1360" w:right="599"/>
        <w:spacing w:after="0" w:line="282" w:lineRule="auto"/>
        <w:rPr>
          <w:sz w:val="20"/>
          <w:szCs w:val="20"/>
          <w:color w:val="auto"/>
        </w:rPr>
      </w:pPr>
      <w:r>
        <w:rPr>
          <w:rFonts w:ascii="Times New Roman" w:cs="Times New Roman" w:eastAsia="Times New Roman" w:hAnsi="Times New Roman"/>
          <w:sz w:val="14"/>
          <w:szCs w:val="14"/>
          <w:color w:val="auto"/>
        </w:rPr>
        <w:t>As of December 31, 2024, the Company’s further performance obligations beyond one year were $6.3 million. The Company expects to recognize substantially all of the remaining performance obligations as revenue over the 12 months following December 31, 2024.</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5"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disaggregation of revenue by Oncology, Prenatal and Clinical trial support services:</w:t>
      </w:r>
    </w:p>
    <w:p>
      <w:pPr>
        <w:spacing w:after="0" w:line="19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6600"/>
        <w:spacing w:after="0" w:line="234"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360" w:type="dxa"/>
        <w:tblCellMar>
          <w:top w:w="0" w:type="dxa"/>
          <w:left w:w="0" w:type="dxa"/>
          <w:bottom w:w="0" w:type="dxa"/>
          <w:right w:w="0" w:type="dxa"/>
        </w:tblCellMar>
      </w:tblPr>
      <w:tr>
        <w:trPr>
          <w:trHeight w:val="106"/>
        </w:trPr>
        <w:tc>
          <w:tcPr>
            <w:tcW w:w="6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215"/>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06"/>
        </w:trPr>
        <w:tc>
          <w:tcPr>
            <w:tcW w:w="6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4"/>
          </w:tcPr>
          <w:p>
            <w:pPr>
              <w:ind w:left="360"/>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8"/>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Prenatal</w:t>
            </w:r>
          </w:p>
        </w:tc>
        <w:tc>
          <w:tcPr>
            <w:tcW w:w="100" w:type="dxa"/>
            <w:vAlign w:val="bottom"/>
            <w:gridSpan w:val="2"/>
            <w:shd w:val="clear" w:color="auto" w:fill="E5E5E5"/>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68,803</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145,901</w:t>
            </w:r>
          </w:p>
        </w:tc>
        <w:tc>
          <w:tcPr>
            <w:tcW w:w="60" w:type="dxa"/>
            <w:vAlign w:val="bottom"/>
            <w:shd w:val="clear" w:color="auto" w:fill="E5E5E5"/>
          </w:tcPr>
          <w:p>
            <w:pPr>
              <w:spacing w:after="0"/>
              <w:rPr>
                <w:sz w:val="14"/>
                <w:szCs w:val="14"/>
                <w:color w:val="auto"/>
              </w:rPr>
            </w:pPr>
          </w:p>
        </w:tc>
      </w:tr>
      <w:tr>
        <w:trPr>
          <w:trHeight w:val="168"/>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Oncology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60" w:type="dxa"/>
            <w:vAlign w:val="bottom"/>
          </w:tcPr>
          <w:p>
            <w:pPr>
              <w:spacing w:after="0"/>
              <w:rPr>
                <w:sz w:val="14"/>
                <w:szCs w:val="14"/>
                <w:color w:val="auto"/>
              </w:rPr>
            </w:pPr>
          </w:p>
        </w:tc>
      </w:tr>
      <w:tr>
        <w:trPr>
          <w:trHeight w:val="168"/>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Clinical trial support services</w:t>
            </w:r>
          </w:p>
        </w:tc>
        <w:tc>
          <w:tcPr>
            <w:tcW w:w="20" w:type="dxa"/>
            <w:vAlign w:val="bottom"/>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60" w:type="dxa"/>
            <w:vAlign w:val="bottom"/>
            <w:shd w:val="clear" w:color="auto" w:fill="E5E5E5"/>
          </w:tcPr>
          <w:p>
            <w:pPr>
              <w:spacing w:after="0"/>
              <w:rPr>
                <w:sz w:val="14"/>
                <w:szCs w:val="14"/>
                <w:color w:val="auto"/>
              </w:rPr>
            </w:pPr>
          </w:p>
        </w:tc>
      </w:tr>
      <w:tr>
        <w:trPr>
          <w:trHeight w:val="169"/>
        </w:trPr>
        <w:tc>
          <w:tcPr>
            <w:tcW w:w="6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71,729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152,582</w:t>
            </w:r>
          </w:p>
        </w:tc>
        <w:tc>
          <w:tcPr>
            <w:tcW w:w="6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Substantially all revenues recognized for the years ended December 31, 2023 and 2024 was generated in the United States.</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Deferred revenue</w:t>
      </w:r>
    </w:p>
    <w:p>
      <w:pPr>
        <w:spacing w:after="0" w:line="93"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Deferred revenue, which is a contract liability, consists of billings or cash received for services in advance of revenue recognition and is recognized as revenue when all the Company’s revenue recognition criteria are met. As of December 31, 2023 and 2024, the deferred revenue balance was</w:t>
      </w:r>
    </w:p>
    <w:p>
      <w:pPr>
        <w:ind w:left="1360"/>
        <w:spacing w:after="0"/>
        <w:rPr>
          <w:sz w:val="20"/>
          <w:szCs w:val="20"/>
          <w:color w:val="auto"/>
        </w:rPr>
      </w:pPr>
      <w:r>
        <w:rPr>
          <w:rFonts w:ascii="Times New Roman" w:cs="Times New Roman" w:eastAsia="Times New Roman" w:hAnsi="Times New Roman"/>
          <w:sz w:val="14"/>
          <w:szCs w:val="14"/>
          <w:color w:val="auto"/>
        </w:rPr>
        <w:t>$3.0 million and $2.8 million, respectively, all of which is considered short-term. For the years ended December 31, 2023 and 2024, revenue recognized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from deferred revenue at the beginning of the period was $0 and $3.0 million, respectively. The decrease in deferred revenue balances as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as compared to December 31, 2023 is attributed to the timing of contractual payments for testing and consulting services and timing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delivery of the clinical test results and services.</w:t>
      </w:r>
    </w:p>
    <w:p>
      <w:pPr>
        <w:spacing w:after="0" w:line="2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3" w:lineRule="exact"/>
        <w:rPr>
          <w:sz w:val="20"/>
          <w:szCs w:val="20"/>
          <w:color w:val="auto"/>
        </w:rPr>
      </w:pPr>
    </w:p>
    <w:p>
      <w:pPr>
        <w:ind w:left="1360" w:right="719"/>
        <w:spacing w:after="0" w:line="266" w:lineRule="auto"/>
        <w:rPr>
          <w:sz w:val="20"/>
          <w:szCs w:val="20"/>
          <w:color w:val="auto"/>
        </w:rPr>
      </w:pPr>
      <w:r>
        <w:rPr>
          <w:rFonts w:ascii="Times New Roman" w:cs="Times New Roman" w:eastAsia="Times New Roman" w:hAnsi="Times New Roman"/>
          <w:sz w:val="14"/>
          <w:szCs w:val="14"/>
          <w:color w:val="auto"/>
        </w:rPr>
        <w:t>The Company’s cost of revenue consists primarily of expenses related to reagents and consumables, test kits, personnel-related expenses such as salaries, stock-based compensation expense and related benefits for its operations and support personnel, shipping costs, overhead allocations, depreciation expense, facilities-related expenses and other services used in connection with delivering the Company’s services.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3" w:lineRule="exact"/>
        <w:rPr>
          <w:sz w:val="20"/>
          <w:szCs w:val="20"/>
          <w:color w:val="auto"/>
        </w:rPr>
      </w:pPr>
    </w:p>
    <w:p>
      <w:pPr>
        <w:jc w:val="both"/>
        <w:ind w:left="1360" w:right="419"/>
        <w:spacing w:after="0" w:line="322" w:lineRule="auto"/>
        <w:rPr>
          <w:sz w:val="20"/>
          <w:szCs w:val="20"/>
          <w:color w:val="auto"/>
        </w:rPr>
      </w:pPr>
      <w:r>
        <w:rPr>
          <w:rFonts w:ascii="Times New Roman" w:cs="Times New Roman" w:eastAsia="Times New Roman" w:hAnsi="Times New Roman"/>
          <w:sz w:val="13"/>
          <w:szCs w:val="13"/>
          <w:color w:val="auto"/>
        </w:rPr>
        <w:t>Advertising costs are expensed as incurred. These amounts are included in selling, general and administrative expense in the statements of operations and comprehensive loss and amounted to approximately $0.4 million and $1.3 million for the years ended December 31, 2023 and 2024, respectively.</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3"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personnel-related expenses such as salaries, stock-based compensation expense and related benefits for the Company’s product development employees. Research and development expenses also include non-personnel costs such as materials and consumables used for research, clinical third-party services and consulting expenses, and an allocation of the Company’s general overhead expenses. These costs are expensed in the period as incurred.</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93" w:lineRule="exact"/>
        <w:rPr>
          <w:sz w:val="20"/>
          <w:szCs w:val="20"/>
          <w:color w:val="auto"/>
        </w:rPr>
      </w:pPr>
    </w:p>
    <w:p>
      <w:pPr>
        <w:ind w:left="1360" w:right="479"/>
        <w:spacing w:after="0" w:line="28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personnel-related expenses such as salaries, stock-based compensation expense and related benefits for the Company’s sales, marketing, and general and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385"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jc w:val="both"/>
        <w:ind w:left="1360" w:right="279"/>
        <w:spacing w:after="0" w:line="266" w:lineRule="auto"/>
        <w:rPr>
          <w:sz w:val="20"/>
          <w:szCs w:val="20"/>
          <w:color w:val="auto"/>
        </w:rPr>
      </w:pPr>
      <w:r>
        <w:rPr>
          <w:rFonts w:ascii="Times New Roman" w:cs="Times New Roman" w:eastAsia="Times New Roman" w:hAnsi="Times New Roman"/>
          <w:sz w:val="14"/>
          <w:szCs w:val="14"/>
          <w:color w:val="auto"/>
        </w:rPr>
        <w:t>administrative employees. Selling, general and administrative expenses also include the Company’s commission payments, marketing related expenses in promoting the Company’s brand and tests, and training costs for the sales employees. All selling, general and administrative costs are expensed in the period as incurred.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Income taxes are accounted for under the asset-and-liability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on deferred tax assets when it is more-likely-than-not that some portion or all of the net deferred tax assets will not be realized. The Company evaluates uncertain tax positions taken or expected to be taken in the course of preparing its tax return to determine whether the tax positions are more-likely-than-not of being sustained upon challenge by the applicable tax authority based on the technical merits of the position. The Company recognizes the effect of income tax positions only if those positions are more-likely-than-not of being sustained. Recognized income tax positions are measured at the largest amount that is greater than a 50% likelihood of being realized upon ultimate settlement. Changes in recognition or measurement are reflected in the period in which the change in judgment occurs. The Company recognizes interest and penalties related to income tax matters in provision for income taxes.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3" w:lineRule="exact"/>
        <w:rPr>
          <w:sz w:val="20"/>
          <w:szCs w:val="20"/>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During the years ended December 31, 2023 and 2024, the Company did not have any other comprehensive income (loss) and, therefore, the net loss and comprehensive loss was the same.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considered not solely within the Company’s control.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 Warrants</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Freestanding warrants to purchase shares of redeemable convertible preferred stock are classified as liabilities on the balance sheets at their estimated fair value because the underlying shares of redeemable convertible preferred stock are contingently redeemable and, therefore, may obligate the Company to transfer assets at some point in the future. Warrants to purchase shares of redeemable convertible preferred stock are recorded at fair value upon issuance and remeasured to fair value. Redeemable convertible preferred stock warrants are subject to re-measurement at each balance sheet date, and any change in fair value is recognized as other income (expense) in the statements of operations and comprehensive loss.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5"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Certain freestanding warrants to purchase shares of common stock are classified as liabilities on the balance sheets at their estimated fair value as the warrants allow the holders to put the warrants to the Company in exchange for a cash payment. Those puttable warrants to purchase shares of common stock are recorded at fair value upon issuance and remeasured to fair value. Common stock warrants are subject to re-measurement at each balance sheet date and any change in fair value is recognized as other income (expense) in the statements of operations and comprehensive loss (See Note 3).</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The Company measures stock-based compensation expense for all stock-based payment awards based on the estimated fair value of the awards on the date of grant. The fair value of each stock option granted is estimated using the Black-Scholes-Merton option valuation model (the “Black-Scholes Model”). The model requires the Company to make assumptions and judgments about the variable inputs used in the Black-Scholes Model, including expected term, the volatility of the Company’s common stock, and assumed risk-free interest rate. Stock-based compensation is recognized net of actual forfeitures on a straight-line basis over the requisite service period of the awards. The Company accounts for forfeitures as they occur.</w:t>
      </w:r>
    </w:p>
    <w:p>
      <w:pPr>
        <w:spacing w:after="0" w:line="142" w:lineRule="exact"/>
        <w:rPr>
          <w:sz w:val="20"/>
          <w:szCs w:val="20"/>
          <w:color w:val="auto"/>
        </w:rPr>
      </w:pPr>
    </w:p>
    <w:p>
      <w:pPr>
        <w:ind w:left="1360" w:right="739"/>
        <w:spacing w:after="0" w:line="282" w:lineRule="auto"/>
        <w:rPr>
          <w:sz w:val="20"/>
          <w:szCs w:val="20"/>
          <w:color w:val="auto"/>
        </w:rPr>
      </w:pPr>
      <w:r>
        <w:rPr>
          <w:rFonts w:ascii="Times New Roman" w:cs="Times New Roman" w:eastAsia="Times New Roman" w:hAnsi="Times New Roman"/>
          <w:sz w:val="14"/>
          <w:szCs w:val="14"/>
          <w:color w:val="auto"/>
        </w:rPr>
        <w:t>The Company has granted awards to employees that vest based on continued service (service conditions). Stock-based compensation expense is recognized on a straight-line basis over the service period.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spacing w:after="0" w:line="142"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Key areas of focus for the CODM when making decisions on the allocations of resources is cash used in operations as well as revenue, gross margin and net loss; this information is used by the CODM and compared to budgeted amounts in order for the CODM to make decisions on how resources should be allocated across the organization. The Company’s segment measure of profitability is net loss.</w:t>
      </w:r>
    </w:p>
    <w:p>
      <w:pPr>
        <w:spacing w:after="0" w:line="13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Segment revenues are derived from prenatal and oncology testing results, leveraging the Company’s diagnostic technology platform, which are delivered to patients, who are the Company’s customer. The Company’s customers are predominantly located in the United States. Substantially all of the Company’s long-lived assets are located in the United States. The Company’s technology platform is applied similarly in both the prenatal and oncology settings.</w:t>
      </w:r>
    </w:p>
    <w:p>
      <w:pPr>
        <w:spacing w:after="0" w:line="139" w:lineRule="exact"/>
        <w:rPr>
          <w:sz w:val="20"/>
          <w:szCs w:val="20"/>
          <w:color w:val="auto"/>
        </w:rPr>
      </w:pPr>
    </w:p>
    <w:p>
      <w:pPr>
        <w:ind w:left="1360" w:right="559"/>
        <w:spacing w:after="0" w:line="282" w:lineRule="auto"/>
        <w:rPr>
          <w:sz w:val="20"/>
          <w:szCs w:val="20"/>
          <w:color w:val="auto"/>
        </w:rPr>
      </w:pPr>
      <w:r>
        <w:rPr>
          <w:rFonts w:ascii="Times New Roman" w:cs="Times New Roman" w:eastAsia="Times New Roman" w:hAnsi="Times New Roman"/>
          <w:sz w:val="14"/>
          <w:szCs w:val="14"/>
          <w:color w:val="auto"/>
        </w:rPr>
        <w:t>The financial statements provide the CODM with a view of the Company’s financial condition as it pertains to the Company’s assets, liabilities and expenses. Significant expense categories align with the expense categories and amounts presented on the statements of operations.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2023-07,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(Topic 280): Improvements to Reportable Segment Disclosures</w:t>
      </w:r>
      <w:r>
        <w:rPr>
          <w:rFonts w:ascii="Times New Roman" w:cs="Times New Roman" w:eastAsia="Times New Roman" w:hAnsi="Times New Roman"/>
          <w:sz w:val="14"/>
          <w:szCs w:val="14"/>
          <w:color w:val="auto"/>
        </w:rPr>
        <w:t>, which expands segment disclosures by requiring disclosure of significant segment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that are regularly provided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385"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to the CODM and included within each reported measure of segment profit and loss, an amount and description of its composition for other segment items, and interim disclosures of a reportable segment’s profit or loss and assets. This guidance also requires disclosures of the title and position of the CODM, and an explanation of how the CODM uses the reported measures of segment profit or loss in assessing segment performance and deciding how to allocate resources. The Company adopted this ASU for its year ended December 31, 2024, and the adoption did not have a material impact on the Company’s financial statements or disclosures.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1"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 – Debt with Conversion and Other Options (Subtopic 470-20): Induced Conversions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Convertible Debt Instruments. </w:t>
      </w:r>
      <w:r>
        <w:rPr>
          <w:rFonts w:ascii="Times New Roman" w:cs="Times New Roman" w:eastAsia="Times New Roman" w:hAnsi="Times New Roman"/>
          <w:sz w:val="14"/>
          <w:szCs w:val="14"/>
          <w:color w:val="auto"/>
        </w:rPr>
        <w:t>This ASU clarifies guidance on the requirements for determining whether certain settlements of convertible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should be accounted for as an induced conversion or extinguishment. This guidance is effective for the Company beginning on January 1, 2026, and early adoption is permitted, although the Company does not plan to early adopt. The Company is currently evaluating the impact of the adoption of this standard on the Company’s financial statement disclosures.</w:t>
      </w:r>
    </w:p>
    <w:p>
      <w:pPr>
        <w:spacing w:after="0" w:line="139"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which expands income tax disclosure requirements to include additional information related to the rate reconciliation of effective tax rates to statutory rates, as well as additional disaggregation of taxes paid. This ASU also removed disclosure related to certain unrecognized tax benefits and deferred taxes. ASU 2023-09 is effective for fiscal years beginning after December 15, 2024. This ASU may be applied prospectively or retrospectively, and early adoption is permitted. The Company is currently evaluating the impact of the adoption of this standard on the Company’s financial statement disclosures.</w:t>
      </w:r>
    </w:p>
    <w:p>
      <w:pPr>
        <w:spacing w:after="0" w:line="139"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 xml:space="preserve">In November 2024 and January 2025, FASB issued ASU 2024-03 and ASU 2025-01, respectively, </w:t>
      </w:r>
      <w:r>
        <w:rPr>
          <w:rFonts w:ascii="Times New Roman" w:cs="Times New Roman" w:eastAsia="Times New Roman" w:hAnsi="Times New Roman"/>
          <w:sz w:val="14"/>
          <w:szCs w:val="14"/>
          <w:i w:val="1"/>
          <w:iCs w:val="1"/>
          <w:color w:val="auto"/>
        </w:rPr>
        <w:t>Income Statement—Reporting Comprehensive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Income—Expense Disaggregation Disclosures (Subtopic 220-40): Disaggregation of Income Statement Expenses</w:t>
      </w:r>
      <w:r>
        <w:rPr>
          <w:rFonts w:ascii="Times New Roman" w:cs="Times New Roman" w:eastAsia="Times New Roman" w:hAnsi="Times New Roman"/>
          <w:sz w:val="14"/>
          <w:szCs w:val="14"/>
          <w:color w:val="auto"/>
        </w:rPr>
        <w:t>, which requires disclosure in the notes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financial statements of specified information about an entity’s certain costs and expenses. The amendments to the standards are effective for the Company’s fiscal year beginning January 1, 2027 and interim periods 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fair value measurements of assets and liabilities that are measured at fair value on a recurring basis consisted of the following as of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2023 (in thousands):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w w:val="94"/>
              </w:rPr>
              <w:t>Level 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w w:val="94"/>
              </w:rPr>
              <w:t>Level 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346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150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shd w:val="clear" w:color="auto" w:fill="E5E5E5"/>
          </w:tcPr>
          <w:p>
            <w:pPr>
              <w:spacing w:after="0"/>
              <w:rPr>
                <w:sz w:val="13"/>
                <w:szCs w:val="13"/>
                <w:color w:val="auto"/>
              </w:rPr>
            </w:pPr>
          </w:p>
        </w:tc>
        <w:tc>
          <w:tcPr>
            <w:tcW w:w="5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E5E5E5"/>
          </w:tcPr>
          <w:p>
            <w:pPr>
              <w:spacing w:after="0"/>
              <w:rPr>
                <w:sz w:val="13"/>
                <w:szCs w:val="13"/>
                <w:color w:val="auto"/>
              </w:rPr>
            </w:pPr>
          </w:p>
        </w:tc>
        <w:tc>
          <w:tcPr>
            <w:tcW w:w="5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E5E5E5"/>
          </w:tcPr>
          <w:p>
            <w:pPr>
              <w:spacing w:after="0"/>
              <w:rPr>
                <w:sz w:val="13"/>
                <w:szCs w:val="13"/>
                <w:color w:val="auto"/>
              </w:rPr>
            </w:pPr>
          </w:p>
        </w:tc>
        <w:tc>
          <w:tcPr>
            <w:tcW w:w="56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146</w:t>
            </w:r>
          </w:p>
        </w:tc>
        <w:tc>
          <w:tcPr>
            <w:tcW w:w="20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auto"/>
            </w:tcBorders>
            <w:shd w:val="clear" w:color="auto" w:fill="E5E5E5"/>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146</w:t>
            </w:r>
          </w:p>
        </w:tc>
        <w:tc>
          <w:tcPr>
            <w:tcW w:w="60" w:type="dxa"/>
            <w:vAlign w:val="bottom"/>
            <w:tcBorders>
              <w:top w:val="single" w:sz="8" w:color="E5E5E5"/>
            </w:tcBorders>
            <w:shd w:val="clear" w:color="auto" w:fill="E5E5E5"/>
          </w:tcPr>
          <w:p>
            <w:pPr>
              <w:spacing w:after="0"/>
              <w:rPr>
                <w:sz w:val="13"/>
                <w:szCs w:val="13"/>
                <w:color w:val="auto"/>
              </w:rPr>
            </w:pPr>
          </w:p>
        </w:tc>
      </w:tr>
      <w:tr>
        <w:trPr>
          <w:trHeight w:val="16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60" w:type="dxa"/>
            <w:vAlign w:val="bottom"/>
          </w:tcPr>
          <w:p>
            <w:pPr>
              <w:spacing w:after="0"/>
              <w:rPr>
                <w:sz w:val="14"/>
                <w:szCs w:val="14"/>
                <w:color w:val="auto"/>
              </w:rPr>
            </w:pPr>
          </w:p>
        </w:tc>
      </w:tr>
      <w:tr>
        <w:trPr>
          <w:trHeight w:val="168"/>
        </w:trPr>
        <w:tc>
          <w:tcPr>
            <w:tcW w:w="34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50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0" w:type="dxa"/>
            <w:vAlign w:val="bottom"/>
            <w:tcBorders>
              <w:bottom w:val="single" w:sz="8" w:color="auto"/>
            </w:tcBorders>
            <w:shd w:val="clear" w:color="auto" w:fill="E5E5E5"/>
          </w:tcPr>
          <w:p>
            <w:pPr>
              <w:spacing w:after="0"/>
              <w:rPr>
                <w:sz w:val="14"/>
                <w:szCs w:val="14"/>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47,686</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47,686</w:t>
            </w:r>
          </w:p>
        </w:tc>
        <w:tc>
          <w:tcPr>
            <w:tcW w:w="60" w:type="dxa"/>
            <w:vAlign w:val="bottom"/>
            <w:shd w:val="clear" w:color="auto" w:fill="E5E5E5"/>
          </w:tcPr>
          <w:p>
            <w:pPr>
              <w:spacing w:after="0"/>
              <w:rPr>
                <w:sz w:val="14"/>
                <w:szCs w:val="14"/>
                <w:color w:val="auto"/>
              </w:rPr>
            </w:pPr>
          </w:p>
        </w:tc>
      </w:tr>
      <w:tr>
        <w:trPr>
          <w:trHeight w:val="169"/>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5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49,485</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49,485</w:t>
            </w:r>
          </w:p>
        </w:tc>
        <w:tc>
          <w:tcPr>
            <w:tcW w:w="6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3460" w:type="dxa"/>
            <w:vAlign w:val="bottom"/>
          </w:tcPr>
          <w:p>
            <w:pPr>
              <w:spacing w:after="0"/>
              <w:rPr>
                <w:sz w:val="23"/>
                <w:szCs w:val="23"/>
                <w:color w:val="auto"/>
              </w:rPr>
            </w:pPr>
          </w:p>
        </w:tc>
        <w:tc>
          <w:tcPr>
            <w:tcW w:w="160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color w:val="auto"/>
              </w:rPr>
              <w:t>F-17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The fair value measurements of assets and liabilities that are measured at fair value on a recurring basis consisted of the following as of December 31, 2024 (in thousands):</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40" w:type="dxa"/>
            <w:vAlign w:val="bottom"/>
            <w:tcBorders>
              <w:top w:val="single" w:sz="8" w:color="E5E5E5"/>
            </w:tcBorders>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auto"/>
            </w:tcBorders>
            <w:shd w:val="clear" w:color="auto" w:fill="E5E5E5"/>
          </w:tcPr>
          <w:p>
            <w:pPr>
              <w:spacing w:after="0"/>
              <w:rPr>
                <w:sz w:val="12"/>
                <w:szCs w:val="12"/>
                <w:color w:val="auto"/>
              </w:rPr>
            </w:pPr>
          </w:p>
        </w:tc>
        <w:tc>
          <w:tcPr>
            <w:tcW w:w="8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67291"/>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7,538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7,538</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gridSpan w:val="2"/>
            <w:shd w:val="clear" w:color="auto" w:fill="E5E5E5"/>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E5E5E5"/>
          </w:tcPr>
          <w:p>
            <w:pPr>
              <w:spacing w:after="0"/>
              <w:rPr>
                <w:sz w:val="14"/>
                <w:szCs w:val="14"/>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100" w:type="dxa"/>
            <w:vAlign w:val="bottom"/>
            <w:gridSpan w:val="2"/>
            <w:shd w:val="clear" w:color="auto" w:fill="E5E5E5"/>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E5E5E5"/>
          </w:tcPr>
          <w:p>
            <w:pPr>
              <w:spacing w:after="0"/>
              <w:rPr>
                <w:sz w:val="14"/>
                <w:szCs w:val="14"/>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3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warrants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Term Loan</w:t>
            </w:r>
          </w:p>
        </w:tc>
        <w:tc>
          <w:tcPr>
            <w:tcW w:w="20" w:type="dxa"/>
            <w:vAlign w:val="bottom"/>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20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54,244</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Level 3 instruments consist of the Company’s Series A-6 redeemable convertible preferred stock warrant liabilities, common stock warrant liabilities, a term loan and convertible notes.</w:t>
      </w:r>
    </w:p>
    <w:p>
      <w:pPr>
        <w:spacing w:after="0" w:line="125"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The fair values of the Series A-6 redeemable convertible preferred stock warrant and common stock warrant are measured using a probability weighted option pricing model.</w:t>
      </w:r>
    </w:p>
    <w:p>
      <w:pPr>
        <w:spacing w:after="0" w:line="125" w:lineRule="exact"/>
        <w:rPr>
          <w:sz w:val="20"/>
          <w:szCs w:val="20"/>
          <w:color w:val="auto"/>
        </w:rPr>
      </w:pPr>
    </w:p>
    <w:p>
      <w:pPr>
        <w:ind w:left="1360" w:right="479"/>
        <w:spacing w:after="0" w:line="282" w:lineRule="auto"/>
        <w:rPr>
          <w:sz w:val="20"/>
          <w:szCs w:val="20"/>
          <w:color w:val="auto"/>
        </w:rPr>
      </w:pPr>
      <w:r>
        <w:rPr>
          <w:rFonts w:ascii="Times New Roman" w:cs="Times New Roman" w:eastAsia="Times New Roman" w:hAnsi="Times New Roman"/>
          <w:sz w:val="14"/>
          <w:szCs w:val="14"/>
          <w:color w:val="auto"/>
        </w:rPr>
        <w:t>The significant assumptions used in preparing the option pricing model for valuing the common stock warrant liability as of December 31, 2023 and 2024 are as follows: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6"/>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3760" w:type="dxa"/>
            <w:vAlign w:val="bottom"/>
            <w:tcBorders>
              <w:bottom w:val="single" w:sz="8" w:color="E5E5E5"/>
            </w:tcBorders>
          </w:tcPr>
          <w:p>
            <w:pPr>
              <w:spacing w:after="0"/>
              <w:rPr>
                <w:sz w:val="9"/>
                <w:szCs w:val="9"/>
                <w:color w:val="auto"/>
              </w:rPr>
            </w:pPr>
          </w:p>
        </w:tc>
        <w:tc>
          <w:tcPr>
            <w:tcW w:w="2540" w:type="dxa"/>
            <w:vAlign w:val="bottom"/>
            <w:tcBorders>
              <w:bottom w:val="single" w:sz="8" w:color="E5E5E5"/>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5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top w:val="single" w:sz="8" w:color="auto"/>
              <w:bottom w:val="single" w:sz="8" w:color="E5E5E5"/>
            </w:tcBorders>
          </w:tcPr>
          <w:p>
            <w:pPr>
              <w:spacing w:after="0"/>
              <w:rPr>
                <w:sz w:val="9"/>
                <w:szCs w:val="9"/>
                <w:color w:val="auto"/>
              </w:rPr>
            </w:pPr>
          </w:p>
        </w:tc>
        <w:tc>
          <w:tcPr>
            <w:tcW w:w="140" w:type="dxa"/>
            <w:vAlign w:val="bottom"/>
            <w:tcBorders>
              <w:top w:val="single" w:sz="8" w:color="auto"/>
              <w:bottom w:val="single" w:sz="8" w:color="E5E5E5"/>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E5E5E5"/>
            </w:tcBorders>
          </w:tcPr>
          <w:p>
            <w:pPr>
              <w:spacing w:after="0"/>
              <w:rPr>
                <w:sz w:val="9"/>
                <w:szCs w:val="9"/>
                <w:color w:val="auto"/>
              </w:rPr>
            </w:pPr>
          </w:p>
        </w:tc>
      </w:tr>
      <w:tr>
        <w:trPr>
          <w:trHeight w:val="158"/>
        </w:trPr>
        <w:tc>
          <w:tcPr>
            <w:tcW w:w="37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Stock price</w:t>
            </w:r>
          </w:p>
        </w:tc>
        <w:tc>
          <w:tcPr>
            <w:tcW w:w="25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13.41</w:t>
            </w:r>
          </w:p>
        </w:tc>
        <w:tc>
          <w:tcPr>
            <w:tcW w:w="2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20.32</w:t>
            </w:r>
          </w:p>
        </w:tc>
        <w:tc>
          <w:tcPr>
            <w:tcW w:w="160" w:type="dxa"/>
            <w:vAlign w:val="bottom"/>
            <w:shd w:val="clear" w:color="auto" w:fill="E5E5E5"/>
          </w:tcPr>
          <w:p>
            <w:pPr>
              <w:spacing w:after="0"/>
              <w:rPr>
                <w:sz w:val="13"/>
                <w:szCs w:val="13"/>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6"/>
              </w:rPr>
              <w:t>2.80 – $10.92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6"/>
              </w:rPr>
              <w:t>2.80 – $10.92</w:t>
            </w:r>
          </w:p>
        </w:tc>
      </w:tr>
      <w:tr>
        <w:trPr>
          <w:trHeight w:val="168"/>
        </w:trPr>
        <w:tc>
          <w:tcPr>
            <w:tcW w:w="37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Volatility</w:t>
            </w:r>
          </w:p>
        </w:tc>
        <w:tc>
          <w:tcPr>
            <w:tcW w:w="25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4"/>
                <w:szCs w:val="14"/>
                <w:color w:val="auto"/>
              </w:rPr>
              <w:t>60.0%</w:t>
            </w: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84.0%</w:t>
            </w: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r>
      <w:tr>
        <w:trPr>
          <w:trHeight w:val="168"/>
        </w:trPr>
        <w:tc>
          <w:tcPr>
            <w:tcW w:w="37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5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4.14%</w:t>
            </w:r>
          </w:p>
        </w:tc>
      </w:tr>
      <w:tr>
        <w:trPr>
          <w:trHeight w:val="18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significant assumptions used in preparing the option pricing model for valuing the redeemable convertible preferred stock warrant liability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2023 and 2024 are as follows: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9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3940" w:type="dxa"/>
            <w:vAlign w:val="bottom"/>
            <w:tcBorders>
              <w:bottom w:val="single" w:sz="8" w:color="E5E5E5"/>
            </w:tcBorders>
          </w:tcPr>
          <w:p>
            <w:pPr>
              <w:spacing w:after="0"/>
              <w:rPr>
                <w:sz w:val="9"/>
                <w:szCs w:val="9"/>
                <w:color w:val="auto"/>
              </w:rPr>
            </w:pPr>
          </w:p>
        </w:tc>
        <w:tc>
          <w:tcPr>
            <w:tcW w:w="2720" w:type="dxa"/>
            <w:vAlign w:val="bottom"/>
            <w:tcBorders>
              <w:bottom w:val="single" w:sz="8" w:color="E5E5E5"/>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E5E5E5"/>
            </w:tcBorders>
          </w:tcPr>
          <w:p>
            <w:pPr>
              <w:spacing w:after="0"/>
              <w:rPr>
                <w:sz w:val="9"/>
                <w:szCs w:val="9"/>
                <w:color w:val="auto"/>
              </w:rPr>
            </w:pPr>
          </w:p>
        </w:tc>
        <w:tc>
          <w:tcPr>
            <w:tcW w:w="160" w:type="dxa"/>
            <w:vAlign w:val="bottom"/>
            <w:tcBorders>
              <w:bottom w:val="single" w:sz="8" w:color="E5E5E5"/>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E5E5E5"/>
            </w:tcBorders>
          </w:tcPr>
          <w:p>
            <w:pPr>
              <w:spacing w:after="0"/>
              <w:rPr>
                <w:sz w:val="9"/>
                <w:szCs w:val="9"/>
                <w:color w:val="auto"/>
              </w:rPr>
            </w:pPr>
          </w:p>
        </w:tc>
      </w:tr>
      <w:tr>
        <w:trPr>
          <w:trHeight w:val="158"/>
        </w:trPr>
        <w:tc>
          <w:tcPr>
            <w:tcW w:w="39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Stock price</w:t>
            </w:r>
          </w:p>
        </w:tc>
        <w:tc>
          <w:tcPr>
            <w:tcW w:w="27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17.45</w:t>
            </w:r>
          </w:p>
        </w:tc>
        <w:tc>
          <w:tcPr>
            <w:tcW w:w="2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25.83</w:t>
            </w:r>
          </w:p>
        </w:tc>
        <w:tc>
          <w:tcPr>
            <w:tcW w:w="160" w:type="dxa"/>
            <w:vAlign w:val="bottom"/>
            <w:shd w:val="clear" w:color="auto" w:fill="E5E5E5"/>
          </w:tcPr>
          <w:p>
            <w:pPr>
              <w:spacing w:after="0"/>
              <w:rPr>
                <w:sz w:val="13"/>
                <w:szCs w:val="13"/>
                <w:color w:val="auto"/>
              </w:rPr>
            </w:pP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2880" w:type="dxa"/>
            <w:vAlign w:val="bottom"/>
            <w:gridSpan w:val="2"/>
          </w:tcPr>
          <w:p>
            <w:pPr>
              <w:ind w:left="27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40" w:type="dxa"/>
            <w:vAlign w:val="bottom"/>
          </w:tcPr>
          <w:p>
            <w:pPr>
              <w:spacing w:after="0"/>
              <w:rPr>
                <w:sz w:val="14"/>
                <w:szCs w:val="14"/>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tcPr>
          <w:p>
            <w:pPr>
              <w:spacing w:after="0"/>
              <w:rPr>
                <w:sz w:val="14"/>
                <w:szCs w:val="14"/>
                <w:color w:val="auto"/>
              </w:rPr>
            </w:pPr>
          </w:p>
        </w:tc>
      </w:tr>
      <w:tr>
        <w:trPr>
          <w:trHeight w:val="168"/>
        </w:trPr>
        <w:tc>
          <w:tcPr>
            <w:tcW w:w="39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Volatility</w:t>
            </w:r>
          </w:p>
        </w:tc>
        <w:tc>
          <w:tcPr>
            <w:tcW w:w="27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84.0%</w:t>
            </w: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r>
      <w:tr>
        <w:trPr>
          <w:trHeight w:val="168"/>
        </w:trPr>
        <w:tc>
          <w:tcPr>
            <w:tcW w:w="39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7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rPr>
              <w:t>4.50%</w:t>
            </w:r>
          </w:p>
        </w:tc>
        <w:tc>
          <w:tcPr>
            <w:tcW w:w="1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4.14%</w:t>
            </w:r>
          </w:p>
        </w:tc>
      </w:tr>
      <w:tr>
        <w:trPr>
          <w:trHeight w:val="18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8"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fair value of the convertible notes is measured based on the present value of the notes based on the fair market yield to maturity and an estimate of the probability of the notes’ conversion features. The fair market yield was estimated based on publicly traded debt securities with similar maturities and risk. During the year ended December 31, 2024, the Company settled the convertible notes through the issuance of Series C-1 redeemable convertible preferred stock to the noteholders (See Note 9).</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579"/>
        <w:spacing w:after="0" w:line="282" w:lineRule="auto"/>
        <w:rPr>
          <w:sz w:val="20"/>
          <w:szCs w:val="20"/>
          <w:color w:val="auto"/>
        </w:rPr>
      </w:pPr>
      <w:r>
        <w:rPr>
          <w:rFonts w:ascii="Times New Roman" w:cs="Times New Roman" w:eastAsia="Times New Roman" w:hAnsi="Times New Roman"/>
          <w:sz w:val="14"/>
          <w:szCs w:val="14"/>
          <w:color w:val="auto"/>
        </w:rPr>
        <w:t>The significant assumptions used in preparing discounted cash flow for valuing the convertible notes as of December 31, 2023 and right before the conversion date May 15, 2024 are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2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1"/>
                <w:szCs w:val="1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May 15,</w:t>
            </w:r>
          </w:p>
        </w:tc>
      </w:tr>
      <w:tr>
        <w:trPr>
          <w:trHeight w:val="135"/>
        </w:trPr>
        <w:tc>
          <w:tcPr>
            <w:tcW w:w="4260" w:type="dxa"/>
            <w:vAlign w:val="bottom"/>
            <w:tcBorders>
              <w:bottom w:val="single" w:sz="8" w:color="E5E5E5"/>
            </w:tcBorders>
          </w:tcPr>
          <w:p>
            <w:pPr>
              <w:spacing w:after="0"/>
              <w:rPr>
                <w:sz w:val="11"/>
                <w:szCs w:val="11"/>
                <w:color w:val="auto"/>
              </w:rPr>
            </w:pPr>
          </w:p>
        </w:tc>
        <w:tc>
          <w:tcPr>
            <w:tcW w:w="248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E5E5E5"/>
            </w:tcBorders>
          </w:tcPr>
          <w:p>
            <w:pPr>
              <w:spacing w:after="0"/>
              <w:rPr>
                <w:sz w:val="11"/>
                <w:szCs w:val="11"/>
                <w:color w:val="auto"/>
              </w:rPr>
            </w:pPr>
          </w:p>
        </w:tc>
        <w:tc>
          <w:tcPr>
            <w:tcW w:w="6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E5E5E5"/>
            </w:tcBorders>
          </w:tcPr>
          <w:p>
            <w:pPr>
              <w:spacing w:after="0"/>
              <w:rPr>
                <w:sz w:val="11"/>
                <w:szCs w:val="11"/>
                <w:color w:val="auto"/>
              </w:rPr>
            </w:pPr>
          </w:p>
        </w:tc>
      </w:tr>
      <w:tr>
        <w:trPr>
          <w:trHeight w:val="158"/>
        </w:trPr>
        <w:tc>
          <w:tcPr>
            <w:tcW w:w="42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Principal outstanding (in $’000s)</w:t>
            </w:r>
          </w:p>
        </w:tc>
        <w:tc>
          <w:tcPr>
            <w:tcW w:w="3200" w:type="dxa"/>
            <w:vAlign w:val="bottom"/>
            <w:gridSpan w:val="2"/>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30,000</w:t>
            </w:r>
          </w:p>
        </w:tc>
        <w:tc>
          <w:tcPr>
            <w:tcW w:w="1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7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       30,000</w:t>
            </w:r>
          </w:p>
        </w:tc>
        <w:tc>
          <w:tcPr>
            <w:tcW w:w="160" w:type="dxa"/>
            <w:vAlign w:val="bottom"/>
            <w:shd w:val="clear" w:color="auto" w:fill="E5E5E5"/>
          </w:tcPr>
          <w:p>
            <w:pPr>
              <w:spacing w:after="0"/>
              <w:rPr>
                <w:sz w:val="13"/>
                <w:szCs w:val="13"/>
                <w:color w:val="auto"/>
              </w:rPr>
            </w:pP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r>
      <w:tr>
        <w:trPr>
          <w:trHeight w:val="168"/>
        </w:trPr>
        <w:tc>
          <w:tcPr>
            <w:tcW w:w="42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380" w:type="dxa"/>
            <w:vAlign w:val="bottom"/>
            <w:gridSpan w:val="3"/>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5.26%</w:t>
            </w:r>
          </w:p>
        </w:tc>
        <w:tc>
          <w:tcPr>
            <w:tcW w:w="940" w:type="dxa"/>
            <w:vAlign w:val="bottom"/>
            <w:gridSpan w:val="3"/>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5.46%</w:t>
            </w:r>
          </w:p>
        </w:tc>
      </w:tr>
      <w:tr>
        <w:trPr>
          <w:trHeight w:val="183"/>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w:t>
            </w:r>
          </w:p>
        </w:tc>
        <w:tc>
          <w:tcPr>
            <w:tcW w:w="3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8.00%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8.00%</w:t>
            </w:r>
          </w:p>
        </w:tc>
      </w:tr>
    </w:tbl>
    <w:p>
      <w:pPr>
        <w:spacing w:after="0" w:line="138" w:lineRule="exact"/>
        <w:rPr>
          <w:sz w:val="20"/>
          <w:szCs w:val="20"/>
          <w:color w:val="auto"/>
        </w:rPr>
      </w:pPr>
    </w:p>
    <w:p>
      <w:pPr>
        <w:ind w:left="1360" w:right="279"/>
        <w:spacing w:after="0" w:line="266" w:lineRule="auto"/>
        <w:rPr>
          <w:sz w:val="20"/>
          <w:szCs w:val="20"/>
          <w:color w:val="auto"/>
        </w:rPr>
      </w:pPr>
      <w:r>
        <w:rPr>
          <w:rFonts w:ascii="Times New Roman" w:cs="Times New Roman" w:eastAsia="Times New Roman" w:hAnsi="Times New Roman"/>
          <w:sz w:val="14"/>
          <w:szCs w:val="14"/>
          <w:color w:val="auto"/>
        </w:rPr>
        <w:t>During the year ended December 31, 2024, the Company entered into a new term loan agreement for which the Company elected to account for using the fair value option. As such, the fair value of the debt is calculated by using the probability weighting of the present value of settlement scenarios (See Note 10).</w:t>
      </w:r>
    </w:p>
    <w:p>
      <w:pPr>
        <w:spacing w:after="0" w:line="136"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The significant assumptions used in preparing the income approach model for valuing the new term loan as of August 2, 2024 and December 31, 2024 are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August 2,</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4340" w:type="dxa"/>
            <w:vAlign w:val="bottom"/>
            <w:tcBorders>
              <w:bottom w:val="single" w:sz="8" w:color="E5E5E5"/>
            </w:tcBorders>
          </w:tcPr>
          <w:p>
            <w:pPr>
              <w:spacing w:after="0"/>
              <w:rPr>
                <w:sz w:val="11"/>
                <w:szCs w:val="11"/>
                <w:color w:val="auto"/>
              </w:rPr>
            </w:pPr>
          </w:p>
        </w:tc>
        <w:tc>
          <w:tcPr>
            <w:tcW w:w="2380" w:type="dxa"/>
            <w:vAlign w:val="bottom"/>
            <w:tcBorders>
              <w:bottom w:val="single" w:sz="8" w:color="E5E5E5"/>
            </w:tcBorders>
          </w:tcPr>
          <w:p>
            <w:pPr>
              <w:spacing w:after="0"/>
              <w:rPr>
                <w:sz w:val="11"/>
                <w:szCs w:val="11"/>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E5E5E5"/>
            </w:tcBorders>
          </w:tcPr>
          <w:p>
            <w:pPr>
              <w:spacing w:after="0"/>
              <w:rPr>
                <w:sz w:val="11"/>
                <w:szCs w:val="11"/>
                <w:color w:val="auto"/>
              </w:rPr>
            </w:pPr>
          </w:p>
        </w:tc>
        <w:tc>
          <w:tcPr>
            <w:tcW w:w="140" w:type="dxa"/>
            <w:vAlign w:val="bottom"/>
            <w:tcBorders>
              <w:bottom w:val="single" w:sz="8" w:color="E5E5E5"/>
            </w:tcBorders>
          </w:tcPr>
          <w:p>
            <w:pPr>
              <w:spacing w:after="0"/>
              <w:rPr>
                <w:sz w:val="11"/>
                <w:szCs w:val="11"/>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E5E5E5"/>
            </w:tcBorders>
          </w:tcPr>
          <w:p>
            <w:pPr>
              <w:spacing w:after="0"/>
              <w:rPr>
                <w:sz w:val="11"/>
                <w:szCs w:val="11"/>
                <w:color w:val="auto"/>
              </w:rPr>
            </w:pPr>
          </w:p>
        </w:tc>
      </w:tr>
      <w:tr>
        <w:trPr>
          <w:trHeight w:val="158"/>
        </w:trPr>
        <w:tc>
          <w:tcPr>
            <w:tcW w:w="43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Discount rate</w:t>
            </w:r>
          </w:p>
        </w:tc>
        <w:tc>
          <w:tcPr>
            <w:tcW w:w="2380" w:type="dxa"/>
            <w:vAlign w:val="bottom"/>
            <w:shd w:val="clear" w:color="auto" w:fill="E5E5E5"/>
          </w:tcPr>
          <w:p>
            <w:pPr>
              <w:spacing w:after="0"/>
              <w:rPr>
                <w:sz w:val="13"/>
                <w:szCs w:val="13"/>
                <w:color w:val="auto"/>
              </w:rPr>
            </w:pPr>
          </w:p>
        </w:tc>
        <w:tc>
          <w:tcPr>
            <w:tcW w:w="900" w:type="dxa"/>
            <w:vAlign w:val="bottom"/>
            <w:gridSpan w:val="2"/>
            <w:shd w:val="clear" w:color="auto" w:fill="E5E5E5"/>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w w:val="92"/>
              </w:rPr>
              <w:t>       10.02%</w:t>
            </w:r>
          </w:p>
        </w:tc>
        <w:tc>
          <w:tcPr>
            <w:tcW w:w="140" w:type="dxa"/>
            <w:vAlign w:val="bottom"/>
            <w:shd w:val="clear" w:color="auto" w:fill="E5E5E5"/>
          </w:tcPr>
          <w:p>
            <w:pPr>
              <w:spacing w:after="0"/>
              <w:rPr>
                <w:sz w:val="13"/>
                <w:szCs w:val="13"/>
                <w:color w:val="auto"/>
              </w:rPr>
            </w:pPr>
          </w:p>
        </w:tc>
        <w:tc>
          <w:tcPr>
            <w:tcW w:w="820" w:type="dxa"/>
            <w:vAlign w:val="bottom"/>
            <w:gridSpan w:val="2"/>
            <w:shd w:val="clear" w:color="auto" w:fill="E5E5E5"/>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      9.37%</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Annual interest rate</w:t>
            </w:r>
          </w:p>
        </w:tc>
        <w:tc>
          <w:tcPr>
            <w:tcW w:w="3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8.00%</w:t>
            </w:r>
          </w:p>
        </w:tc>
      </w:tr>
      <w:tr>
        <w:trPr>
          <w:trHeight w:val="168"/>
        </w:trPr>
        <w:tc>
          <w:tcPr>
            <w:tcW w:w="43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Expected term (years) – Scenario 1</w:t>
            </w:r>
          </w:p>
        </w:tc>
        <w:tc>
          <w:tcPr>
            <w:tcW w:w="30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60" w:type="dxa"/>
            <w:vAlign w:val="bottom"/>
            <w:shd w:val="clear" w:color="auto" w:fill="E5E5E5"/>
          </w:tcPr>
          <w:p>
            <w:pPr>
              <w:spacing w:after="0"/>
              <w:rPr>
                <w:sz w:val="14"/>
                <w:szCs w:val="14"/>
                <w:color w:val="auto"/>
              </w:rPr>
            </w:pPr>
          </w:p>
        </w:tc>
        <w:tc>
          <w:tcPr>
            <w:tcW w:w="8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60" w:type="dxa"/>
            <w:vAlign w:val="bottom"/>
            <w:shd w:val="clear" w:color="auto" w:fill="E5E5E5"/>
          </w:tcPr>
          <w:p>
            <w:pPr>
              <w:spacing w:after="0"/>
              <w:rPr>
                <w:sz w:val="14"/>
                <w:szCs w:val="14"/>
                <w:color w:val="auto"/>
              </w:rPr>
            </w:pPr>
          </w:p>
        </w:tc>
      </w:tr>
      <w:tr>
        <w:trPr>
          <w:trHeight w:val="183"/>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 – Scenario 2</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60" w:type="dxa"/>
            <w:vAlign w:val="bottom"/>
          </w:tcPr>
          <w:p>
            <w:pPr>
              <w:spacing w:after="0"/>
              <w:rPr>
                <w:sz w:val="15"/>
                <w:szCs w:val="15"/>
                <w:color w:val="auto"/>
              </w:rPr>
            </w:pPr>
          </w:p>
        </w:tc>
      </w:tr>
    </w:tbl>
    <w:p>
      <w:pPr>
        <w:spacing w:after="0" w:line="138" w:lineRule="exact"/>
        <w:rPr>
          <w:sz w:val="20"/>
          <w:szCs w:val="20"/>
          <w:color w:val="auto"/>
        </w:rPr>
      </w:pPr>
    </w:p>
    <w:p>
      <w:pPr>
        <w:ind w:left="1360" w:right="479"/>
        <w:spacing w:after="0" w:line="282" w:lineRule="auto"/>
        <w:rPr>
          <w:sz w:val="20"/>
          <w:szCs w:val="20"/>
          <w:color w:val="auto"/>
        </w:rPr>
      </w:pPr>
      <w:r>
        <w:rPr>
          <w:rFonts w:ascii="Times New Roman" w:cs="Times New Roman" w:eastAsia="Times New Roman" w:hAnsi="Times New Roman"/>
          <w:sz w:val="14"/>
          <w:szCs w:val="14"/>
          <w:color w:val="auto"/>
        </w:rPr>
        <w:t>The common stock warrants, redeemable convertible preferred stock warrants, convertible notes and term loan are all classified as Level 3 fair value measurements due to the lack of relevant observable market data for the respective fair value inputs for each instrument.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a summary of the changes in the fair value of the Company’s Level 3 financial instruments (in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4"/>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Term Loan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Balance at January 1, 2023</w:t>
            </w:r>
          </w:p>
        </w:tc>
        <w:tc>
          <w:tcPr>
            <w:tcW w:w="128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66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1,261</w:t>
            </w:r>
          </w:p>
        </w:tc>
        <w:tc>
          <w:tcPr>
            <w:tcW w:w="22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98</w:t>
            </w:r>
          </w:p>
        </w:tc>
        <w:tc>
          <w:tcPr>
            <w:tcW w:w="22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34,765</w:t>
            </w:r>
          </w:p>
        </w:tc>
        <w:tc>
          <w:tcPr>
            <w:tcW w:w="14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auto"/>
            </w:tcBorders>
            <w:shd w:val="clear" w:color="auto" w:fill="E5E5E5"/>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Adjustment to fair value</w:t>
            </w:r>
          </w:p>
        </w:tc>
        <w:tc>
          <w:tcPr>
            <w:tcW w:w="128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12,921</w:t>
            </w: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Additions</w:t>
            </w:r>
          </w:p>
        </w:tc>
        <w:tc>
          <w:tcPr>
            <w:tcW w:w="12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Adjustment to fair value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Gain on extinguishment</w:t>
            </w:r>
          </w:p>
        </w:tc>
        <w:tc>
          <w:tcPr>
            <w:tcW w:w="12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(8,635)</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Settlements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(39,886)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9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2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       51,481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For the years ended December 31, 2023 and 2024, the Company recognized losses related to the change in the fair value of the common stock warrant liability and redeemable convertible preferred stock warrant liability in other expense, net in the statements of operations and comprehensive loss. The Company will continue to recognize changes in the fair value of the common stock warrant liability and redeemable convertible preferred stock warrant liability until the warrants are exercised, expire, or qualify for equity classification.</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For the years ended December 31, 2023 and 2024, the Company recognized losses related to the change in the fair value of convertible notes in change in fair value of convertible notes in the statements of operations and comprehensive loss. During the year ended December 31, 2024, the convertible notes were settled in Series C-1 Redeemable Convertible Preferred Stock which was accounted for as a debt extinguishment as the settlement was not pursuant to the original conversion terms. The Company recorded a gain on extinguishment in net gain on extinguishment of debt in the statements of operations and comprehensive loss upon the conversion date (See Note 9).</w:t>
      </w:r>
    </w:p>
    <w:p>
      <w:pPr>
        <w:spacing w:after="0" w:line="142" w:lineRule="exact"/>
        <w:rPr>
          <w:sz w:val="20"/>
          <w:szCs w:val="20"/>
          <w:color w:val="auto"/>
        </w:rPr>
      </w:pPr>
    </w:p>
    <w:p>
      <w:pPr>
        <w:ind w:left="1360" w:right="239"/>
        <w:spacing w:after="0" w:line="282" w:lineRule="auto"/>
        <w:rPr>
          <w:sz w:val="20"/>
          <w:szCs w:val="20"/>
          <w:color w:val="auto"/>
        </w:rPr>
      </w:pPr>
      <w:r>
        <w:rPr>
          <w:rFonts w:ascii="Times New Roman" w:cs="Times New Roman" w:eastAsia="Times New Roman" w:hAnsi="Times New Roman"/>
          <w:sz w:val="14"/>
          <w:szCs w:val="14"/>
          <w:color w:val="auto"/>
        </w:rPr>
        <w:t>For the year ended December 31, 2024, the Company recognized a loss related to the change in fair value of the term loan in change in fair value of term loan in the statements of operations and comprehensive loss.</w:t>
      </w:r>
    </w:p>
    <w:p>
      <w:pPr>
        <w:spacing w:after="0" w:line="125"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common stock warrant liability and redeemable convertible preferred stock warrant liabilities are recorded within other non-current liabilities on the balance sheets as of ended December 31, 2023 and 2024. The convertible notes are presented in current liabilities on the balance sheet as of December 31, 2023. The term loan is recorded within long-term debt on the balance sheet as of December 31, 2024.</w:t>
      </w:r>
    </w:p>
    <w:p>
      <w:pPr>
        <w:spacing w:after="0" w:line="136"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Company recognizes transfers among Level 1, Level 2 and Level 3 classifications as of the actual date of the events or change in circumstances that caused the transfers. During the years ended December 31, 2023 and 2024, the Company had no transfers of financial assets or liabilities between Level 1 and Level 2 or between Level 2 and Level 3 of the fair value hierarchy.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480" w:type="dxa"/>
            <w:vAlign w:val="bottom"/>
            <w:tcBorders>
              <w:bottom w:val="single" w:sz="8" w:color="E5E5E5"/>
            </w:tcBorders>
          </w:tcPr>
          <w:p>
            <w:pPr>
              <w:spacing w:after="0"/>
              <w:rPr>
                <w:sz w:val="11"/>
                <w:szCs w:val="11"/>
                <w:color w:val="auto"/>
              </w:rPr>
            </w:pPr>
          </w:p>
        </w:tc>
        <w:tc>
          <w:tcPr>
            <w:tcW w:w="168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E5E5E5"/>
            </w:tcBorders>
          </w:tcPr>
          <w:p>
            <w:pPr>
              <w:spacing w:after="0"/>
              <w:rPr>
                <w:sz w:val="11"/>
                <w:szCs w:val="11"/>
                <w:color w:val="auto"/>
              </w:rPr>
            </w:pPr>
          </w:p>
        </w:tc>
        <w:tc>
          <w:tcPr>
            <w:tcW w:w="10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E5E5E5"/>
            </w:tcBorders>
          </w:tcPr>
          <w:p>
            <w:pPr>
              <w:spacing w:after="0"/>
              <w:rPr>
                <w:sz w:val="11"/>
                <w:szCs w:val="11"/>
                <w:color w:val="auto"/>
              </w:rPr>
            </w:pPr>
          </w:p>
        </w:tc>
      </w:tr>
      <w:tr>
        <w:trPr>
          <w:trHeight w:val="158"/>
        </w:trPr>
        <w:tc>
          <w:tcPr>
            <w:tcW w:w="448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1680" w:type="dxa"/>
            <w:vAlign w:val="bottom"/>
            <w:shd w:val="clear" w:color="auto" w:fill="E5E5E5"/>
          </w:tcPr>
          <w:p>
            <w:pPr>
              <w:spacing w:after="0"/>
              <w:rPr>
                <w:sz w:val="13"/>
                <w:szCs w:val="13"/>
                <w:color w:val="auto"/>
              </w:rPr>
            </w:pPr>
          </w:p>
        </w:tc>
        <w:tc>
          <w:tcPr>
            <w:tcW w:w="14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10,616</w:t>
            </w:r>
          </w:p>
        </w:tc>
        <w:tc>
          <w:tcPr>
            <w:tcW w:w="1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4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14,585</w:t>
            </w:r>
          </w:p>
        </w:tc>
        <w:tc>
          <w:tcPr>
            <w:tcW w:w="120" w:type="dxa"/>
            <w:vAlign w:val="bottom"/>
            <w:shd w:val="clear" w:color="auto" w:fill="E5E5E5"/>
          </w:tcPr>
          <w:p>
            <w:pPr>
              <w:spacing w:after="0"/>
              <w:rPr>
                <w:sz w:val="13"/>
                <w:szCs w:val="13"/>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Equipment under finance lease</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11,210</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6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20" w:type="dxa"/>
            <w:vAlign w:val="bottom"/>
            <w:shd w:val="clear" w:color="auto" w:fill="E5E5E5"/>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Automobiles</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Computer hardware</w:t>
            </w:r>
          </w:p>
        </w:tc>
        <w:tc>
          <w:tcPr>
            <w:tcW w:w="16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shd w:val="clear" w:color="auto" w:fill="E5E5E5"/>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20" w:type="dxa"/>
            <w:vAlign w:val="bottom"/>
            <w:shd w:val="clear" w:color="auto" w:fill="E5E5E5"/>
          </w:tcPr>
          <w:p>
            <w:pPr>
              <w:spacing w:after="0"/>
              <w:rPr>
                <w:sz w:val="14"/>
                <w:szCs w:val="14"/>
                <w:color w:val="auto"/>
              </w:rPr>
            </w:pPr>
          </w:p>
        </w:tc>
      </w:tr>
      <w:tr>
        <w:trPr>
          <w:trHeight w:val="169"/>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6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27,895</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34,260</w:t>
            </w:r>
          </w:p>
        </w:tc>
        <w:tc>
          <w:tcPr>
            <w:tcW w:w="120" w:type="dxa"/>
            <w:vAlign w:val="bottom"/>
            <w:shd w:val="clear" w:color="auto" w:fill="E5E5E5"/>
          </w:tcPr>
          <w:p>
            <w:pPr>
              <w:spacing w:after="0"/>
              <w:rPr>
                <w:sz w:val="14"/>
                <w:szCs w:val="14"/>
                <w:color w:val="auto"/>
              </w:rPr>
            </w:pPr>
          </w:p>
        </w:tc>
      </w:tr>
      <w:tr>
        <w:trPr>
          <w:trHeight w:val="169"/>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(17,149)</w:t>
            </w:r>
          </w:p>
        </w:tc>
      </w:tr>
      <w:tr>
        <w:trPr>
          <w:trHeight w:val="168"/>
        </w:trPr>
        <w:tc>
          <w:tcPr>
            <w:tcW w:w="44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80" w:type="dxa"/>
            <w:vAlign w:val="bottom"/>
            <w:shd w:val="clear" w:color="auto" w:fill="E5E5E5"/>
          </w:tcPr>
          <w:p>
            <w:pPr>
              <w:spacing w:after="0"/>
              <w:rPr>
                <w:sz w:val="14"/>
                <w:szCs w:val="14"/>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17,479</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120" w:type="dxa"/>
            <w:vAlign w:val="bottom"/>
            <w:shd w:val="clear" w:color="auto" w:fill="E5E5E5"/>
          </w:tcPr>
          <w:p>
            <w:pPr>
              <w:spacing w:after="0"/>
              <w:rPr>
                <w:sz w:val="14"/>
                <w:szCs w:val="14"/>
                <w:color w:val="auto"/>
              </w:rPr>
            </w:pPr>
          </w:p>
        </w:tc>
      </w:tr>
      <w:tr>
        <w:trPr>
          <w:trHeight w:val="20"/>
        </w:trPr>
        <w:tc>
          <w:tcPr>
            <w:tcW w:w="4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79"/>
        <w:spacing w:after="0" w:line="282" w:lineRule="auto"/>
        <w:rPr>
          <w:sz w:val="20"/>
          <w:szCs w:val="20"/>
          <w:color w:val="auto"/>
        </w:rPr>
      </w:pPr>
      <w:r>
        <w:rPr>
          <w:rFonts w:ascii="Times New Roman" w:cs="Times New Roman" w:eastAsia="Times New Roman" w:hAnsi="Times New Roman"/>
          <w:sz w:val="14"/>
          <w:szCs w:val="14"/>
          <w:color w:val="auto"/>
        </w:rPr>
        <w:t>Depreciation and amortization expense for the years ended December 31, 2023 and 2024 was $5.9 million and $7.0 million, respectively. Amounts included in construction in progress consists of purchases of lab equipment that have not yet been placed into service.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Refer to Note 8 for additional details related to leased equipment.</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68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E5E5E5"/>
            </w:tcBorders>
          </w:tcPr>
          <w:p>
            <w:pPr>
              <w:spacing w:after="0"/>
              <w:rPr>
                <w:sz w:val="11"/>
                <w:szCs w:val="11"/>
                <w:color w:val="auto"/>
              </w:rPr>
            </w:pPr>
          </w:p>
        </w:tc>
      </w:tr>
      <w:tr>
        <w:trPr>
          <w:trHeight w:val="148"/>
        </w:trPr>
        <w:tc>
          <w:tcPr>
            <w:tcW w:w="668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Accrued professional services</w:t>
            </w:r>
          </w:p>
        </w:tc>
        <w:tc>
          <w:tcPr>
            <w:tcW w:w="20" w:type="dxa"/>
            <w:vAlign w:val="bottom"/>
            <w:shd w:val="clear" w:color="auto" w:fill="E5E5E5"/>
          </w:tcPr>
          <w:p>
            <w:pPr>
              <w:spacing w:after="0"/>
              <w:rPr>
                <w:sz w:val="12"/>
                <w:szCs w:val="12"/>
                <w:color w:val="auto"/>
              </w:rPr>
            </w:pPr>
          </w:p>
        </w:tc>
        <w:tc>
          <w:tcPr>
            <w:tcW w:w="8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shd w:val="clear" w:color="auto" w:fill="E5E5E5"/>
          </w:tcPr>
          <w:p>
            <w:pPr>
              <w:jc w:val="right"/>
              <w:ind w:right="19"/>
              <w:spacing w:after="0" w:line="148" w:lineRule="exact"/>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w w:val="88"/>
              </w:rPr>
              <w:t>  322</w:t>
            </w:r>
          </w:p>
        </w:tc>
        <w:tc>
          <w:tcPr>
            <w:tcW w:w="220" w:type="dxa"/>
            <w:vAlign w:val="bottom"/>
            <w:shd w:val="clear" w:color="auto" w:fill="E5E5E5"/>
          </w:tcPr>
          <w:p>
            <w:pPr>
              <w:spacing w:after="0"/>
              <w:rPr>
                <w:sz w:val="12"/>
                <w:szCs w:val="12"/>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E5E5E5"/>
          </w:tcPr>
          <w:p>
            <w:pPr>
              <w:ind w:left="40"/>
              <w:spacing w:after="0" w:line="148" w:lineRule="exact"/>
              <w:rPr>
                <w:sz w:val="20"/>
                <w:szCs w:val="20"/>
                <w:color w:val="auto"/>
              </w:rPr>
            </w:pPr>
            <w:r>
              <w:rPr>
                <w:rFonts w:ascii="Times New Roman" w:cs="Times New Roman" w:eastAsia="Times New Roman" w:hAnsi="Times New Roman"/>
                <w:sz w:val="13"/>
                <w:szCs w:val="13"/>
                <w:color w:val="auto"/>
              </w:rPr>
              <w:t xml:space="preserve">   </w:t>
            </w:r>
          </w:p>
        </w:tc>
        <w:tc>
          <w:tcPr>
            <w:tcW w:w="540" w:type="dxa"/>
            <w:vAlign w:val="bottom"/>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      898</w:t>
            </w:r>
          </w:p>
        </w:tc>
        <w:tc>
          <w:tcPr>
            <w:tcW w:w="60" w:type="dxa"/>
            <w:vAlign w:val="bottom"/>
            <w:shd w:val="clear" w:color="auto" w:fill="E5E5E5"/>
          </w:tcPr>
          <w:p>
            <w:pPr>
              <w:spacing w:after="0"/>
              <w:rPr>
                <w:sz w:val="12"/>
                <w:szCs w:val="12"/>
                <w:color w:val="auto"/>
              </w:rPr>
            </w:pPr>
          </w:p>
        </w:tc>
      </w:tr>
      <w:tr>
        <w:trPr>
          <w:trHeight w:val="157"/>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Accrued inventory purchases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60" w:type="dxa"/>
            <w:vAlign w:val="bottom"/>
          </w:tcPr>
          <w:p>
            <w:pPr>
              <w:spacing w:after="0"/>
              <w:rPr>
                <w:sz w:val="13"/>
                <w:szCs w:val="13"/>
                <w:color w:val="auto"/>
              </w:rPr>
            </w:pPr>
          </w:p>
        </w:tc>
      </w:tr>
      <w:tr>
        <w:trPr>
          <w:trHeight w:val="157"/>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property and other taxes</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60" w:type="dxa"/>
            <w:vAlign w:val="bottom"/>
            <w:shd w:val="clear" w:color="auto" w:fill="E5E5E5"/>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Accrued information technology purchases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60" w:type="dxa"/>
            <w:vAlign w:val="bottom"/>
          </w:tcPr>
          <w:p>
            <w:pPr>
              <w:spacing w:after="0"/>
              <w:rPr>
                <w:sz w:val="13"/>
                <w:szCs w:val="13"/>
                <w:color w:val="auto"/>
              </w:rPr>
            </w:pPr>
          </w:p>
        </w:tc>
      </w:tr>
      <w:tr>
        <w:trPr>
          <w:trHeight w:val="157"/>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legal expenses</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60" w:type="dxa"/>
            <w:vAlign w:val="bottom"/>
            <w:shd w:val="clear" w:color="auto" w:fill="E5E5E5"/>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Accrued phlebotomy expenses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60" w:type="dxa"/>
            <w:vAlign w:val="bottom"/>
          </w:tcPr>
          <w:p>
            <w:pPr>
              <w:spacing w:after="0"/>
              <w:rPr>
                <w:sz w:val="13"/>
                <w:szCs w:val="13"/>
                <w:color w:val="auto"/>
              </w:rPr>
            </w:pPr>
          </w:p>
        </w:tc>
      </w:tr>
      <w:tr>
        <w:trPr>
          <w:trHeight w:val="157"/>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insurance expenses</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shd w:val="clear" w:color="auto" w:fill="E5E5E5"/>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Accrued rent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60" w:type="dxa"/>
            <w:vAlign w:val="bottom"/>
          </w:tcPr>
          <w:p>
            <w:pPr>
              <w:spacing w:after="0"/>
              <w:rPr>
                <w:sz w:val="13"/>
                <w:szCs w:val="13"/>
                <w:color w:val="auto"/>
              </w:rPr>
            </w:pPr>
          </w:p>
        </w:tc>
      </w:tr>
      <w:tr>
        <w:trPr>
          <w:trHeight w:val="157"/>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interest</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E5E5E5"/>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Accrued clinical expenses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 w:type="dxa"/>
            <w:vAlign w:val="bottom"/>
          </w:tcPr>
          <w:p>
            <w:pPr>
              <w:spacing w:after="0"/>
              <w:rPr>
                <w:sz w:val="13"/>
                <w:szCs w:val="13"/>
                <w:color w:val="auto"/>
              </w:rPr>
            </w:pPr>
          </w:p>
        </w:tc>
      </w:tr>
      <w:tr>
        <w:trPr>
          <w:trHeight w:val="157"/>
        </w:trPr>
        <w:tc>
          <w:tcPr>
            <w:tcW w:w="66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shd w:val="clear" w:color="auto" w:fill="E5E5E5"/>
          </w:tcPr>
          <w:p>
            <w:pPr>
              <w:spacing w:after="0"/>
              <w:rPr>
                <w:sz w:val="13"/>
                <w:szCs w:val="13"/>
                <w:color w:val="auto"/>
              </w:rPr>
            </w:pPr>
          </w:p>
        </w:tc>
        <w:tc>
          <w:tcPr>
            <w:tcW w:w="80" w:type="dxa"/>
            <w:vAlign w:val="bottom"/>
            <w:tcBorders>
              <w:bottom w:val="single" w:sz="8" w:color="auto"/>
            </w:tcBorders>
            <w:shd w:val="clear" w:color="auto" w:fill="E5E5E5"/>
          </w:tcPr>
          <w:p>
            <w:pPr>
              <w:spacing w:after="0"/>
              <w:rPr>
                <w:sz w:val="13"/>
                <w:szCs w:val="13"/>
                <w:color w:val="auto"/>
              </w:rPr>
            </w:pPr>
          </w:p>
        </w:tc>
        <w:tc>
          <w:tcPr>
            <w:tcW w:w="420" w:type="dxa"/>
            <w:vAlign w:val="bottom"/>
            <w:tcBorders>
              <w:bottom w:val="single" w:sz="8" w:color="auto"/>
            </w:tcBorders>
            <w:shd w:val="clear" w:color="auto" w:fill="E5E5E5"/>
          </w:tcPr>
          <w:p>
            <w:pPr>
              <w:spacing w:after="0"/>
              <w:rPr>
                <w:sz w:val="13"/>
                <w:szCs w:val="13"/>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220" w:type="dxa"/>
            <w:vAlign w:val="bottom"/>
            <w:shd w:val="clear" w:color="auto" w:fill="E5E5E5"/>
          </w:tcPr>
          <w:p>
            <w:pPr>
              <w:spacing w:after="0"/>
              <w:rPr>
                <w:sz w:val="13"/>
                <w:szCs w:val="13"/>
                <w:color w:val="auto"/>
              </w:rPr>
            </w:pPr>
          </w:p>
        </w:tc>
        <w:tc>
          <w:tcPr>
            <w:tcW w:w="100" w:type="dxa"/>
            <w:vAlign w:val="bottom"/>
            <w:tcBorders>
              <w:bottom w:val="single" w:sz="8" w:color="auto"/>
            </w:tcBorders>
            <w:shd w:val="clear" w:color="auto" w:fill="E5E5E5"/>
          </w:tcPr>
          <w:p>
            <w:pPr>
              <w:spacing w:after="0"/>
              <w:rPr>
                <w:sz w:val="13"/>
                <w:szCs w:val="13"/>
                <w:color w:val="auto"/>
              </w:rPr>
            </w:pPr>
          </w:p>
        </w:tc>
        <w:tc>
          <w:tcPr>
            <w:tcW w:w="180" w:type="dxa"/>
            <w:vAlign w:val="bottom"/>
            <w:tcBorders>
              <w:bottom w:val="single" w:sz="8" w:color="auto"/>
            </w:tcBorders>
            <w:shd w:val="clear" w:color="auto" w:fill="E5E5E5"/>
          </w:tcPr>
          <w:p>
            <w:pPr>
              <w:spacing w:after="0"/>
              <w:rPr>
                <w:sz w:val="13"/>
                <w:szCs w:val="13"/>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60" w:type="dxa"/>
            <w:vAlign w:val="bottom"/>
            <w:shd w:val="clear" w:color="auto" w:fill="E5E5E5"/>
          </w:tcPr>
          <w:p>
            <w:pPr>
              <w:spacing w:after="0"/>
              <w:rPr>
                <w:sz w:val="13"/>
                <w:szCs w:val="13"/>
                <w:color w:val="auto"/>
              </w:rPr>
            </w:pPr>
          </w:p>
        </w:tc>
      </w:tr>
      <w:tr>
        <w:trPr>
          <w:trHeight w:val="158"/>
        </w:trPr>
        <w:tc>
          <w:tcPr>
            <w:tcW w:w="6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2,411</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60" w:type="dxa"/>
            <w:vAlign w:val="bottom"/>
          </w:tcPr>
          <w:p>
            <w:pPr>
              <w:spacing w:after="0"/>
              <w:rPr>
                <w:sz w:val="13"/>
                <w:szCs w:val="13"/>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(6) Redeemable Convertible Preferred Stock</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2023, redeemable convertible preferred stock consisted of the following (in thousands, except for share data):</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280" w:type="dxa"/>
            <w:vAlign w:val="bottom"/>
          </w:tcPr>
          <w:p>
            <w:pPr>
              <w:spacing w:after="0"/>
              <w:rPr>
                <w:sz w:val="11"/>
                <w:szCs w:val="11"/>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2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Preference</w:t>
            </w:r>
          </w:p>
        </w:tc>
        <w:tc>
          <w:tcPr>
            <w:tcW w:w="0" w:type="dxa"/>
            <w:vAlign w:val="bottom"/>
          </w:tcPr>
          <w:p>
            <w:pPr>
              <w:spacing w:after="0"/>
              <w:rPr>
                <w:sz w:val="1"/>
                <w:szCs w:val="1"/>
                <w:color w:val="auto"/>
              </w:rPr>
            </w:pPr>
          </w:p>
        </w:tc>
      </w:tr>
      <w:tr>
        <w:trPr>
          <w:trHeight w:val="148"/>
        </w:trPr>
        <w:tc>
          <w:tcPr>
            <w:tcW w:w="4280" w:type="dxa"/>
            <w:vAlign w:val="bottom"/>
            <w:tcBorders>
              <w:top w:val="single" w:sz="8" w:color="E5E5E5"/>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Series A-1</w:t>
            </w: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20" w:type="dxa"/>
            <w:vAlign w:val="bottom"/>
            <w:tcBorders>
              <w:top w:val="single" w:sz="8" w:color="E5E5E5"/>
            </w:tcBorders>
            <w:shd w:val="clear" w:color="auto" w:fill="E5E5E5"/>
          </w:tcPr>
          <w:p>
            <w:pPr>
              <w:spacing w:after="0"/>
              <w:rPr>
                <w:sz w:val="12"/>
                <w:szCs w:val="12"/>
                <w:color w:val="auto"/>
              </w:rPr>
            </w:pP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0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3,493</w:t>
            </w:r>
          </w:p>
        </w:tc>
        <w:tc>
          <w:tcPr>
            <w:tcW w:w="20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540</w:t>
            </w:r>
          </w:p>
        </w:tc>
        <w:tc>
          <w:tcPr>
            <w:tcW w:w="6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A-3</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A-5</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5,805,861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5,796,201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B-1</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54,889</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B-2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C</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6,079,919</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5,628,825</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143,268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143,500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23,161,933</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22,701,179</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249,527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232,025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As of December 31, 2024, redeemable convertible preferred stock consisted of the following (in thousands, except for share data):</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280" w:type="dxa"/>
            <w:vAlign w:val="bottom"/>
          </w:tcPr>
          <w:p>
            <w:pPr>
              <w:spacing w:after="0"/>
              <w:rPr>
                <w:sz w:val="10"/>
                <w:szCs w:val="10"/>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2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Preference</w:t>
            </w:r>
          </w:p>
        </w:tc>
        <w:tc>
          <w:tcPr>
            <w:tcW w:w="0" w:type="dxa"/>
            <w:vAlign w:val="bottom"/>
          </w:tcPr>
          <w:p>
            <w:pPr>
              <w:spacing w:after="0"/>
              <w:rPr>
                <w:sz w:val="1"/>
                <w:szCs w:val="1"/>
                <w:color w:val="auto"/>
              </w:rPr>
            </w:pPr>
          </w:p>
        </w:tc>
      </w:tr>
      <w:tr>
        <w:trPr>
          <w:trHeight w:val="148"/>
        </w:trPr>
        <w:tc>
          <w:tcPr>
            <w:tcW w:w="4280" w:type="dxa"/>
            <w:vAlign w:val="bottom"/>
            <w:tcBorders>
              <w:top w:val="single" w:sz="8" w:color="E5E5E5"/>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Series A-1</w:t>
            </w: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20" w:type="dxa"/>
            <w:vAlign w:val="bottom"/>
            <w:tcBorders>
              <w:top w:val="single" w:sz="8" w:color="E5E5E5"/>
            </w:tcBorders>
            <w:shd w:val="clear" w:color="auto" w:fill="E5E5E5"/>
          </w:tcPr>
          <w:p>
            <w:pPr>
              <w:spacing w:after="0"/>
              <w:rPr>
                <w:sz w:val="12"/>
                <w:szCs w:val="12"/>
                <w:color w:val="auto"/>
              </w:rPr>
            </w:pP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0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3,493</w:t>
            </w:r>
          </w:p>
        </w:tc>
        <w:tc>
          <w:tcPr>
            <w:tcW w:w="20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540</w:t>
            </w:r>
          </w:p>
        </w:tc>
        <w:tc>
          <w:tcPr>
            <w:tcW w:w="6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A-3</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A-5</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5,805,861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5,796,201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B-1</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54,889</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B-2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C</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6,079,919</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5,628,825</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143,268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143,500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C-1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D</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129,996</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156,563</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29,544,989</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29,084,235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419,409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422,458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rights, preferences and privileges of the Company’s redeemable convertible preferred stock are as follows:</w:t>
      </w:r>
    </w:p>
    <w:p>
      <w:pPr>
        <w:spacing w:after="0" w:line="99" w:lineRule="exact"/>
        <w:rPr>
          <w:sz w:val="20"/>
          <w:szCs w:val="20"/>
          <w:color w:val="auto"/>
        </w:rPr>
      </w:pPr>
    </w:p>
    <w:p>
      <w:pPr>
        <w:ind w:left="1700" w:hanging="337"/>
        <w:spacing w:after="0"/>
        <w:tabs>
          <w:tab w:leader="none" w:pos="17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Dividends</w:t>
      </w:r>
    </w:p>
    <w:p>
      <w:pPr>
        <w:spacing w:after="0" w:line="92" w:lineRule="exact"/>
        <w:rPr>
          <w:rFonts w:ascii="Times New Roman" w:cs="Times New Roman" w:eastAsia="Times New Roman" w:hAnsi="Times New Roman"/>
          <w:sz w:val="14"/>
          <w:szCs w:val="14"/>
          <w:color w:val="auto"/>
        </w:rPr>
      </w:pPr>
    </w:p>
    <w:p>
      <w:pPr>
        <w:ind w:left="170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shares of redeemable convertible preferred stock shall be entitled to receive dividends prior and in preference to any declaration of dividends on common stock. Dividends are payable only when and if declared by the Company’s Board of Directors and are not cumulative. After dividends paid on redeemable convertible preferred stock, any dividends or distribution should be distributed to the holders of common and redeemable convertible preferred stock on an as-converted basis. No dividends have been declared or paid through December 31, 2024.</w:t>
      </w:r>
    </w:p>
    <w:p>
      <w:pPr>
        <w:spacing w:after="0" w:line="63" w:lineRule="exact"/>
        <w:rPr>
          <w:rFonts w:ascii="Times New Roman" w:cs="Times New Roman" w:eastAsia="Times New Roman" w:hAnsi="Times New Roman"/>
          <w:sz w:val="14"/>
          <w:szCs w:val="14"/>
          <w:color w:val="auto"/>
        </w:rPr>
      </w:pPr>
    </w:p>
    <w:p>
      <w:pPr>
        <w:ind w:left="1700" w:hanging="337"/>
        <w:spacing w:after="0"/>
        <w:tabs>
          <w:tab w:leader="none" w:pos="17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Liquidation Preference</w:t>
      </w:r>
    </w:p>
    <w:p>
      <w:pPr>
        <w:spacing w:after="0" w:line="92" w:lineRule="exact"/>
        <w:rPr>
          <w:rFonts w:ascii="Times New Roman" w:cs="Times New Roman" w:eastAsia="Times New Roman" w:hAnsi="Times New Roman"/>
          <w:sz w:val="14"/>
          <w:szCs w:val="14"/>
          <w:color w:val="auto"/>
        </w:rPr>
      </w:pPr>
    </w:p>
    <w:p>
      <w:pPr>
        <w:ind w:left="170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liquidation as approved by the Board of Directors, dissolution, or winding up of the Company, the holders of Series D shall be entitled to receive out of the proceeds or assets of this corporation available for distribution to its stockholders, prior and in preference to any distribution of proceeds to the holders of common stock, an amount per share equal the sum of 1.2 times the original issue price of $28.0204, plus declared but unpaid dividends on such shares and (ii) the holders of each other series of redeemable convertible preferred stock shall be entitled to receive the assets of the Company available for distribution, prior and in preference to any distribution of proceeds to the holders of common stock, an amount per share equal to the sum of the applicable original issue price for such series of redeemable convertible preferred stock, plus declared but unpaid dividends on such share. If, upon occurrence of such event, the proceeds distributed among the holders of redeemable convertible preferred stock shall be insufficient to permit the payment to such holders of the full preferential amounts, then the entire proceeds available for distribution shall be distributed ratably among the holders of the redeemable convertible preferred stock in proportion to the full preferential amount.</w:t>
      </w:r>
    </w:p>
    <w:p>
      <w:pPr>
        <w:spacing w:after="0" w:line="74" w:lineRule="exact"/>
        <w:rPr>
          <w:rFonts w:ascii="Times New Roman" w:cs="Times New Roman" w:eastAsia="Times New Roman" w:hAnsi="Times New Roman"/>
          <w:sz w:val="14"/>
          <w:szCs w:val="14"/>
          <w:color w:val="auto"/>
        </w:rPr>
      </w:pPr>
    </w:p>
    <w:p>
      <w:pPr>
        <w:ind w:left="1700" w:hanging="337"/>
        <w:spacing w:after="0"/>
        <w:tabs>
          <w:tab w:leader="none" w:pos="17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Conversion</w:t>
      </w:r>
    </w:p>
    <w:p>
      <w:pPr>
        <w:spacing w:after="0" w:line="92" w:lineRule="exact"/>
        <w:rPr>
          <w:rFonts w:ascii="Times New Roman" w:cs="Times New Roman" w:eastAsia="Times New Roman" w:hAnsi="Times New Roman"/>
          <w:sz w:val="14"/>
          <w:szCs w:val="14"/>
          <w:color w:val="auto"/>
        </w:rPr>
      </w:pPr>
    </w:p>
    <w:p>
      <w:pPr>
        <w:ind w:left="1700" w:right="2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redeemable convertible preferred stock is convertible into common stock at any time after the issuance of the shares at the option of the holder (each share of Series A-1, Series A-2, Series A-3, Series A-4, Series A-5, Series A-6, Series B-1, Series B-2, Series C, Series C-1 and Series D is convertible to Common Stock). The conversion rate is determined by dividing the original issue price (as adjusted for any recapitalization) by the conversion price. The original issue prices of Series A-1, Series A-2, Series A-3, Series A-4, Series A-5, Series A-6, Series B-1, Series B-2, Series C, Series C-1 and Series D are $0.4001, $0.8002, $1.0003, $1.9409, $0.8725, $2.5879, $10.6130, $6.2429, $25.4937, $19.6143, and $28.0204, respectively. The initial conversion price per share for each series of redeemable convertible preferred stock shall be the original issue price applicable to such series (1:1 conversion ratio), however that conversion price shall be subject to adjustment. There have been no adjustments to the conversion price since original issuance.</w:t>
      </w:r>
    </w:p>
    <w:p>
      <w:pPr>
        <w:spacing w:after="0" w:line="64" w:lineRule="exact"/>
        <w:rPr>
          <w:rFonts w:ascii="Times New Roman" w:cs="Times New Roman" w:eastAsia="Times New Roman" w:hAnsi="Times New Roman"/>
          <w:sz w:val="14"/>
          <w:szCs w:val="14"/>
          <w:color w:val="auto"/>
        </w:rPr>
      </w:pPr>
    </w:p>
    <w:p>
      <w:pPr>
        <w:ind w:left="1700" w:right="31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redeemable convertible preferred stock shall automatically be converted into such shares of common stock at the conversion rate at the time in effect for such series redeemable convertible preferred stock at the closing of this corporation’s sale of its common stock in public offering, that results in at least $100,000,000 of gross proceeds; at this corporation’s initial listing of common stock on national securities exchange; in a Special Purpose Acquisition Company transaction, or the date or occurrence of an event specified by vote of redeemable convertible preferred stock (voting together as a single class and not as separate series, and on an as-converted basis).</w:t>
      </w:r>
    </w:p>
    <w:p>
      <w:pPr>
        <w:spacing w:after="0" w:line="66" w:lineRule="exact"/>
        <w:rPr>
          <w:rFonts w:ascii="Times New Roman" w:cs="Times New Roman" w:eastAsia="Times New Roman" w:hAnsi="Times New Roman"/>
          <w:sz w:val="14"/>
          <w:szCs w:val="14"/>
          <w:color w:val="auto"/>
        </w:rPr>
      </w:pPr>
    </w:p>
    <w:p>
      <w:pPr>
        <w:ind w:left="1700" w:hanging="337"/>
        <w:spacing w:after="0"/>
        <w:tabs>
          <w:tab w:leader="none" w:pos="17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Voting Rights</w:t>
      </w:r>
    </w:p>
    <w:p>
      <w:pPr>
        <w:spacing w:after="0" w:line="92" w:lineRule="exact"/>
        <w:rPr>
          <w:rFonts w:ascii="Times New Roman" w:cs="Times New Roman" w:eastAsia="Times New Roman" w:hAnsi="Times New Roman"/>
          <w:sz w:val="14"/>
          <w:szCs w:val="14"/>
          <w:color w:val="auto"/>
        </w:rPr>
      </w:pPr>
    </w:p>
    <w:p>
      <w:pPr>
        <w:ind w:left="1700" w:right="479"/>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each share of redeemable convertible preferred stock shall have the right to one vote for each share of common stock into which such redeemable convertible preferred stock could then be converted.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385"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Thus, the holders of redeemable convertible preferred stock shall have the same voting rights as the holders of common stock.</w:t>
      </w:r>
    </w:p>
    <w:p>
      <w:pPr>
        <w:spacing w:after="0" w:line="91" w:lineRule="exact"/>
        <w:rPr>
          <w:sz w:val="20"/>
          <w:szCs w:val="20"/>
          <w:color w:val="auto"/>
        </w:rPr>
      </w:pPr>
    </w:p>
    <w:p>
      <w:pPr>
        <w:ind w:left="1700" w:right="279"/>
        <w:spacing w:after="0" w:line="255" w:lineRule="auto"/>
        <w:rPr>
          <w:sz w:val="20"/>
          <w:szCs w:val="20"/>
          <w:color w:val="auto"/>
        </w:rPr>
      </w:pPr>
      <w:r>
        <w:rPr>
          <w:rFonts w:ascii="Times New Roman" w:cs="Times New Roman" w:eastAsia="Times New Roman" w:hAnsi="Times New Roman"/>
          <w:sz w:val="14"/>
          <w:szCs w:val="14"/>
          <w:color w:val="auto"/>
        </w:rPr>
        <w:t>As long as at least 1,449,050 shares of Series A redeemable convertible preferred stock remain outstanding, the holders of such shares of Series A redeemable convertible preferred stock shall be entitled to elect two directors of the Company at any election of directors. As long as at least 1,225,790 shares of Series C redeemable convertible preferred stock remain outstanding, the holders of such shares of Series C redeemable convertible preferred stock shall be entitled to elect one director of the Company at any election of directors. As long as at least 1,164,058 shares of Series D redeemable convertible preferred stock remain outstanding, the holders of such shares of Series D redeemable convertible preferred stock shall be entitled to elect one director of the Company at any election of directors. The holders of outstanding common stock shall be entitled to elect four directors of this Corporation at any election of directors.</w:t>
      </w:r>
    </w:p>
    <w:p>
      <w:pPr>
        <w:spacing w:after="0" w:line="70" w:lineRule="exact"/>
        <w:rPr>
          <w:sz w:val="20"/>
          <w:szCs w:val="20"/>
          <w:color w:val="auto"/>
        </w:rPr>
      </w:pPr>
    </w:p>
    <w:p>
      <w:pPr>
        <w:ind w:left="1700" w:hanging="337"/>
        <w:spacing w:after="0"/>
        <w:tabs>
          <w:tab w:leader="none" w:pos="17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Redemption</w:t>
      </w:r>
    </w:p>
    <w:p>
      <w:pPr>
        <w:spacing w:after="0" w:line="92" w:lineRule="exact"/>
        <w:rPr>
          <w:rFonts w:ascii="Times New Roman" w:cs="Times New Roman" w:eastAsia="Times New Roman" w:hAnsi="Times New Roman"/>
          <w:sz w:val="14"/>
          <w:szCs w:val="14"/>
          <w:color w:val="auto"/>
        </w:rPr>
      </w:pPr>
    </w:p>
    <w:p>
      <w:pPr>
        <w:ind w:left="1700" w:right="37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redeemable convertible preferred stock have no voluntary rights to redeem shares. A liquidation, dissolution or winding up of the Company, a greater than 50% change in control, or a sale of substantially all of its assets would constitute a redemption event. Although the redeemable convertible preferred stock is not mandatorily or currently redeemable, given the shares are redeemable upon an event outside the Company’s control, all shares of redeemable convertible preferred stock have been presented outside of permanent equity on the balance sheets. The carrying values of redeemable convertible preferred stock have not been accreted to their redemption values as redemption events are not probable to occur.</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(7) Commitments and Contingencies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of which the outcome, if determined adversely, would individually or in the aggregate be expected to have a material and adverse effect on the business, operating results, cash flows, or financial position. Legal fees are expensed in the period in which they are incurred.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93" w:lineRule="exact"/>
        <w:rPr>
          <w:sz w:val="20"/>
          <w:szCs w:val="20"/>
          <w:color w:val="auto"/>
        </w:rPr>
      </w:pPr>
    </w:p>
    <w:p>
      <w:pPr>
        <w:ind w:left="1360" w:right="259"/>
        <w:spacing w:after="0" w:line="282"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 ended December 31, 2023 and 2024,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December 31, 2023 and 2024.</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5"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February 2021, the Company entered into a lease agreement for office and laboratory space in Menlo Park, CA which will expire in February 2031. In December 2022, the Company entered into a lease agreement for office and laboratory space in Union City, CA which will expire in June 2033. The Union City, CA lease contains a one-time tenant option to extend the lease term by a period of five years which the Company is not reasonably certain to exercise and which has been excluded from recognition in the Company’s right-of-use assets and lease liabilities. The Company records rent expense associated with operating lease liabilities in operating expenses in the statements of operations and comprehensive loss.</w:t>
      </w:r>
    </w:p>
    <w:p>
      <w:pPr>
        <w:spacing w:after="0" w:line="142" w:lineRule="exact"/>
        <w:rPr>
          <w:sz w:val="20"/>
          <w:szCs w:val="20"/>
          <w:color w:val="auto"/>
        </w:rPr>
      </w:pPr>
    </w:p>
    <w:p>
      <w:pPr>
        <w:ind w:left="1360" w:right="519"/>
        <w:spacing w:after="0" w:line="258" w:lineRule="auto"/>
        <w:rPr>
          <w:sz w:val="20"/>
          <w:szCs w:val="20"/>
          <w:color w:val="auto"/>
        </w:rPr>
      </w:pPr>
      <w:r>
        <w:rPr>
          <w:rFonts w:ascii="Times New Roman" w:cs="Times New Roman" w:eastAsia="Times New Roman" w:hAnsi="Times New Roman"/>
          <w:sz w:val="14"/>
          <w:szCs w:val="14"/>
          <w:color w:val="auto"/>
        </w:rPr>
        <w:t>In October 2023, the Company signed a lease amendment for the Union City, CA lease to increase the lease’s tenant improvement allowance by approximately $0.6 million. The increase in the allowance is amortized into the lease payments, resulting in a corresponding increase in total lease payments of $0.6 million. The lease amendment was considered a lease modification under ASC 842 and the ROU asset and lease liability were remeasured at the modification date. The remeasurement of the lease resulted in an increase in both the operating ROU asset and the operating lease liability of approximately $0.6 million.</w:t>
      </w:r>
    </w:p>
    <w:p>
      <w:pPr>
        <w:spacing w:after="0" w:line="142" w:lineRule="exact"/>
        <w:rPr>
          <w:sz w:val="20"/>
          <w:szCs w:val="20"/>
          <w:color w:val="auto"/>
        </w:rPr>
      </w:pPr>
    </w:p>
    <w:p>
      <w:pPr>
        <w:ind w:left="1360" w:right="479"/>
        <w:spacing w:after="0" w:line="258" w:lineRule="auto"/>
        <w:rPr>
          <w:sz w:val="20"/>
          <w:szCs w:val="20"/>
          <w:color w:val="auto"/>
        </w:rPr>
      </w:pPr>
      <w:r>
        <w:rPr>
          <w:rFonts w:ascii="Times New Roman" w:cs="Times New Roman" w:eastAsia="Times New Roman" w:hAnsi="Times New Roman"/>
          <w:sz w:val="14"/>
          <w:szCs w:val="14"/>
          <w:color w:val="auto"/>
        </w:rPr>
        <w:t>In April 2024, the Company entered into a lease agreement for premises to be constructed in Austin, TX. The lease is expected to commence prior to December 31, 2026 at an initial rental rate of $12.3 million per year. The lease agreement includes annual rent increases of 3% and is for a term of fifteen years and nine months. The agreement also includes a seven-year extension option that can be exercised by the Company. As part of the lease agreement, the Company remitted to the landlord $2.0 million in respect of a security deposit and $1.0 million in respect of the first month’s rent payment, which were recorded in other non-current assets on the balance sheet for the year ended December 31, 2024</w:t>
      </w:r>
    </w:p>
    <w:p>
      <w:pPr>
        <w:spacing w:after="0" w:line="142" w:lineRule="exact"/>
        <w:rPr>
          <w:sz w:val="20"/>
          <w:szCs w:val="20"/>
          <w:color w:val="auto"/>
        </w:rPr>
      </w:pPr>
    </w:p>
    <w:p>
      <w:pPr>
        <w:ind w:left="1360" w:right="399"/>
        <w:spacing w:after="0" w:line="266" w:lineRule="auto"/>
        <w:rPr>
          <w:sz w:val="20"/>
          <w:szCs w:val="20"/>
          <w:color w:val="auto"/>
        </w:rPr>
      </w:pPr>
      <w:r>
        <w:rPr>
          <w:rFonts w:ascii="Times New Roman" w:cs="Times New Roman" w:eastAsia="Times New Roman" w:hAnsi="Times New Roman"/>
          <w:sz w:val="14"/>
          <w:szCs w:val="14"/>
          <w:color w:val="auto"/>
        </w:rPr>
        <w:t>The Company’s operating lease costs were $5.5 million and $9.4 million during the years ended December 31, 2023 and 2024, respectively. The Company’s variable lease expense totaled $3.2 million and $4.4 million for the years ended December 31, 2023 and 2024, respectively. The Company did not have any material short-term lease costs during the years ended December 31, 2023 and 2024.</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information related to the Company’s operating leases were as follows for the years ended December 31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460" w:type="dxa"/>
            <w:vAlign w:val="bottom"/>
          </w:tcPr>
          <w:p>
            <w:pPr>
              <w:spacing w:after="0"/>
              <w:rPr>
                <w:sz w:val="11"/>
                <w:szCs w:val="11"/>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gridSpan w:val="2"/>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158"/>
        </w:trPr>
        <w:tc>
          <w:tcPr>
            <w:tcW w:w="646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within operating cash flows</w:t>
            </w:r>
          </w:p>
        </w:tc>
        <w:tc>
          <w:tcPr>
            <w:tcW w:w="380" w:type="dxa"/>
            <w:vAlign w:val="bottom"/>
            <w:tcBorders>
              <w:top w:val="single" w:sz="8" w:color="E5E5E5"/>
            </w:tcBorders>
            <w:shd w:val="clear" w:color="auto" w:fill="E5E5E5"/>
          </w:tcPr>
          <w:p>
            <w:pPr>
              <w:spacing w:after="0"/>
              <w:rPr>
                <w:sz w:val="13"/>
                <w:szCs w:val="13"/>
                <w:color w:val="auto"/>
              </w:rPr>
            </w:pPr>
          </w:p>
        </w:tc>
        <w:tc>
          <w:tcPr>
            <w:tcW w:w="7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4,872</w:t>
            </w:r>
          </w:p>
        </w:tc>
        <w:tc>
          <w:tcPr>
            <w:tcW w:w="200" w:type="dxa"/>
            <w:vAlign w:val="bottom"/>
            <w:tcBorders>
              <w:top w:val="single" w:sz="8" w:color="E5E5E5"/>
            </w:tcBorders>
            <w:shd w:val="clear" w:color="auto" w:fill="E5E5E5"/>
          </w:tcPr>
          <w:p>
            <w:pPr>
              <w:spacing w:after="0"/>
              <w:rPr>
                <w:sz w:val="13"/>
                <w:szCs w:val="13"/>
                <w:color w:val="auto"/>
              </w:rPr>
            </w:pPr>
          </w:p>
        </w:tc>
        <w:tc>
          <w:tcPr>
            <w:tcW w:w="7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8,516</w:t>
            </w:r>
          </w:p>
        </w:tc>
        <w:tc>
          <w:tcPr>
            <w:tcW w:w="60" w:type="dxa"/>
            <w:vAlign w:val="bottom"/>
            <w:tcBorders>
              <w:top w:val="single" w:sz="8" w:color="E5E5E5"/>
            </w:tcBorders>
            <w:shd w:val="clear" w:color="auto" w:fill="E5E5E5"/>
          </w:tcPr>
          <w:p>
            <w:pPr>
              <w:spacing w:after="0"/>
              <w:rPr>
                <w:sz w:val="13"/>
                <w:szCs w:val="13"/>
                <w:color w:val="auto"/>
              </w:rPr>
            </w:pPr>
          </w:p>
        </w:tc>
      </w:tr>
    </w:tbl>
    <w:p>
      <w:pPr>
        <w:spacing w:after="0" w:line="15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2023 and 2024, the weighted average remaining operating lease term was 8.8 years and 7.8 years, respectively.</w:t>
      </w:r>
    </w:p>
    <w:p>
      <w:pPr>
        <w:spacing w:after="0" w:line="175" w:lineRule="exact"/>
        <w:rPr>
          <w:sz w:val="20"/>
          <w:szCs w:val="20"/>
          <w:color w:val="auto"/>
        </w:rPr>
      </w:pPr>
    </w:p>
    <w:p>
      <w:pPr>
        <w:jc w:val="center"/>
        <w:ind w:left="1360" w:right="300"/>
        <w:spacing w:after="0" w:line="454" w:lineRule="auto"/>
        <w:rPr>
          <w:sz w:val="20"/>
          <w:szCs w:val="20"/>
          <w:color w:val="auto"/>
        </w:rPr>
      </w:pPr>
      <w:r>
        <w:rPr>
          <w:rFonts w:ascii="Times New Roman" w:cs="Times New Roman" w:eastAsia="Times New Roman" w:hAnsi="Times New Roman"/>
          <w:sz w:val="14"/>
          <w:szCs w:val="14"/>
          <w:color w:val="auto"/>
        </w:rPr>
        <w:t>As of December 31, 2023 and 2024, the weighted average discount rate used to estimate operating lease liabilities was 8.4% and 8.4%, respectively. F-24</w:t>
      </w:r>
    </w:p>
    <w:p>
      <w:pPr>
        <w:sectPr>
          <w:pgSz w:w="11900" w:h="16838" w:orient="portrait"/>
          <w:cols w:equalWidth="0" w:num="1">
            <w:col w:w="10159"/>
          </w:cols>
          <w:pgMar w:left="300" w:top="386"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60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2024, future lease payments under operating leases were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76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gridSpan w:val="2"/>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9,757</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lease payments</w:t>
            </w:r>
          </w:p>
        </w:tc>
        <w:tc>
          <w:tcPr>
            <w:tcW w:w="20" w:type="dxa"/>
            <w:vAlign w:val="bottom"/>
          </w:tcPr>
          <w:p>
            <w:pPr>
              <w:spacing w:after="0"/>
              <w:rPr>
                <w:sz w:val="14"/>
                <w:szCs w:val="14"/>
                <w:color w:val="auto"/>
              </w:rPr>
            </w:pP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4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(21,393)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55,195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Financing Leases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2023 and 2024, the weighted average remaining financing lease term was 2.3 years and 1.8 years, respectively.</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2023 and 2024, the weighted average interest rate for the Company’s financing leases was 6.5% and 6.5%, respectively.</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future lease payments under financing leases were as follows (in thousands):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80" w:type="dxa"/>
            <w:vAlign w:val="bottom"/>
            <w:tcBorders>
              <w:right w:val="single" w:sz="8" w:color="E5E5E5"/>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2026</w:t>
            </w:r>
          </w:p>
        </w:tc>
        <w:tc>
          <w:tcPr>
            <w:tcW w:w="1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80" w:type="dxa"/>
            <w:vAlign w:val="bottom"/>
            <w:tcBorders>
              <w:right w:val="single" w:sz="8" w:color="E5E5E5"/>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Total lease payments</w:t>
            </w:r>
          </w:p>
        </w:tc>
        <w:tc>
          <w:tcPr>
            <w:tcW w:w="1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8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Less: interest expense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Present value of financing lease liabilities</w:t>
            </w:r>
          </w:p>
        </w:tc>
        <w:tc>
          <w:tcPr>
            <w:tcW w:w="1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8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Other information related to the Company’s financing leases were as follows for the years ended December 31 (in thousands):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gridSpan w:val="6"/>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820" w:type="dxa"/>
            <w:vAlign w:val="bottom"/>
            <w:tcBorders>
              <w:bottom w:val="single" w:sz="8" w:color="E5E5E5"/>
            </w:tcBorders>
          </w:tcPr>
          <w:p>
            <w:pPr>
              <w:spacing w:after="0"/>
              <w:rPr>
                <w:sz w:val="24"/>
                <w:szCs w:val="24"/>
                <w:color w:val="auto"/>
              </w:rPr>
            </w:pPr>
          </w:p>
        </w:tc>
        <w:tc>
          <w:tcPr>
            <w:tcW w:w="1580" w:type="dxa"/>
            <w:vAlign w:val="bottom"/>
            <w:tcBorders>
              <w:bottom w:val="single" w:sz="8" w:color="E5E5E5"/>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E5E5E5"/>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E5E5E5"/>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580" w:type="dxa"/>
            <w:vAlign w:val="bottom"/>
            <w:shd w:val="clear" w:color="auto" w:fill="E5E5E5"/>
          </w:tcPr>
          <w:p>
            <w:pPr>
              <w:spacing w:after="0"/>
              <w:rPr>
                <w:sz w:val="13"/>
                <w:szCs w:val="13"/>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E5E5E5"/>
          </w:tcPr>
          <w:p>
            <w:pPr>
              <w:spacing w:after="0"/>
              <w:rPr>
                <w:sz w:val="13"/>
                <w:szCs w:val="13"/>
                <w:color w:val="auto"/>
              </w:rPr>
            </w:pPr>
          </w:p>
        </w:tc>
        <w:tc>
          <w:tcPr>
            <w:tcW w:w="66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3,085</w:t>
            </w:r>
          </w:p>
        </w:tc>
        <w:tc>
          <w:tcPr>
            <w:tcW w:w="280" w:type="dxa"/>
            <w:vAlign w:val="bottom"/>
            <w:tcBorders>
              <w:right w:val="single" w:sz="8" w:color="E5E5E5"/>
            </w:tcBorders>
            <w:shd w:val="clear" w:color="auto" w:fill="E5E5E5"/>
          </w:tcPr>
          <w:p>
            <w:pPr>
              <w:spacing w:after="0"/>
              <w:rPr>
                <w:sz w:val="13"/>
                <w:szCs w:val="13"/>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400" w:type="dxa"/>
            <w:vAlign w:val="bottom"/>
            <w:gridSpan w:val="2"/>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3,436</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flows from financing leases (interest paid):</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16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98"/>
              </w:rPr>
              <w:t>      3,446</w:t>
            </w:r>
          </w:p>
        </w:tc>
        <w:tc>
          <w:tcPr>
            <w:tcW w:w="3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560" w:hanging="197"/>
        <w:spacing w:after="0"/>
        <w:tabs>
          <w:tab w:leader="none" w:pos="1560" w:val="left"/>
        </w:tabs>
        <w:numPr>
          <w:ilvl w:val="0"/>
          <w:numId w:val="1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Convertible Notes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September 2022, the Company entered into a Note Purchase Agreement for unsecured Convertible Promissory Notes (the “Notes”) to several note holders (the “Note Holders”) with a principal sum of $30.0 million together with interest thereon from the date of the Notes. The Notes accrue interest at a rate of 8.0% per annum, simple interest. The Notes were scheduled to mature on September 20, 2024, and the Company may not make prepayments without written consent of the majority Note holders.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385"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59"/>
        <w:spacing w:after="0" w:line="266" w:lineRule="auto"/>
        <w:rPr>
          <w:sz w:val="20"/>
          <w:szCs w:val="20"/>
          <w:color w:val="auto"/>
        </w:rPr>
      </w:pPr>
      <w:r>
        <w:rPr>
          <w:rFonts w:ascii="Times New Roman" w:cs="Times New Roman" w:eastAsia="Times New Roman" w:hAnsi="Times New Roman"/>
          <w:sz w:val="14"/>
          <w:szCs w:val="14"/>
          <w:color w:val="auto"/>
        </w:rPr>
        <w:t>Holders of the Notes could have converted their notes into shares of common stock at or after an initial public offering at a conversion price dependent on the initial price per share offered in connection with the initial public offering; or 70% of the price per share payable to common stockholders in connection with another liquidation event.</w:t>
      </w:r>
    </w:p>
    <w:p>
      <w:pPr>
        <w:spacing w:after="0" w:line="136" w:lineRule="exact"/>
        <w:rPr>
          <w:sz w:val="20"/>
          <w:szCs w:val="20"/>
          <w:color w:val="auto"/>
        </w:rPr>
      </w:pPr>
    </w:p>
    <w:p>
      <w:pPr>
        <w:jc w:val="both"/>
        <w:ind w:left="1360" w:right="319"/>
        <w:spacing w:after="0" w:line="266" w:lineRule="auto"/>
        <w:rPr>
          <w:sz w:val="20"/>
          <w:szCs w:val="20"/>
          <w:color w:val="auto"/>
        </w:rPr>
      </w:pPr>
      <w:r>
        <w:rPr>
          <w:rFonts w:ascii="Times New Roman" w:cs="Times New Roman" w:eastAsia="Times New Roman" w:hAnsi="Times New Roman"/>
          <w:sz w:val="14"/>
          <w:szCs w:val="14"/>
          <w:color w:val="auto"/>
        </w:rPr>
        <w:t>Upon the Company’s next equity financing, the Notes could have automatically converted into the equity issued in that financing (which was expected to be Series D redeemable convertible preferred stock) at a conversion price equal to the lower of 70% of the next equity price per share and an amount calculated by dividing a valuation cap of $1 billion by the fully diluted number of shares.</w:t>
      </w:r>
    </w:p>
    <w:p>
      <w:pPr>
        <w:spacing w:after="0" w:line="136"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Due to the presence of certain embedded derivatives within the Notes, the Company elected to account for the Notes using the fair value option and changes in fair value related to the Notes are recorded in other income (expense) in the Company’s statements of operations and comprehensive loss. Changes in fair value attributable to credit risk are immaterial to the financial statements as of December 31, 2023 and 2024. Inputs for fair value were determined by evaluating the probability of various conversion scenarios and applicable market interest rates.</w:t>
      </w:r>
    </w:p>
    <w:p>
      <w:pPr>
        <w:spacing w:after="0" w:line="139" w:lineRule="exact"/>
        <w:rPr>
          <w:sz w:val="20"/>
          <w:szCs w:val="20"/>
          <w:color w:val="auto"/>
        </w:rPr>
      </w:pPr>
    </w:p>
    <w:p>
      <w:pPr>
        <w:jc w:val="both"/>
        <w:ind w:left="1360" w:right="799"/>
        <w:spacing w:after="0" w:line="266" w:lineRule="auto"/>
        <w:rPr>
          <w:sz w:val="20"/>
          <w:szCs w:val="20"/>
          <w:color w:val="auto"/>
        </w:rPr>
      </w:pPr>
      <w:r>
        <w:rPr>
          <w:rFonts w:ascii="Times New Roman" w:cs="Times New Roman" w:eastAsia="Times New Roman" w:hAnsi="Times New Roman"/>
          <w:sz w:val="14"/>
          <w:szCs w:val="14"/>
          <w:color w:val="auto"/>
        </w:rPr>
        <w:t>The estimated fair value of the Notes was determined by using a scenario-based analysis that estimated the fair value of the Notes based on the probability-weighted present value of expected future investment returns, considering possible outcomes available to the noteholder, including conversions to common stock and maturity. The estimated fair value of the Notes was $47.7 million as of December 31, 2023.</w:t>
      </w:r>
    </w:p>
    <w:p>
      <w:pPr>
        <w:spacing w:after="0" w:line="13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During May 2024, concurrent with the issuance of Series D redeemable convertible preferred stock, and pursuant to negotiation with the Note Holders, the Company and Note Holders agreed to settle the Notes through the issuance of Series C-1 redeemable convertible preferred stock to the Note Holders instead of Series D redeemable convertible preferred stock. The Notes converted into an aggregate of 1,726,823 shares of Series C-1 redeemable convertible preferred stock at a conversion price of approximately $19.6143 per share. The change in terms of the Notes was accounted for as a debt extinguishment as the settlement was not pursuant to the original conversion terms. Immediately prior to the extinguishment, the Company recorded a mark-to-market adjustment for the Notes resulting in a loss of $0.8 million which was recorded to change in fair value of convertible notes in the Company’s statements of operations and comprehensive loss. Upon extinguishment, the Company derecognized the Notes on the balance sheets at their fair value immediately prior to the extinguishment of $48.5 million. The difference of $8.6 million between the fair market value of the Series C-1 redeemable convertible preferred shares received by the Note Holders of $39.9 million and the fair value of the Notes immediately prior to the extinguishment was recorded as a gain on debt extinguishment in the Company’s statements of operations and comprehensive loss.</w:t>
      </w:r>
    </w:p>
    <w:p>
      <w:pPr>
        <w:spacing w:after="0" w:line="150"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The Notes were subordinated in right of payment to all indebtedness between the Company and Western Alliance Bank (“WAB”). The Note Holders agreed, that as long as any debt remains outstanding with WAB or WAB has obligations to make additional credit extensions to the Company, the Note Holders would not have received any payment other than a conversion of the Notes into equity securities, unless otherwise agreed by WAB in writing. The priority to WAB excluded payments in cash, including interest, but did not preclude conversion of the Notes and related interest in shares. As of December 31, 2023, the Company had $35.0 million of outstanding debt with WAB. The first payment due on the debt was in August 2025 and the last payment was in July 2027. As the Note was extinguished during 2024, no payments of cash were made to the Note Holders in principal or interest for the Notes.</w:t>
      </w:r>
    </w:p>
    <w:p>
      <w:pPr>
        <w:spacing w:after="0" w:line="228" w:lineRule="exact"/>
        <w:rPr>
          <w:sz w:val="20"/>
          <w:szCs w:val="20"/>
          <w:color w:val="auto"/>
        </w:rPr>
      </w:pPr>
    </w:p>
    <w:p>
      <w:pPr>
        <w:ind w:left="1360" w:right="7099" w:firstLine="3"/>
        <w:spacing w:after="0" w:line="405" w:lineRule="auto"/>
        <w:tabs>
          <w:tab w:leader="none" w:pos="1628" w:val="left"/>
        </w:tabs>
        <w:numPr>
          <w:ilvl w:val="0"/>
          <w:numId w:val="1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Debt Western Alliance Bank Debt</w:t>
      </w:r>
    </w:p>
    <w:p>
      <w:pPr>
        <w:spacing w:after="0" w:line="1" w:lineRule="exact"/>
        <w:rPr>
          <w:sz w:val="20"/>
          <w:szCs w:val="20"/>
          <w:color w:val="auto"/>
        </w:rPr>
      </w:pPr>
    </w:p>
    <w:p>
      <w:pPr>
        <w:ind w:left="1360" w:right="659"/>
        <w:spacing w:after="0" w:line="282" w:lineRule="auto"/>
        <w:rPr>
          <w:sz w:val="20"/>
          <w:szCs w:val="20"/>
          <w:color w:val="auto"/>
        </w:rPr>
      </w:pPr>
      <w:r>
        <w:rPr>
          <w:rFonts w:ascii="Times New Roman" w:cs="Times New Roman" w:eastAsia="Times New Roman" w:hAnsi="Times New Roman"/>
          <w:sz w:val="14"/>
          <w:szCs w:val="14"/>
          <w:color w:val="auto"/>
        </w:rPr>
        <w:t>In October 2021, the Company entered into a loan and security agreement (the “2021 LSA”) with WAB, which provided the Company with three tranches of capital advances totaling $15.0 million. The loan is collateralized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385"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by all property of the Company other than its Intellectual Property (“IP”). The advanced principal accrued interest based on the floating prime rate per annum, which was 3.25% at December 31, 2021. The first tranche of $5.0 million was advanced on October 12, 2021 and the second tranche was advanced on December 17, 2021, both with a maturity date of October 12, 2025 and interest-only payments, at the floating rate, through May 1, 2023 and 30 equal monthly payments thereafter, of principal and interest. The Company drew down the third tranche on January 3, 2022 and elected to extend the interest only period by an additional 6 months followed by 24 months of amortization. The loans include a final payment of 3.75% of the advanced amount, or $562,500, due upon the earlier of maturity or termination of the loan. The final payment was accreted to interest expense over the term of the loan. The term loan advances are secured by a lien on the Company’s assets.</w:t>
      </w:r>
    </w:p>
    <w:p>
      <w:pPr>
        <w:spacing w:after="0" w:line="146" w:lineRule="exact"/>
        <w:rPr>
          <w:sz w:val="20"/>
          <w:szCs w:val="20"/>
          <w:color w:val="auto"/>
        </w:rPr>
      </w:pPr>
    </w:p>
    <w:p>
      <w:pPr>
        <w:ind w:left="1360" w:right="299"/>
        <w:spacing w:after="0" w:line="266" w:lineRule="auto"/>
        <w:rPr>
          <w:sz w:val="20"/>
          <w:szCs w:val="20"/>
          <w:color w:val="auto"/>
        </w:rPr>
      </w:pPr>
      <w:r>
        <w:rPr>
          <w:rFonts w:ascii="Times New Roman" w:cs="Times New Roman" w:eastAsia="Times New Roman" w:hAnsi="Times New Roman"/>
          <w:sz w:val="14"/>
          <w:szCs w:val="14"/>
          <w:color w:val="auto"/>
        </w:rPr>
        <w:t>In July 2022, the Company amended its October 2021 loan and security agreement with WAB, such that WAB made four tranches of capital advances available to the Company for an aggregate amount up to $35.0 million (“2022 LSA Amendment”). The advanced principal will accrue interest based on the floating prime rate per annum, which was 8.5% at December 31, 2023.</w:t>
      </w:r>
    </w:p>
    <w:p>
      <w:pPr>
        <w:spacing w:after="0" w:line="136"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Under the 2022 LSA Amendment, the first tranche of $20.0 million in principal was advanced on July 22, 2022 and was used to pay off the existing $15.0 million in principal outstanding to WAB under the 2021 LSA, resulting in net proceeds to the Company of $5.0 million. The second tranche of $5.0 million in principal was advanced on January 25, 2023 and the third tranche of $5.0 million in principal was advanced on July 7, 2023. The fourth tranche of $5.0 million was advanced on October 11, 2023. The term loans have a maturity date of July 1, 2027. The term loans were interest-only through July 31, 2025, followed by 24 equal payments of principal plus interest. The loans required a final payment of 4.25% of the total advanced amount, which resulted in an exit fee liability of $1.5 million payable at the maturity of the debt. The final payment was accreted to the debt balance and recognized as interest expense over the term of the loan.</w:t>
      </w:r>
    </w:p>
    <w:p>
      <w:pPr>
        <w:spacing w:after="0" w:line="146" w:lineRule="exact"/>
        <w:rPr>
          <w:sz w:val="20"/>
          <w:szCs w:val="20"/>
          <w:color w:val="auto"/>
        </w:rPr>
      </w:pPr>
    </w:p>
    <w:p>
      <w:pPr>
        <w:ind w:left="1360" w:right="759"/>
        <w:spacing w:after="0" w:line="282" w:lineRule="auto"/>
        <w:rPr>
          <w:sz w:val="20"/>
          <w:szCs w:val="20"/>
          <w:color w:val="auto"/>
        </w:rPr>
      </w:pPr>
      <w:r>
        <w:rPr>
          <w:rFonts w:ascii="Times New Roman" w:cs="Times New Roman" w:eastAsia="Times New Roman" w:hAnsi="Times New Roman"/>
          <w:sz w:val="14"/>
          <w:szCs w:val="14"/>
          <w:color w:val="auto"/>
        </w:rPr>
        <w:t>The term loan advances were secured by a lien on the Company’s assets. The Company was subject to certain financial and reporting covenants including a requirement for the Company to meet certain test volumes, measured quarterly on a trailing two quarter basis.</w:t>
      </w:r>
    </w:p>
    <w:p>
      <w:pPr>
        <w:spacing w:after="0" w:line="12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During August 2024, the Company elected to prepay the outstanding amount of the term loans of $35.0 million in principal and the $1.5 million exit fee that was due upon early loan payoff. The Company recognized a loss on the extinguishment of debt of $1.3 million in the statements of operations and comprehensive loss. The loss on extinguishment consisted of incremental expense of $0.8 million unaccreted exit fee liability, $0.3 million unamortized debt issuance costs and a $0.2 million prepayment fee assessed by the bank.</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Oberland Note Purchase Agreement</w:t>
      </w:r>
    </w:p>
    <w:p>
      <w:pPr>
        <w:spacing w:after="0" w:line="93" w:lineRule="exact"/>
        <w:rPr>
          <w:sz w:val="20"/>
          <w:szCs w:val="20"/>
          <w:color w:val="auto"/>
        </w:rPr>
      </w:pPr>
    </w:p>
    <w:p>
      <w:pPr>
        <w:ind w:left="1360" w:right="479"/>
        <w:spacing w:after="0" w:line="258" w:lineRule="auto"/>
        <w:rPr>
          <w:sz w:val="20"/>
          <w:szCs w:val="20"/>
          <w:color w:val="auto"/>
        </w:rPr>
      </w:pPr>
      <w:r>
        <w:rPr>
          <w:rFonts w:ascii="Times New Roman" w:cs="Times New Roman" w:eastAsia="Times New Roman" w:hAnsi="Times New Roman"/>
          <w:sz w:val="14"/>
          <w:szCs w:val="14"/>
          <w:color w:val="auto"/>
        </w:rPr>
        <w:t>In August 2024, the Company entered into a note purchase agreement (as amended from time to time, the “2024 Notes”) with BWCB SA LLC (an entity affiliated with Oberland Capital Management, LLC (“Oberland Capital”)), which provided the Company with up to four tranches of capital advances totaling up to $140.0 million. The advanced principal accrues interest at a rate of 8.0% per annum. The first tranche of $50.0 million was advanced on August 5, 2024, with a Maturity Date on the seventh anniversary of the first purchase date (August 31, 2031). The first tranche requires interest-only payments through August 31, 2031 and a lump sum payment due on August 31, 2031.</w:t>
      </w:r>
    </w:p>
    <w:p>
      <w:pPr>
        <w:spacing w:after="0" w:line="142" w:lineRule="exact"/>
        <w:rPr>
          <w:sz w:val="20"/>
          <w:szCs w:val="20"/>
          <w:color w:val="auto"/>
        </w:rPr>
      </w:pPr>
    </w:p>
    <w:p>
      <w:pPr>
        <w:ind w:left="1360" w:right="459"/>
        <w:spacing w:after="0" w:line="296" w:lineRule="auto"/>
        <w:rPr>
          <w:sz w:val="20"/>
          <w:szCs w:val="20"/>
          <w:color w:val="auto"/>
        </w:rPr>
      </w:pPr>
      <w:r>
        <w:rPr>
          <w:rFonts w:ascii="Times New Roman" w:cs="Times New Roman" w:eastAsia="Times New Roman" w:hAnsi="Times New Roman"/>
          <w:sz w:val="13"/>
          <w:szCs w:val="13"/>
          <w:color w:val="auto"/>
        </w:rPr>
        <w:t>The second tranche of up to $35.0 million in principal is available at the Company’s option at any time prior to September 30, 2025 provided that the trailing six-month worldwide net revenue of the Company is at least $80.0 million. The Company is required to sell the third tranche of notes in the principal amount of $30.0 million prior to March 31, 2026 as the Company has achieved the thresholds triggering this tranche. The thresholds are</w:t>
      </w:r>
    </w:p>
    <w:p>
      <w:pPr>
        <w:spacing w:after="0" w:line="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385"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trailing six-month revenue of at least $112.5 million and a trailing six-month Gross Margin of the Company of at least 45%. The fourth tranche of up to $25.0 million is available at the mutual agreement of the Company and Oberland Capital at any time prior to March 26, 2026. Gross Margin is defined as (I) net revenue minus cost of goods sold divided by (II) net revenue, expressed as a percentage. The fourth tranche of up to $25.0 million in principal will be made available to the Company at the mutual agreement of the parties at any time prior to March 31, 2026.</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Company has the option at any time to prepay all of the then-outstanding notes, and Oberland Capital has the option to redeem the notes upon</w:t>
      </w:r>
    </w:p>
    <w:p>
      <w:pPr>
        <w:spacing w:after="0" w:line="22" w:lineRule="exact"/>
        <w:rPr>
          <w:sz w:val="20"/>
          <w:szCs w:val="20"/>
          <w:color w:val="auto"/>
        </w:rPr>
      </w:pPr>
    </w:p>
    <w:p>
      <w:pPr>
        <w:ind w:left="1500" w:right="459" w:hanging="9"/>
        <w:spacing w:after="0" w:line="252" w:lineRule="auto"/>
        <w:tabs>
          <w:tab w:leader="none" w:pos="166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control of the Company, (ii) an event of default, or (iii) the maturity date. The repayment amount of the note shall equal to the following: (1) 130% of principal amount of notes if the payment is made within 24 months of issuance; (2)145% of principal amounts of notes if the payment is made within 36 months of issuance; (3) if the payment is made within 48 months, an amount that would generate an internal rate of return (“IRR”) for the purchasers of 12.25%; (4) if the payment is made within 60 months of issuance, an amount that would generate an IRR for the purchasers of 11.75%; (5) If the payment is made thereafter but before maturity, an amount that would generate an IRR for the purchasers of 11.25%; and (6) if the payment is made at maturity, an amount that would generate an IRR for the purchasers of 10.0%.</w:t>
      </w:r>
    </w:p>
    <w:p>
      <w:pPr>
        <w:spacing w:after="0" w:line="146"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color w:val="auto"/>
        </w:rPr>
        <w:t>Under the terms of the 2024 Notes, on the last day of each fiscal quarter commencing with the fiscal quarter ending March 31, 2025, excluding any fiscal quarter with respect to which the Company’s aggregate cash and cash equivalents is greater than 1.1 times the aggregate principal amount of the notes issued (the “Liquidity Condition”) at all times during such fiscal quarter, the Company is required to achieve minimum thresholds for both trailing six month revenues and trailing six month gross margin. If the Liquidity Condition is not satisfied, the Company is required to have trailing six-month Net Revenue of not less than the amount shown for each applicable period in the table below, as well as a trailing six-month Gross Margin of not less than 30%, each as defined in the 2024 Notes. The Company was in compliance with all material financial covenants as of December 31, 2024.</w:t>
      </w:r>
    </w:p>
    <w:p>
      <w:pPr>
        <w:spacing w:after="0" w:line="151"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Minimum Trailing</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Six-Month Net</w:t>
            </w:r>
          </w:p>
        </w:tc>
        <w:tc>
          <w:tcPr>
            <w:tcW w:w="0" w:type="dxa"/>
            <w:vAlign w:val="bottom"/>
          </w:tcPr>
          <w:p>
            <w:pPr>
              <w:spacing w:after="0"/>
              <w:rPr>
                <w:sz w:val="1"/>
                <w:szCs w:val="1"/>
                <w:color w:val="auto"/>
              </w:rPr>
            </w:pPr>
          </w:p>
        </w:tc>
      </w:tr>
      <w:tr>
        <w:trPr>
          <w:trHeight w:val="115"/>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328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Revenue Threshold</w:t>
            </w:r>
          </w:p>
        </w:tc>
        <w:tc>
          <w:tcPr>
            <w:tcW w:w="0" w:type="dxa"/>
            <w:vAlign w:val="bottom"/>
          </w:tcPr>
          <w:p>
            <w:pPr>
              <w:spacing w:after="0"/>
              <w:rPr>
                <w:sz w:val="1"/>
                <w:szCs w:val="1"/>
                <w:color w:val="auto"/>
              </w:rPr>
            </w:pPr>
          </w:p>
        </w:tc>
      </w:tr>
      <w:tr>
        <w:trPr>
          <w:trHeight w:val="144"/>
        </w:trPr>
        <w:tc>
          <w:tcPr>
            <w:tcW w:w="32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49"/>
        </w:trPr>
        <w:tc>
          <w:tcPr>
            <w:tcW w:w="3600" w:type="dxa"/>
            <w:vAlign w:val="bottom"/>
            <w:tcBorders>
              <w:top w:val="single" w:sz="8" w:color="E5E5E5"/>
            </w:tcBorders>
            <w:gridSpan w:val="2"/>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Q1 2025</w:t>
            </w:r>
          </w:p>
        </w:tc>
        <w:tc>
          <w:tcPr>
            <w:tcW w:w="30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2025</w:t>
            </w:r>
          </w:p>
        </w:tc>
        <w:tc>
          <w:tcPr>
            <w:tcW w:w="32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68"/>
        </w:trPr>
        <w:tc>
          <w:tcPr>
            <w:tcW w:w="36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Q3 2025</w:t>
            </w:r>
          </w:p>
        </w:tc>
        <w:tc>
          <w:tcPr>
            <w:tcW w:w="3220" w:type="dxa"/>
            <w:vAlign w:val="bottom"/>
            <w:gridSpan w:val="2"/>
            <w:shd w:val="clear" w:color="auto" w:fill="E5E5E5"/>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6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2025</w:t>
            </w:r>
          </w:p>
        </w:tc>
        <w:tc>
          <w:tcPr>
            <w:tcW w:w="32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68"/>
        </w:trPr>
        <w:tc>
          <w:tcPr>
            <w:tcW w:w="36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Q1 2026</w:t>
            </w:r>
          </w:p>
        </w:tc>
        <w:tc>
          <w:tcPr>
            <w:tcW w:w="3220" w:type="dxa"/>
            <w:vAlign w:val="bottom"/>
            <w:gridSpan w:val="2"/>
            <w:shd w:val="clear" w:color="auto" w:fill="E5E5E5"/>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6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2026</w:t>
            </w:r>
          </w:p>
        </w:tc>
        <w:tc>
          <w:tcPr>
            <w:tcW w:w="32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Q3 2026</w:t>
            </w:r>
          </w:p>
        </w:tc>
        <w:tc>
          <w:tcPr>
            <w:tcW w:w="3220" w:type="dxa"/>
            <w:vAlign w:val="bottom"/>
            <w:gridSpan w:val="2"/>
            <w:shd w:val="clear" w:color="auto" w:fill="E5E5E5"/>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16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2026</w:t>
            </w:r>
          </w:p>
        </w:tc>
        <w:tc>
          <w:tcPr>
            <w:tcW w:w="32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Thereafter</w:t>
            </w:r>
          </w:p>
        </w:tc>
        <w:tc>
          <w:tcPr>
            <w:tcW w:w="3220" w:type="dxa"/>
            <w:vAlign w:val="bottom"/>
            <w:gridSpan w:val="2"/>
            <w:shd w:val="clear" w:color="auto" w:fill="E5E5E5"/>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      120.0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500" w:right="419"/>
        <w:spacing w:after="0" w:line="258" w:lineRule="auto"/>
        <w:rPr>
          <w:sz w:val="20"/>
          <w:szCs w:val="20"/>
          <w:color w:val="auto"/>
        </w:rPr>
      </w:pPr>
      <w:r>
        <w:rPr>
          <w:rFonts w:ascii="Times New Roman" w:cs="Times New Roman" w:eastAsia="Times New Roman" w:hAnsi="Times New Roman"/>
          <w:sz w:val="14"/>
          <w:szCs w:val="14"/>
          <w:color w:val="auto"/>
        </w:rPr>
        <w:t>The agreement also contains a revenue participation provision, under which, for any fiscal quarter, 0.01% of net revenue for such fiscal quarter (up to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two paragraphs above. Beginning with the fiscal year beginning January 1, 2025, the Company is required to make revenue participation payments under the agreement.</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term loan advances are secured by a lien on the Company’s assets.</w:t>
      </w:r>
    </w:p>
    <w:p>
      <w:pPr>
        <w:spacing w:after="0" w:line="3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385"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The Company elected to account for the 2024 Notes using the fair value option and changes in fair value related to the 2024 Notes are recorded in change in fair value of term loan on the Company’s statements of operations and comprehensive loss. The Company also elected to present interest incurred on the 2024 Notes in the change in fair value of the term loan; interest expense under the Oberland Capital arrangement was $1.6 million for the year ended December 31, 2024.</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total indebtedness as of December 31, 2023 and 2024 is as follows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160" w:type="dxa"/>
            <w:vAlign w:val="bottom"/>
            <w:tcBorders>
              <w:bottom w:val="single" w:sz="8" w:color="E5E5E5"/>
            </w:tcBorders>
          </w:tcPr>
          <w:p>
            <w:pPr>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E5E5E5"/>
            </w:tcBorders>
          </w:tcPr>
          <w:p>
            <w:pPr>
              <w:spacing w:after="0"/>
              <w:rPr>
                <w:sz w:val="11"/>
                <w:szCs w:val="11"/>
                <w:color w:val="auto"/>
              </w:rPr>
            </w:pPr>
          </w:p>
        </w:tc>
        <w:tc>
          <w:tcPr>
            <w:tcW w:w="100" w:type="dxa"/>
            <w:vAlign w:val="bottom"/>
            <w:tcBorders>
              <w:bottom w:val="single" w:sz="8" w:color="E5E5E5"/>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E5E5E5"/>
            </w:tcBorders>
          </w:tcPr>
          <w:p>
            <w:pPr>
              <w:spacing w:after="0"/>
              <w:rPr>
                <w:sz w:val="11"/>
                <w:szCs w:val="11"/>
                <w:color w:val="auto"/>
              </w:rPr>
            </w:pPr>
          </w:p>
        </w:tc>
      </w:tr>
      <w:tr>
        <w:trPr>
          <w:trHeight w:val="158"/>
        </w:trPr>
        <w:tc>
          <w:tcPr>
            <w:tcW w:w="61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shd w:val="clear" w:color="auto" w:fill="E5E5E5"/>
          </w:tcPr>
          <w:p>
            <w:pPr>
              <w:spacing w:after="0"/>
              <w:rPr>
                <w:sz w:val="13"/>
                <w:szCs w:val="13"/>
                <w:color w:val="auto"/>
              </w:rPr>
            </w:pPr>
          </w:p>
        </w:tc>
        <w:tc>
          <w:tcPr>
            <w:tcW w:w="140" w:type="dxa"/>
            <w:vAlign w:val="bottom"/>
            <w:shd w:val="clear" w:color="auto" w:fill="E5E5E5"/>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35,000</w:t>
            </w:r>
          </w:p>
        </w:tc>
        <w:tc>
          <w:tcPr>
            <w:tcW w:w="1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60" w:type="dxa"/>
            <w:vAlign w:val="bottom"/>
            <w:shd w:val="clear" w:color="auto" w:fill="E5E5E5"/>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51,481</w:t>
            </w:r>
          </w:p>
        </w:tc>
        <w:tc>
          <w:tcPr>
            <w:tcW w:w="60" w:type="dxa"/>
            <w:vAlign w:val="bottom"/>
            <w:shd w:val="clear" w:color="auto" w:fill="E5E5E5"/>
          </w:tcPr>
          <w:p>
            <w:pPr>
              <w:spacing w:after="0"/>
              <w:rPr>
                <w:sz w:val="13"/>
                <w:szCs w:val="13"/>
                <w:color w:val="auto"/>
              </w:rPr>
            </w:pPr>
          </w:p>
        </w:tc>
      </w:tr>
      <w:tr>
        <w:trPr>
          <w:trHeight w:val="17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Plus: accreted exit fee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68"/>
        </w:trPr>
        <w:tc>
          <w:tcPr>
            <w:tcW w:w="61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Less: unamortized debt discount</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96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debt, net</w:t>
            </w: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60" w:type="dxa"/>
            <w:vAlign w:val="bottom"/>
          </w:tcPr>
          <w:p>
            <w:pPr>
              <w:spacing w:after="0"/>
              <w:rPr>
                <w:sz w:val="14"/>
                <w:szCs w:val="14"/>
                <w:color w:val="auto"/>
              </w:rPr>
            </w:pPr>
          </w:p>
        </w:tc>
      </w:tr>
      <w:tr>
        <w:trPr>
          <w:trHeight w:val="168"/>
        </w:trPr>
        <w:tc>
          <w:tcPr>
            <w:tcW w:w="61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r>
      <w:tr>
        <w:trPr>
          <w:trHeight w:val="169"/>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debt, noncurrent portion</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51,481</w:t>
            </w:r>
          </w:p>
        </w:tc>
        <w:tc>
          <w:tcPr>
            <w:tcW w:w="60" w:type="dxa"/>
            <w:vAlign w:val="bottom"/>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79"/>
        <w:spacing w:after="0" w:line="282" w:lineRule="auto"/>
        <w:rPr>
          <w:sz w:val="20"/>
          <w:szCs w:val="20"/>
          <w:color w:val="auto"/>
        </w:rPr>
      </w:pPr>
      <w:r>
        <w:rPr>
          <w:rFonts w:ascii="Times New Roman" w:cs="Times New Roman" w:eastAsia="Times New Roman" w:hAnsi="Times New Roman"/>
          <w:sz w:val="14"/>
          <w:szCs w:val="14"/>
          <w:color w:val="auto"/>
        </w:rPr>
        <w:t>Future principal payments of the Company’s long-term debt as of December 31, 2024 of $50.0 million is due during the year ending December 31, 2031.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 Warrants</w:t>
      </w:r>
    </w:p>
    <w:p>
      <w:pPr>
        <w:spacing w:after="0" w:line="93" w:lineRule="exact"/>
        <w:rPr>
          <w:sz w:val="20"/>
          <w:szCs w:val="20"/>
          <w:color w:val="auto"/>
        </w:rPr>
      </w:pPr>
    </w:p>
    <w:p>
      <w:pPr>
        <w:jc w:val="both"/>
        <w:ind w:left="1360" w:right="359"/>
        <w:spacing w:after="0" w:line="266" w:lineRule="auto"/>
        <w:rPr>
          <w:sz w:val="20"/>
          <w:szCs w:val="20"/>
          <w:color w:val="auto"/>
        </w:rPr>
      </w:pPr>
      <w:r>
        <w:rPr>
          <w:rFonts w:ascii="Times New Roman" w:cs="Times New Roman" w:eastAsia="Times New Roman" w:hAnsi="Times New Roman"/>
          <w:sz w:val="14"/>
          <w:szCs w:val="14"/>
          <w:color w:val="auto"/>
        </w:rPr>
        <w:t>The Company has issued Comerica Bank a warrant to purchase 9,660 Series A-6 redeemable convertible preferred shares at an exercise price of $2.59 per share in connection with a former loan and security agreement entered into in March 2020. The warrants are exercisable until March 15, 2030. The warrants are classified as liabilities on the Company’s balance sheet.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 Warrants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In connection with the 2021 LSA, the Company issued to WAB warrants to purchase shares of the Company’s common stock at an exercise price of $2.80 per share. The number of underlying shares of the warrants was initially 53,571 and was increased to 80,357 upon the funding of the loans in January 2022. The warrants will expire if unexercised on October 12, 2031.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spacing w:after="0" w:line="142"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connection with the 2022 LSA Amendment, the Company issued up to 41,209 warrants for common stock at an exercise price of $10.92 per share to WAB. 30,907 warrants were exercisable upon execution of the agreement; the remaining warrants become exercisable as the Company makes additional draws on the 2022 LSA Amendment. As of December 31, 2023 all of the warrants were exercisable. The warrants will expire if unexercised on July 22, 2032. Upon the occurrence of an acquisition of the Company, if the acquiror shall not have assumed the warrants, WAB shall have the right to put the warrants back to the Company for cash equal to the greater of (x) $412,500 or (y) the value of the aggregate consideration payable to WAB had WAB exercised the warrants immediately prior to exercise such put right.</w:t>
      </w:r>
    </w:p>
    <w:p>
      <w:pPr>
        <w:spacing w:after="0" w:line="145" w:lineRule="exact"/>
        <w:rPr>
          <w:sz w:val="20"/>
          <w:szCs w:val="20"/>
          <w:color w:val="auto"/>
        </w:rPr>
      </w:pPr>
    </w:p>
    <w:p>
      <w:pPr>
        <w:ind w:left="1360" w:right="619"/>
        <w:spacing w:after="0" w:line="322" w:lineRule="auto"/>
        <w:rPr>
          <w:sz w:val="20"/>
          <w:szCs w:val="20"/>
          <w:color w:val="auto"/>
        </w:rPr>
      </w:pPr>
      <w:r>
        <w:rPr>
          <w:rFonts w:ascii="Times New Roman" w:cs="Times New Roman" w:eastAsia="Times New Roman" w:hAnsi="Times New Roman"/>
          <w:sz w:val="13"/>
          <w:szCs w:val="13"/>
          <w:color w:val="auto"/>
        </w:rPr>
        <w:t>All the warrants issued to WAB are puttable warrants and thus are liability classified. The warrants were initially recognized at fair value with any subsequent changes in fair value to be recorded in other income (expense) in the statements of operations and comprehensive loss (See Note 3).</w:t>
      </w:r>
    </w:p>
    <w:p>
      <w:pPr>
        <w:spacing w:after="0" w:line="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issuance date fair value of the warrants was determined using the option pricing model, with the following assumptions: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2021 LSA</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2022 LSA</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Amendment</w:t>
            </w:r>
          </w:p>
        </w:tc>
        <w:tc>
          <w:tcPr>
            <w:tcW w:w="0" w:type="dxa"/>
            <w:vAlign w:val="bottom"/>
          </w:tcPr>
          <w:p>
            <w:pPr>
              <w:spacing w:after="0"/>
              <w:rPr>
                <w:sz w:val="1"/>
                <w:szCs w:val="1"/>
                <w:color w:val="auto"/>
              </w:rPr>
            </w:pPr>
          </w:p>
        </w:tc>
      </w:tr>
      <w:tr>
        <w:trPr>
          <w:trHeight w:val="158"/>
        </w:trPr>
        <w:tc>
          <w:tcPr>
            <w:tcW w:w="338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Grant date</w:t>
            </w:r>
          </w:p>
        </w:tc>
        <w:tc>
          <w:tcPr>
            <w:tcW w:w="1940" w:type="dxa"/>
            <w:vAlign w:val="bottom"/>
            <w:tcBorders>
              <w:top w:val="single" w:sz="8" w:color="E5E5E5"/>
            </w:tcBorders>
            <w:shd w:val="clear" w:color="auto" w:fill="E5E5E5"/>
          </w:tcPr>
          <w:p>
            <w:pPr>
              <w:spacing w:after="0"/>
              <w:rPr>
                <w:sz w:val="13"/>
                <w:szCs w:val="13"/>
                <w:color w:val="auto"/>
              </w:rPr>
            </w:pPr>
          </w:p>
        </w:tc>
        <w:tc>
          <w:tcPr>
            <w:tcW w:w="1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71"/>
              </w:rPr>
              <w:t> </w:t>
            </w:r>
          </w:p>
        </w:tc>
        <w:tc>
          <w:tcPr>
            <w:tcW w:w="10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October 12, 2021</w:t>
            </w:r>
          </w:p>
        </w:tc>
        <w:tc>
          <w:tcPr>
            <w:tcW w:w="520" w:type="dxa"/>
            <w:vAlign w:val="bottom"/>
            <w:tcBorders>
              <w:top w:val="single" w:sz="8" w:color="E5E5E5"/>
            </w:tcBorders>
            <w:shd w:val="clear" w:color="auto" w:fill="E5E5E5"/>
          </w:tcPr>
          <w:p>
            <w:pPr>
              <w:spacing w:after="0"/>
              <w:rPr>
                <w:sz w:val="13"/>
                <w:szCs w:val="13"/>
                <w:color w:val="auto"/>
              </w:rPr>
            </w:pPr>
          </w:p>
        </w:tc>
        <w:tc>
          <w:tcPr>
            <w:tcW w:w="40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8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July 22, 2022</w:t>
            </w:r>
          </w:p>
        </w:tc>
        <w:tc>
          <w:tcPr>
            <w:tcW w:w="16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94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540" w:type="dxa"/>
            <w:vAlign w:val="bottom"/>
            <w:gridSpan w:val="2"/>
            <w:shd w:val="clear" w:color="auto" w:fill="E5E5E5"/>
          </w:tcPr>
          <w:p>
            <w:pPr>
              <w:jc w:val="right"/>
              <w:ind w:right="400"/>
              <w:spacing w:after="0"/>
              <w:rPr>
                <w:sz w:val="20"/>
                <w:szCs w:val="20"/>
                <w:color w:val="auto"/>
              </w:rPr>
            </w:pPr>
            <w:r>
              <w:rPr>
                <w:rFonts w:ascii="Times New Roman" w:cs="Times New Roman" w:eastAsia="Times New Roman" w:hAnsi="Times New Roman"/>
                <w:sz w:val="14"/>
                <w:szCs w:val="14"/>
                <w:color w:val="auto"/>
              </w:rPr>
              <w:t>1.59%</w:t>
            </w:r>
          </w:p>
        </w:tc>
        <w:tc>
          <w:tcPr>
            <w:tcW w:w="4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8"/>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94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grant date fair value</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169,592</w:t>
            </w:r>
          </w:p>
        </w:tc>
        <w:tc>
          <w:tcPr>
            <w:tcW w:w="520" w:type="dxa"/>
            <w:vAlign w:val="bottom"/>
          </w:tcPr>
          <w:p>
            <w:pPr>
              <w:spacing w:after="0"/>
              <w:rPr>
                <w:sz w:val="15"/>
                <w:szCs w:val="15"/>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The fair value of the warrants as of their respective issuance dates were recorded as a debt discount that is being amortized to interest expense over the term of the loan.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Common Stock</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As of December 31, 2023 and 2024, the Company’s Certificate of Incorporation, as amended, authorized the Company to issue 42,176,761 and 51,100,000 shares of common stock with a par value of $0.00001, respectively. Total common stock outstanding as of December 31, 2023 and 2024 was 10,572,061 and 10,925,950, respectively. Each share of common stock is entitled to one vote. The holders of common stock are also entitled to receive dividends whenever funds are legally available and when and if declared by the Board of Directors, subject to the prior rights of holders of all series of stock outstanding. As of December 31, 2024, no dividends had been declared or paid.</w:t>
      </w:r>
    </w:p>
    <w:p>
      <w:pPr>
        <w:spacing w:after="0" w:line="142" w:lineRule="exact"/>
        <w:rPr>
          <w:sz w:val="20"/>
          <w:szCs w:val="20"/>
          <w:color w:val="auto"/>
        </w:rPr>
      </w:pPr>
    </w:p>
    <w:p>
      <w:pPr>
        <w:ind w:left="1360" w:right="339"/>
        <w:spacing w:after="0" w:line="266" w:lineRule="auto"/>
        <w:rPr>
          <w:sz w:val="20"/>
          <w:szCs w:val="20"/>
          <w:color w:val="auto"/>
        </w:rPr>
      </w:pPr>
      <w:r>
        <w:rPr>
          <w:rFonts w:ascii="Times New Roman" w:cs="Times New Roman" w:eastAsia="Times New Roman" w:hAnsi="Times New Roman"/>
          <w:sz w:val="14"/>
          <w:szCs w:val="14"/>
          <w:color w:val="auto"/>
        </w:rPr>
        <w:t>The Company is required to reserve and keep available out of its authorized but unissued shares of common stock such a number of shares sufficient to affect the conversion of all outstanding shares of redeemable convertible preferred stocks, preferred stock and common stock warrants, and options granted and available for grant under the Company’s stock option plan.</w:t>
      </w:r>
    </w:p>
    <w:p>
      <w:pPr>
        <w:sectPr>
          <w:pgSz w:w="11900" w:h="16838" w:orient="portrait"/>
          <w:cols w:equalWidth="0" w:num="1">
            <w:col w:w="10159"/>
          </w:cols>
          <w:pgMar w:left="300" w:top="385" w:right="1440" w:bottom="1440" w:gutter="0" w:footer="0" w:header="0"/>
        </w:sectPr>
      </w:pP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The amount of such shares of the Company’s common stock reserved for these purposes at December 31, 2024, is as follows: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A-1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-92075</wp:posOffset>
            </wp:positionV>
            <wp:extent cx="5436870" cy="1066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A-2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A-3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A-4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A-5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A-6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B-1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B-2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C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C-1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D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Common stock warrants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Stock options available for future grants</w:t>
      </w:r>
    </w:p>
    <w:p>
      <w:pPr>
        <w:spacing w:after="0" w:line="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Total common stock reserved</w:t>
      </w:r>
    </w:p>
    <w:p>
      <w:pPr>
        <w:spacing w:after="0" w:line="1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1,349,650</w:t>
      </w:r>
    </w:p>
    <w:p>
      <w:pPr>
        <w:spacing w:after="0" w:line="22"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1,137,210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899,730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25,761</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114,613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5,796,201</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5,182,287</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2,566,902</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5,628,825</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1,726,823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4,656,233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9,660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121,566</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6,849,412</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1,659,634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4445</wp:posOffset>
            </wp:positionV>
            <wp:extent cx="67945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945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37,724,507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28575</wp:posOffset>
            </wp:positionV>
            <wp:extent cx="67945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9450" cy="635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41910</wp:posOffset>
            </wp:positionV>
            <wp:extent cx="67945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79450" cy="6350"/>
                    </a:xfrm>
                    <a:prstGeom prst="rect">
                      <a:avLst/>
                    </a:prstGeom>
                    <a:noFill/>
                  </pic:spPr>
                </pic:pic>
              </a:graphicData>
            </a:graphic>
          </wp:anchor>
        </w:drawing>
      </w:r>
    </w:p>
    <w:p>
      <w:pPr>
        <w:sectPr>
          <w:pgSz w:w="11900" w:h="16838" w:orient="portrait"/>
          <w:cols w:equalWidth="0" w:num="2">
            <w:col w:w="8380" w:space="660"/>
            <w:col w:w="1119"/>
          </w:cols>
          <w:pgMar w:left="300" w:top="385" w:right="1440"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Plan</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spacing w:after="0" w:line="145" w:lineRule="exact"/>
        <w:rPr>
          <w:sz w:val="20"/>
          <w:szCs w:val="20"/>
          <w:color w:val="auto"/>
        </w:rPr>
      </w:pPr>
    </w:p>
    <w:p>
      <w:pPr>
        <w:ind w:left="1360" w:right="259"/>
        <w:spacing w:after="0" w:line="282" w:lineRule="auto"/>
        <w:rPr>
          <w:sz w:val="20"/>
          <w:szCs w:val="20"/>
          <w:color w:val="auto"/>
        </w:rPr>
      </w:pPr>
      <w:r>
        <w:rPr>
          <w:rFonts w:ascii="Times New Roman" w:cs="Times New Roman" w:eastAsia="Times New Roman" w:hAnsi="Times New Roman"/>
          <w:sz w:val="14"/>
          <w:szCs w:val="14"/>
          <w:color w:val="auto"/>
        </w:rPr>
        <w:t>Incentive and non-statutory stock options may be granted with exercise prices not less than 100% of the estimated fair value of the common stock on the date of grant, as determined by the Board of Directors.</w:t>
      </w:r>
    </w:p>
    <w:p>
      <w:pPr>
        <w:spacing w:after="0" w:line="12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Subject to Board approval at the grant date, if an option includes an “early exercise” feature, then such option shall be exercisable at any time but any unvested option shares shall be subject to the Company’s right to repurchase them at the original exercise price in the event that the optionee’s service is terminated for any reason. If an option does not permit early exercise, then such option shall not be exercisable with respect to unvested shares. As of December 31, 2024, the Company had authorized 10,904,372 shares of common stock reserved for issuance under the 2018 Plan.</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3" w:lineRule="exact"/>
        <w:rPr>
          <w:sz w:val="20"/>
          <w:szCs w:val="20"/>
          <w:color w:val="auto"/>
        </w:rPr>
      </w:pPr>
    </w:p>
    <w:p>
      <w:pPr>
        <w:jc w:val="both"/>
        <w:ind w:left="1360" w:right="479"/>
        <w:spacing w:after="0" w:line="266" w:lineRule="auto"/>
        <w:rPr>
          <w:sz w:val="20"/>
          <w:szCs w:val="20"/>
          <w:color w:val="auto"/>
        </w:rPr>
      </w:pPr>
      <w:r>
        <w:rPr>
          <w:rFonts w:ascii="Times New Roman" w:cs="Times New Roman" w:eastAsia="Times New Roman" w:hAnsi="Times New Roman"/>
          <w:sz w:val="14"/>
          <w:szCs w:val="14"/>
          <w:color w:val="auto"/>
        </w:rPr>
        <w:t>The Company recognizes stock-based compensation expense for all stock-based payment awards based on the estimated fair value on the date of the grant. The Company recognizes the compensation cost on a straight-line basis over the requisite service period of the award. The fair value of stock options granted is estimated using the Black-Scholes Model utilizing the assumptions noted below:</w:t>
      </w:r>
    </w:p>
    <w:p>
      <w:pPr>
        <w:spacing w:after="0" w:line="61" w:lineRule="exact"/>
        <w:rPr>
          <w:sz w:val="20"/>
          <w:szCs w:val="20"/>
          <w:color w:val="auto"/>
        </w:rPr>
      </w:pPr>
    </w:p>
    <w:p>
      <w:pPr>
        <w:ind w:left="1700" w:right="339" w:hanging="253"/>
        <w:spacing w:after="0" w:line="257" w:lineRule="auto"/>
        <w:tabs>
          <w:tab w:leader="none" w:pos="17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Fair value of common stock</w:t>
      </w:r>
      <w:r>
        <w:rPr>
          <w:rFonts w:ascii="Times New Roman" w:cs="Times New Roman" w:eastAsia="Times New Roman" w:hAnsi="Times New Roman"/>
          <w:sz w:val="14"/>
          <w:szCs w:val="14"/>
          <w:color w:val="auto"/>
        </w:rPr>
        <w:t>. The Board of Directors considers numerous objective and subjective factors to determine the fair value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common stock options at each meeting in which awards are approved. The factors considered include, but are not limited to: (i) the results of contemporaneous independent third 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and (vi) the likelihood of achieving a liquidity event, such as an initial public offering or sale of the Company, given prevailing market conditions.</w:t>
      </w:r>
    </w:p>
    <w:p>
      <w:pPr>
        <w:spacing w:after="0" w:line="67" w:lineRule="exact"/>
        <w:rPr>
          <w:rFonts w:ascii="Times New Roman" w:cs="Times New Roman" w:eastAsia="Times New Roman" w:hAnsi="Times New Roman"/>
          <w:sz w:val="14"/>
          <w:szCs w:val="14"/>
          <w:color w:val="auto"/>
        </w:rPr>
      </w:pPr>
    </w:p>
    <w:p>
      <w:pPr>
        <w:ind w:left="1700" w:right="339" w:hanging="253"/>
        <w:spacing w:after="0" w:line="267" w:lineRule="auto"/>
        <w:tabs>
          <w:tab w:leader="none" w:pos="17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 Expected volatility is a measure of the amount by which the stock price is expected to fluctuate. Since the Company does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sufficient trading history of its common stock, it estimates the expected volatility of its stock options at their grant date by taking the weighted average historical volatility of a group of comparable publicly traded companies over a period equal to the expected life of the options.</w:t>
      </w:r>
    </w:p>
    <w:p>
      <w:pPr>
        <w:spacing w:after="0" w:line="60" w:lineRule="exact"/>
        <w:rPr>
          <w:rFonts w:ascii="Times New Roman" w:cs="Times New Roman" w:eastAsia="Times New Roman" w:hAnsi="Times New Roman"/>
          <w:sz w:val="14"/>
          <w:szCs w:val="14"/>
          <w:color w:val="auto"/>
        </w:rPr>
      </w:pPr>
    </w:p>
    <w:p>
      <w:pPr>
        <w:ind w:left="1700" w:right="319" w:hanging="253"/>
        <w:spacing w:after="0" w:line="267" w:lineRule="auto"/>
        <w:tabs>
          <w:tab w:leader="none" w:pos="17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 Expected term represents the period over which the Company anticipates stock-based awards to be outstanding.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uses the simplified method to calculate the expected term estimate based on the options’ vesting term and contractual terms. Under the simplified method, the expected life is equal to the average of the stock-based award’s weighted average vesting period and its contractual term.</w:t>
      </w:r>
    </w:p>
    <w:p>
      <w:pPr>
        <w:spacing w:after="0" w:line="60" w:lineRule="exact"/>
        <w:rPr>
          <w:rFonts w:ascii="Times New Roman" w:cs="Times New Roman" w:eastAsia="Times New Roman" w:hAnsi="Times New Roman"/>
          <w:sz w:val="14"/>
          <w:szCs w:val="14"/>
          <w:color w:val="auto"/>
        </w:rPr>
      </w:pPr>
    </w:p>
    <w:p>
      <w:pPr>
        <w:ind w:left="1700" w:right="459" w:hanging="253"/>
        <w:spacing w:after="0" w:line="285" w:lineRule="auto"/>
        <w:tabs>
          <w:tab w:leader="none" w:pos="17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 The Company uses the average of the published interest rates of U.S. Treasury zero-coupon issues with terms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expected term of the awards for its risk-free interest rate.</w:t>
      </w:r>
    </w:p>
    <w:p>
      <w:pPr>
        <w:spacing w:after="0" w:line="47" w:lineRule="exact"/>
        <w:rPr>
          <w:rFonts w:ascii="Times New Roman" w:cs="Times New Roman" w:eastAsia="Times New Roman" w:hAnsi="Times New Roman"/>
          <w:sz w:val="14"/>
          <w:szCs w:val="14"/>
          <w:color w:val="auto"/>
        </w:rPr>
      </w:pPr>
    </w:p>
    <w:p>
      <w:pPr>
        <w:ind w:left="1700" w:right="499" w:hanging="253"/>
        <w:spacing w:after="0" w:line="285" w:lineRule="auto"/>
        <w:tabs>
          <w:tab w:leader="none" w:pos="17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dividends</w:t>
      </w:r>
      <w:r>
        <w:rPr>
          <w:rFonts w:ascii="Times New Roman" w:cs="Times New Roman" w:eastAsia="Times New Roman" w:hAnsi="Times New Roman"/>
          <w:sz w:val="14"/>
          <w:szCs w:val="14"/>
          <w:color w:val="auto"/>
        </w:rPr>
        <w:t>. The Company historically has not paid dividends on common stock and has no plans to issue dividends in the foreseeable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future.</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386"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499"/>
        <w:spacing w:after="0" w:line="282" w:lineRule="auto"/>
        <w:rPr>
          <w:sz w:val="20"/>
          <w:szCs w:val="20"/>
          <w:color w:val="auto"/>
        </w:rPr>
      </w:pPr>
      <w:r>
        <w:rPr>
          <w:rFonts w:ascii="Times New Roman" w:cs="Times New Roman" w:eastAsia="Times New Roman" w:hAnsi="Times New Roman"/>
          <w:sz w:val="14"/>
          <w:szCs w:val="14"/>
          <w:color w:val="auto"/>
        </w:rPr>
        <w:t>The weighted average assumptions used to calculate the fair value of option grants issued under the 2018 Plan during the years ended December 31, 2023 and 2024 were as follows:</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40" w:type="dxa"/>
            <w:vAlign w:val="bottom"/>
            <w:tcBorders>
              <w:bottom w:val="single" w:sz="8" w:color="E5E5E5"/>
            </w:tcBorders>
          </w:tcPr>
          <w:p>
            <w:pPr>
              <w:spacing w:after="0"/>
              <w:rPr>
                <w:sz w:val="16"/>
                <w:szCs w:val="16"/>
                <w:color w:val="auto"/>
              </w:rPr>
            </w:pPr>
          </w:p>
        </w:tc>
        <w:tc>
          <w:tcPr>
            <w:tcW w:w="940" w:type="dxa"/>
            <w:vAlign w:val="bottom"/>
            <w:tcBorders>
              <w:bottom w:val="single" w:sz="8" w:color="E5E5E5"/>
            </w:tcBorders>
          </w:tcPr>
          <w:p>
            <w:pPr>
              <w:spacing w:after="0"/>
              <w:rPr>
                <w:sz w:val="16"/>
                <w:szCs w:val="16"/>
                <w:color w:val="auto"/>
              </w:rPr>
            </w:pPr>
          </w:p>
        </w:tc>
        <w:tc>
          <w:tcPr>
            <w:tcW w:w="720" w:type="dxa"/>
            <w:vAlign w:val="bottom"/>
            <w:tcBorders>
              <w:bottom w:val="single" w:sz="8" w:color="E5E5E5"/>
            </w:tcBorders>
          </w:tcPr>
          <w:p>
            <w:pPr>
              <w:spacing w:after="0"/>
              <w:rPr>
                <w:sz w:val="16"/>
                <w:szCs w:val="16"/>
                <w:color w:val="auto"/>
              </w:rPr>
            </w:pPr>
          </w:p>
        </w:tc>
        <w:tc>
          <w:tcPr>
            <w:tcW w:w="180" w:type="dxa"/>
            <w:vAlign w:val="bottom"/>
            <w:tcBorders>
              <w:bottom w:val="single" w:sz="8" w:color="E5E5E5"/>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600" w:type="dxa"/>
            <w:vAlign w:val="bottom"/>
            <w:tcBorders>
              <w:bottom w:val="single" w:sz="8" w:color="E5E5E5"/>
            </w:tcBorders>
          </w:tcPr>
          <w:p>
            <w:pPr>
              <w:spacing w:after="0"/>
              <w:rPr>
                <w:sz w:val="16"/>
                <w:szCs w:val="16"/>
                <w:color w:val="auto"/>
              </w:rPr>
            </w:pPr>
          </w:p>
        </w:tc>
        <w:tc>
          <w:tcPr>
            <w:tcW w:w="180" w:type="dxa"/>
            <w:vAlign w:val="bottom"/>
            <w:tcBorders>
              <w:bottom w:val="single" w:sz="8" w:color="E5E5E5"/>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E5E5E5"/>
            </w:tcBorders>
          </w:tcPr>
          <w:p>
            <w:pPr>
              <w:spacing w:after="0"/>
              <w:rPr>
                <w:sz w:val="16"/>
                <w:szCs w:val="16"/>
                <w:color w:val="auto"/>
              </w:rPr>
            </w:pPr>
          </w:p>
        </w:tc>
        <w:tc>
          <w:tcPr>
            <w:tcW w:w="18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Fair value of common stock</w:t>
            </w:r>
          </w:p>
        </w:tc>
        <w:tc>
          <w:tcPr>
            <w:tcW w:w="9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   11.07</w:t>
            </w:r>
          </w:p>
        </w:tc>
        <w:tc>
          <w:tcPr>
            <w:tcW w:w="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shd w:val="clear" w:color="auto" w:fill="E5E5E5"/>
          </w:tcPr>
          <w:p>
            <w:pPr>
              <w:ind w:left="40"/>
              <w:spacing w:after="0" w:line="159" w:lineRule="exact"/>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16.47</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94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80" w:type="dxa"/>
            <w:vAlign w:val="bottom"/>
            <w:gridSpan w:val="3"/>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500" w:type="dxa"/>
            <w:vAlign w:val="bottom"/>
            <w:gridSpan w:val="3"/>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94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4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6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 summary of the Company’s stock option activity and related information is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center"/>
              <w:ind w:right="37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78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8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37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78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60" w:type="dxa"/>
            <w:vAlign w:val="bottom"/>
          </w:tcPr>
          <w:p>
            <w:pPr>
              <w:spacing w:after="0"/>
              <w:rPr>
                <w:sz w:val="10"/>
                <w:szCs w:val="10"/>
                <w:color w:val="auto"/>
              </w:rPr>
            </w:pPr>
          </w:p>
        </w:tc>
        <w:tc>
          <w:tcPr>
            <w:tcW w:w="1020" w:type="dxa"/>
            <w:vAlign w:val="bottom"/>
            <w:gridSpan w:val="4"/>
          </w:tcPr>
          <w:p>
            <w:pPr>
              <w:jc w:val="center"/>
              <w:ind w:right="230"/>
              <w:spacing w:after="0" w:line="116"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78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4"/>
              </w:rPr>
              <w:t>Life</w:t>
            </w:r>
          </w:p>
        </w:tc>
        <w:tc>
          <w:tcPr>
            <w:tcW w:w="100" w:type="dxa"/>
            <w:vAlign w:val="bottom"/>
          </w:tcPr>
          <w:p>
            <w:pPr>
              <w:spacing w:after="0"/>
              <w:rPr>
                <w:sz w:val="10"/>
                <w:szCs w:val="10"/>
                <w:color w:val="auto"/>
              </w:rPr>
            </w:pPr>
          </w:p>
        </w:tc>
        <w:tc>
          <w:tcPr>
            <w:tcW w:w="920" w:type="dxa"/>
            <w:vAlign w:val="bottom"/>
            <w:gridSpan w:val="6"/>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Intrinsic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35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Borders>
              <w:top w:val="single" w:sz="8" w:color="E5E5E5"/>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Outstanding as of January 1, 2023</w:t>
            </w:r>
          </w:p>
        </w:tc>
        <w:tc>
          <w:tcPr>
            <w:tcW w:w="940" w:type="dxa"/>
            <w:vAlign w:val="bottom"/>
            <w:tcBorders>
              <w:top w:val="single" w:sz="8" w:color="E5E5E5"/>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4,633,430</w:t>
            </w:r>
          </w:p>
        </w:tc>
        <w:tc>
          <w:tcPr>
            <w:tcW w:w="1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 xml:space="preserve">$  </w:t>
            </w:r>
          </w:p>
        </w:tc>
        <w:tc>
          <w:tcPr>
            <w:tcW w:w="60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      3.33</w:t>
            </w:r>
          </w:p>
        </w:tc>
        <w:tc>
          <w:tcPr>
            <w:tcW w:w="300" w:type="dxa"/>
            <w:vAlign w:val="bottom"/>
            <w:tcBorders>
              <w:top w:val="single" w:sz="8" w:color="E5E5E5"/>
            </w:tcBorders>
            <w:gridSpan w:val="2"/>
            <w:shd w:val="clear" w:color="auto" w:fill="E5E5E5"/>
          </w:tcPr>
          <w:p>
            <w:pPr>
              <w:spacing w:after="0"/>
              <w:rPr>
                <w:sz w:val="12"/>
                <w:szCs w:val="12"/>
                <w:color w:val="auto"/>
              </w:rPr>
            </w:pPr>
          </w:p>
        </w:tc>
        <w:tc>
          <w:tcPr>
            <w:tcW w:w="600" w:type="dxa"/>
            <w:vAlign w:val="bottom"/>
            <w:tcBorders>
              <w:top w:val="single" w:sz="8" w:color="auto"/>
            </w:tcBorders>
            <w:gridSpan w:val="2"/>
            <w:shd w:val="clear" w:color="auto" w:fill="E5E5E5"/>
          </w:tcPr>
          <w:p>
            <w:pPr>
              <w:jc w:val="right"/>
              <w:ind w:right="20"/>
              <w:spacing w:after="0" w:line="148" w:lineRule="exact"/>
              <w:rPr>
                <w:sz w:val="20"/>
                <w:szCs w:val="20"/>
                <w:color w:val="auto"/>
              </w:rPr>
            </w:pPr>
            <w:r>
              <w:rPr>
                <w:rFonts w:ascii="Times New Roman" w:cs="Times New Roman" w:eastAsia="Times New Roman" w:hAnsi="Times New Roman"/>
                <w:sz w:val="13"/>
                <w:szCs w:val="13"/>
                <w:color w:val="auto"/>
              </w:rPr>
              <w:t>8.4</w:t>
            </w:r>
          </w:p>
        </w:tc>
        <w:tc>
          <w:tcPr>
            <w:tcW w:w="18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auto"/>
            </w:tcBorders>
            <w:gridSpan w:val="2"/>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Borders>
              <w:top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440" w:type="dxa"/>
            <w:vAlign w:val="bottom"/>
            <w:tcBorders>
              <w:top w:val="single" w:sz="8" w:color="auto"/>
            </w:tcBorders>
            <w:gridSpan w:val="2"/>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25,974</w:t>
            </w:r>
          </w:p>
        </w:tc>
        <w:tc>
          <w:tcPr>
            <w:tcW w:w="6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2,096,500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3"/>
                <w:szCs w:val="13"/>
                <w:color w:val="auto"/>
              </w:rPr>
              <w:t>Exercised</w:t>
            </w:r>
          </w:p>
        </w:tc>
        <w:tc>
          <w:tcPr>
            <w:tcW w:w="1840" w:type="dxa"/>
            <w:vAlign w:val="bottom"/>
            <w:gridSpan w:val="3"/>
            <w:shd w:val="clear" w:color="auto" w:fill="E5E5E5"/>
          </w:tcPr>
          <w:p>
            <w:pPr>
              <w:jc w:val="right"/>
              <w:ind w:right="140"/>
              <w:spacing w:after="0"/>
              <w:rPr>
                <w:sz w:val="20"/>
                <w:szCs w:val="20"/>
                <w:color w:val="auto"/>
              </w:rPr>
            </w:pPr>
            <w:r>
              <w:rPr>
                <w:rFonts w:ascii="Times New Roman" w:cs="Times New Roman" w:eastAsia="Times New Roman" w:hAnsi="Times New Roman"/>
                <w:sz w:val="13"/>
                <w:szCs w:val="13"/>
                <w:color w:val="auto"/>
              </w:rPr>
              <w:t>(147,352)</w:t>
            </w:r>
          </w:p>
        </w:tc>
        <w:tc>
          <w:tcPr>
            <w:tcW w:w="1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Forfeited or expired</w:t>
            </w:r>
          </w:p>
        </w:tc>
        <w:tc>
          <w:tcPr>
            <w:tcW w:w="9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(389,342)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940" w:type="dxa"/>
            <w:vAlign w:val="bottom"/>
            <w:shd w:val="clear" w:color="auto" w:fill="E5E5E5"/>
          </w:tcPr>
          <w:p>
            <w:pPr>
              <w:spacing w:after="0"/>
              <w:rPr>
                <w:sz w:val="13"/>
                <w:szCs w:val="13"/>
                <w:color w:val="auto"/>
              </w:rPr>
            </w:pP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6,193,236</w:t>
            </w:r>
          </w:p>
        </w:tc>
        <w:tc>
          <w:tcPr>
            <w:tcW w:w="180" w:type="dxa"/>
            <w:vAlign w:val="bottom"/>
            <w:shd w:val="clear" w:color="auto" w:fill="E5E5E5"/>
          </w:tcPr>
          <w:p>
            <w:pPr>
              <w:spacing w:after="0"/>
              <w:rPr>
                <w:sz w:val="13"/>
                <w:szCs w:val="13"/>
                <w:color w:val="auto"/>
              </w:rPr>
            </w:pPr>
          </w:p>
        </w:tc>
        <w:tc>
          <w:tcPr>
            <w:tcW w:w="280" w:type="dxa"/>
            <w:vAlign w:val="bottom"/>
            <w:gridSpan w:val="2"/>
            <w:shd w:val="clear" w:color="auto" w:fill="E5E5E5"/>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3"/>
                <w:szCs w:val="13"/>
                <w:color w:val="auto"/>
              </w:rPr>
              <w:t>8.0</w:t>
            </w:r>
          </w:p>
        </w:tc>
        <w:tc>
          <w:tcPr>
            <w:tcW w:w="180" w:type="dxa"/>
            <w:vAlign w:val="bottom"/>
            <w:shd w:val="clear" w:color="auto" w:fill="E5E5E5"/>
          </w:tcPr>
          <w:p>
            <w:pPr>
              <w:spacing w:after="0"/>
              <w:rPr>
                <w:sz w:val="13"/>
                <w:szCs w:val="13"/>
                <w:color w:val="auto"/>
              </w:rPr>
            </w:pPr>
          </w:p>
        </w:tc>
        <w:tc>
          <w:tcPr>
            <w:tcW w:w="18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4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49,467</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Granted</w:t>
            </w:r>
          </w:p>
        </w:tc>
        <w:tc>
          <w:tcPr>
            <w:tcW w:w="9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1,366,595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3"/>
                <w:szCs w:val="13"/>
                <w:color w:val="auto"/>
              </w:rPr>
              <w:t>Exercised</w:t>
            </w:r>
          </w:p>
        </w:tc>
        <w:tc>
          <w:tcPr>
            <w:tcW w:w="1840" w:type="dxa"/>
            <w:vAlign w:val="bottom"/>
            <w:gridSpan w:val="3"/>
            <w:shd w:val="clear" w:color="auto" w:fill="E5E5E5"/>
          </w:tcPr>
          <w:p>
            <w:pPr>
              <w:jc w:val="right"/>
              <w:ind w:right="140"/>
              <w:spacing w:after="0"/>
              <w:rPr>
                <w:sz w:val="20"/>
                <w:szCs w:val="20"/>
                <w:color w:val="auto"/>
              </w:rPr>
            </w:pPr>
            <w:r>
              <w:rPr>
                <w:rFonts w:ascii="Times New Roman" w:cs="Times New Roman" w:eastAsia="Times New Roman" w:hAnsi="Times New Roman"/>
                <w:sz w:val="13"/>
                <w:szCs w:val="13"/>
                <w:color w:val="auto"/>
              </w:rPr>
              <w:t>(380,639)</w:t>
            </w:r>
          </w:p>
        </w:tc>
        <w:tc>
          <w:tcPr>
            <w:tcW w:w="1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Forfeited or expired</w:t>
            </w:r>
          </w:p>
        </w:tc>
        <w:tc>
          <w:tcPr>
            <w:tcW w:w="9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(329,780)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Outstanding as of December 31, 2024</w:t>
            </w:r>
          </w:p>
        </w:tc>
        <w:tc>
          <w:tcPr>
            <w:tcW w:w="940" w:type="dxa"/>
            <w:vAlign w:val="bottom"/>
            <w:shd w:val="clear" w:color="auto" w:fill="E5E5E5"/>
          </w:tcPr>
          <w:p>
            <w:pPr>
              <w:spacing w:after="0"/>
              <w:rPr>
                <w:sz w:val="13"/>
                <w:szCs w:val="13"/>
                <w:color w:val="auto"/>
              </w:rPr>
            </w:pP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6,849,412</w:t>
            </w:r>
          </w:p>
        </w:tc>
        <w:tc>
          <w:tcPr>
            <w:tcW w:w="180" w:type="dxa"/>
            <w:vAlign w:val="bottom"/>
            <w:shd w:val="clear" w:color="auto" w:fill="E5E5E5"/>
          </w:tcPr>
          <w:p>
            <w:pPr>
              <w:spacing w:after="0"/>
              <w:rPr>
                <w:sz w:val="13"/>
                <w:szCs w:val="13"/>
                <w:color w:val="auto"/>
              </w:rPr>
            </w:pPr>
          </w:p>
        </w:tc>
        <w:tc>
          <w:tcPr>
            <w:tcW w:w="280" w:type="dxa"/>
            <w:vAlign w:val="bottom"/>
            <w:gridSpan w:val="2"/>
            <w:shd w:val="clear" w:color="auto" w:fill="E5E5E5"/>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E5E5E5"/>
          </w:tcPr>
          <w:p>
            <w:pPr>
              <w:spacing w:after="0"/>
              <w:rPr>
                <w:sz w:val="13"/>
                <w:szCs w:val="13"/>
                <w:color w:val="auto"/>
              </w:rPr>
            </w:pPr>
          </w:p>
        </w:tc>
        <w:tc>
          <w:tcPr>
            <w:tcW w:w="18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4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73,992</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Vested and exercisable as of December 31, 2024</w:t>
            </w:r>
          </w:p>
        </w:tc>
        <w:tc>
          <w:tcPr>
            <w:tcW w:w="1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6.7</w:t>
            </w:r>
          </w:p>
        </w:tc>
        <w:tc>
          <w:tcPr>
            <w:tcW w:w="180" w:type="dxa"/>
            <w:vAlign w:val="bottom"/>
          </w:tcPr>
          <w:p>
            <w:pPr>
              <w:spacing w:after="0" w:line="20" w:lineRule="exact"/>
              <w:rPr>
                <w:sz w:val="1"/>
                <w:szCs w:val="1"/>
                <w:color w:val="auto"/>
              </w:rPr>
            </w:pP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58,168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7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4,198,202</w:t>
            </w:r>
          </w:p>
        </w:tc>
        <w:tc>
          <w:tcPr>
            <w:tcW w:w="1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shd w:val="clear" w:color="auto" w:fill="E5E5E5"/>
          </w:tcPr>
          <w:p>
            <w:pPr>
              <w:spacing w:after="0" w:line="139" w:lineRule="exact"/>
              <w:rPr>
                <w:sz w:val="20"/>
                <w:szCs w:val="20"/>
                <w:color w:val="auto"/>
              </w:rPr>
            </w:pPr>
            <w:r>
              <w:rPr>
                <w:rFonts w:ascii="Times New Roman" w:cs="Times New Roman" w:eastAsia="Times New Roman" w:hAnsi="Times New Roman"/>
                <w:sz w:val="13"/>
                <w:szCs w:val="13"/>
                <w:color w:val="auto"/>
              </w:rPr>
              <w:t>Vested and expected to vest as of December 31, 2024</w:t>
            </w:r>
          </w:p>
        </w:tc>
        <w:tc>
          <w:tcPr>
            <w:tcW w:w="1840" w:type="dxa"/>
            <w:vAlign w:val="bottom"/>
            <w:gridSpan w:val="3"/>
            <w:shd w:val="clear" w:color="auto" w:fill="E5E5E5"/>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    6,849,933</w:t>
            </w:r>
          </w:p>
        </w:tc>
        <w:tc>
          <w:tcPr>
            <w:tcW w:w="280" w:type="dxa"/>
            <w:vAlign w:val="bottom"/>
            <w:gridSpan w:val="2"/>
            <w:shd w:val="clear" w:color="auto" w:fill="E5E5E5"/>
          </w:tcPr>
          <w:p>
            <w:pPr>
              <w:ind w:left="160"/>
              <w:spacing w:after="0" w:line="13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spacing w:after="0" w:line="139" w:lineRule="exact"/>
              <w:rPr>
                <w:sz w:val="20"/>
                <w:szCs w:val="20"/>
                <w:color w:val="auto"/>
              </w:rPr>
            </w:pPr>
            <w:r>
              <w:rPr>
                <w:rFonts w:ascii="Times New Roman" w:cs="Times New Roman" w:eastAsia="Times New Roman" w:hAnsi="Times New Roman"/>
                <w:sz w:val="13"/>
                <w:szCs w:val="13"/>
                <w:color w:val="auto"/>
              </w:rPr>
              <w:t>7.28</w:t>
            </w:r>
          </w:p>
        </w:tc>
        <w:tc>
          <w:tcPr>
            <w:tcW w:w="18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E5E5E5"/>
          </w:tcPr>
          <w:p>
            <w:pPr>
              <w:spacing w:after="0"/>
              <w:rPr>
                <w:sz w:val="12"/>
                <w:szCs w:val="12"/>
                <w:color w:val="auto"/>
              </w:rPr>
            </w:pPr>
          </w:p>
        </w:tc>
        <w:tc>
          <w:tcPr>
            <w:tcW w:w="180" w:type="dxa"/>
            <w:vAlign w:val="bottom"/>
            <w:gridSpan w:val="2"/>
            <w:shd w:val="clear" w:color="auto" w:fill="E5E5E5"/>
          </w:tcPr>
          <w:p>
            <w:pPr>
              <w:ind w:left="10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40" w:type="dxa"/>
            <w:vAlign w:val="bottom"/>
            <w:gridSpan w:val="2"/>
            <w:shd w:val="clear" w:color="auto" w:fill="E5E5E5"/>
          </w:tcPr>
          <w:p>
            <w:pPr>
              <w:jc w:val="right"/>
              <w:spacing w:after="0" w:line="139" w:lineRule="exact"/>
              <w:rPr>
                <w:sz w:val="20"/>
                <w:szCs w:val="20"/>
                <w:color w:val="auto"/>
              </w:rPr>
            </w:pPr>
            <w:r>
              <w:rPr>
                <w:rFonts w:ascii="Times New Roman" w:cs="Times New Roman" w:eastAsia="Times New Roman" w:hAnsi="Times New Roman"/>
                <w:sz w:val="13"/>
                <w:szCs w:val="13"/>
                <w:color w:val="auto"/>
              </w:rPr>
              <w:t>74,000</w:t>
            </w:r>
          </w:p>
        </w:tc>
        <w:tc>
          <w:tcPr>
            <w:tcW w:w="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360" w:right="479"/>
        <w:spacing w:after="0" w:line="266" w:lineRule="auto"/>
        <w:rPr>
          <w:sz w:val="20"/>
          <w:szCs w:val="20"/>
          <w:color w:val="auto"/>
        </w:rPr>
      </w:pPr>
      <w:r>
        <w:rPr>
          <w:rFonts w:ascii="Times New Roman" w:cs="Times New Roman" w:eastAsia="Times New Roman" w:hAnsi="Times New Roman"/>
          <w:sz w:val="14"/>
          <w:szCs w:val="14"/>
          <w:color w:val="auto"/>
        </w:rPr>
        <w:t>The intrinsic value is calculated as the difference between the exercise price of the underlying stock option award and the estimated fair value of the Company’s common stock. The total intrinsic values of options exercised during the years ended December 31, 2023 and 2024 was $1.2 million and $4.7 million, respectively.</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2023, the weighted average grant-date fair value of options granted was $7.75 per share, and the fair value of options vested during the period was $4.4 million. During the year ended December 31, 2024, the weighted average grant-date fair value of options granted was $10.89 per share, and the fair value of options vested during the period was $7.2 million. The fair value is being expensed over the vesting period of the options, on a straight-line basis as the services are being provided.</w:t>
      </w:r>
    </w:p>
    <w:p>
      <w:pPr>
        <w:spacing w:after="0" w:line="139" w:lineRule="exact"/>
        <w:rPr>
          <w:sz w:val="20"/>
          <w:szCs w:val="20"/>
          <w:color w:val="auto"/>
        </w:rPr>
      </w:pPr>
    </w:p>
    <w:p>
      <w:pPr>
        <w:ind w:left="1360" w:right="259"/>
        <w:spacing w:after="0" w:line="282" w:lineRule="auto"/>
        <w:rPr>
          <w:sz w:val="20"/>
          <w:szCs w:val="20"/>
          <w:color w:val="auto"/>
        </w:rPr>
      </w:pPr>
      <w:r>
        <w:rPr>
          <w:rFonts w:ascii="Times New Roman" w:cs="Times New Roman" w:eastAsia="Times New Roman" w:hAnsi="Times New Roman"/>
          <w:sz w:val="14"/>
          <w:szCs w:val="14"/>
          <w:color w:val="auto"/>
        </w:rPr>
        <w:t>As of December 31, 2024 there was approximately $22.2 million of total unrecognized compensation cost related to unvested options, which is expected to be recognized over the weighted average period of 2.6 years.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6"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 Activity</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the Company’s restricted stock award activity and related information is as follows: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20" w:type="dxa"/>
            <w:vAlign w:val="bottom"/>
          </w:tcPr>
          <w:p>
            <w:pPr>
              <w:spacing w:after="0"/>
              <w:rPr>
                <w:sz w:val="10"/>
                <w:szCs w:val="10"/>
                <w:color w:val="auto"/>
              </w:rPr>
            </w:pPr>
          </w:p>
        </w:tc>
        <w:tc>
          <w:tcPr>
            <w:tcW w:w="100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2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Nonvested as of January 1, 2023</w:t>
            </w:r>
          </w:p>
        </w:tc>
        <w:tc>
          <w:tcPr>
            <w:tcW w:w="9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14,584</w:t>
            </w:r>
          </w:p>
        </w:tc>
        <w:tc>
          <w:tcPr>
            <w:tcW w:w="14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E5E5E5"/>
            </w:tcBorders>
            <w:shd w:val="clear" w:color="auto" w:fill="E5E5E5"/>
          </w:tcPr>
          <w:p>
            <w:pPr>
              <w:spacing w:after="0"/>
              <w:rPr>
                <w:sz w:val="13"/>
                <w:szCs w:val="13"/>
                <w:color w:val="auto"/>
              </w:rPr>
            </w:pPr>
          </w:p>
        </w:tc>
        <w:tc>
          <w:tcPr>
            <w:tcW w:w="9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0.35</w:t>
            </w:r>
          </w:p>
        </w:tc>
        <w:tc>
          <w:tcPr>
            <w:tcW w:w="6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112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(14,584)</w:t>
            </w:r>
          </w:p>
        </w:tc>
        <w:tc>
          <w:tcPr>
            <w:tcW w:w="10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Nonvested as of December 31, 2023</w:t>
            </w: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10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There was no restricted stock award activity during the year ended December 31, 2024.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shows stock-based compensation expense included in the statements of operations and comprehensive loss for the years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2023 and 2024 (in thousands):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E5E5E5"/>
            </w:tcBorders>
          </w:tcPr>
          <w:p>
            <w:pPr>
              <w:spacing w:after="0"/>
              <w:rPr>
                <w:sz w:val="11"/>
                <w:szCs w:val="11"/>
                <w:color w:val="auto"/>
              </w:rPr>
            </w:pPr>
          </w:p>
        </w:tc>
      </w:tr>
      <w:tr>
        <w:trPr>
          <w:trHeight w:val="158"/>
        </w:trPr>
        <w:tc>
          <w:tcPr>
            <w:tcW w:w="68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683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shd w:val="clear" w:color="auto" w:fill="E5E5E5"/>
          </w:tcPr>
          <w:p>
            <w:pPr>
              <w:spacing w:after="0"/>
              <w:rPr>
                <w:sz w:val="13"/>
                <w:szCs w:val="13"/>
                <w:color w:val="auto"/>
              </w:rPr>
            </w:pP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1,183</w:t>
            </w:r>
          </w:p>
        </w:tc>
        <w:tc>
          <w:tcPr>
            <w:tcW w:w="60" w:type="dxa"/>
            <w:vAlign w:val="bottom"/>
            <w:shd w:val="clear" w:color="auto" w:fill="E5E5E5"/>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60" w:type="dxa"/>
            <w:vAlign w:val="bottom"/>
          </w:tcPr>
          <w:p>
            <w:pPr>
              <w:spacing w:after="0"/>
              <w:rPr>
                <w:sz w:val="14"/>
                <w:szCs w:val="14"/>
                <w:color w:val="auto"/>
              </w:rPr>
            </w:pPr>
          </w:p>
        </w:tc>
      </w:tr>
      <w:tr>
        <w:trPr>
          <w:trHeight w:val="168"/>
        </w:trPr>
        <w:tc>
          <w:tcPr>
            <w:tcW w:w="68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0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60" w:type="dxa"/>
            <w:vAlign w:val="bottom"/>
            <w:shd w:val="clear" w:color="auto" w:fill="E5E5E5"/>
          </w:tcPr>
          <w:p>
            <w:pPr>
              <w:spacing w:after="0"/>
              <w:rPr>
                <w:sz w:val="14"/>
                <w:szCs w:val="14"/>
                <w:color w:val="auto"/>
              </w:rPr>
            </w:pPr>
          </w:p>
        </w:tc>
      </w:tr>
      <w:tr>
        <w:trPr>
          <w:trHeight w:val="169"/>
        </w:trPr>
        <w:tc>
          <w:tcPr>
            <w:tcW w:w="6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   4,854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8,362</w:t>
            </w:r>
          </w:p>
        </w:tc>
        <w:tc>
          <w:tcPr>
            <w:tcW w:w="60" w:type="dxa"/>
            <w:vAlign w:val="bottom"/>
          </w:tcPr>
          <w:p>
            <w:pPr>
              <w:spacing w:after="0"/>
              <w:rPr>
                <w:sz w:val="14"/>
                <w:szCs w:val="14"/>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Options Subject to Early Exercise</w:t>
      </w:r>
    </w:p>
    <w:p>
      <w:pPr>
        <w:spacing w:after="0" w:line="93"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At the discretion of the Company’s Board of Directors, certain options may be exercisable immediately at the date of grant but are subject to a repurchase right, under which the Company may buy back any unvested shares at their original exercise price in the event of an employee’s termination prior to full vesting. The consideration received for an exercise of an unvested option is considered to be a deposit of the exercise price and the related dollar amount is recorded as a liability. The liabilities are reclassified into equity as the awards vest. As of December 31, 2023 and 2024, the liability was not material and included in accrued expenses and other current liabilities on the accompanying balance sheets related to 3,542 and 521 shares of early-exercised common stock options, respectively. Early exercised stock options are legally issued and outstanding and are included in issued and outstanding common shares.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Secondary Sales of Common Stock</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During June 2024, investors of the Company acquired 52,750 shares of common stock at a price per share equal to $22.42 per share from employee stockholders. During July 2024, investors of the Company acquired an additional 22,302 shares of common stock at a price per share equal to $22.42 per share from a stockholder who was a former employee of the Company. As a result, the Company recorded a total of $0.4 million for the year ended December 31, 2024 in stock-based compensation expense for the difference between the price paid by these investors and the estimated fair value of the acquired common stock from stockholders on the date of the transactions.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385"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Repurchase of Common Stock</w:t>
      </w:r>
    </w:p>
    <w:p>
      <w:pPr>
        <w:spacing w:after="0" w:line="93"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In February 2024, the Company’s Board of Directors agreed to repurchase a total of 26,750 shares of common stock that were held by a former employee of the Company. The repurchase price paid by the Company was $20.3950 per share, resulting in a total repurchase cost of $0.5 million. As the repurchase price paid by the Company to the former employee represented an excess over the common stock’s estimated fair market value at the time, the Company accounted for this premium as stock-based compensation expense of $0.2 million.</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Option Exercises Under Promissory Notes</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In January 2019, the Company granted and approved the purchase of 700,000 restricted stock awards in aggregate at a price of $0.06 per share to two executives, and in exchange, the executives entered into full recourse promissory notes (the “Recourse Notes”) for the amount of the exercise price of the restricted shares. The loans are due seven years from the loan date, except in the case of termination, public filing event, or disposition of common stock acquired via these notes in which case the loan becomes due sooner. The Notes carry interest rates of 2.89%, compounded annually. The balance of the Recourse Notes may be prepaid in whole or in part, at any time without penalty. Each loan is secured by the shares exercised by the loans, in addition to any and all other assets of the borrower. As of December 31, 2024, the loans were still outstanding. The terms of the loan require the loans to be repaid prior to termination or public offering.</w:t>
      </w:r>
    </w:p>
    <w:p>
      <w:pPr>
        <w:spacing w:after="0" w:line="14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June 2021, the Company granted and approved the purchase of option awards at a price of $2.80 per share to an executive, and in exchange, the executive entered into a full recourse promissory note for the amount of the exercise price of the restricted shares. The loan is due five years from the loan date, except in the case of termination, public filing event, or disposition of common stock acquired via these notes in which case the loan becomes due sooner. The Recourse Note bears interest of 1.00% per annum, compounded annually. The balance of the Note may be prepaid in whole or in part, at any time without penalty. Each loan is secured by the shares exercised by the loans, in addition to any and all other assets of the borrower. In November 2022, the executive partially repaid the promissory note, resulting in net proceeds to the Company of $62,000. In June 2023, the executive fully repaid the promissory note, resulting in net proceeds to the Company of $51,000.</w:t>
      </w:r>
    </w:p>
    <w:p>
      <w:pPr>
        <w:spacing w:after="0" w:line="146"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Recourse Notes issued were collateralized by the shares issued in exchange for the notes and were nonrecourse for accounting purposes as the Company did not intend nor has a history of demanding repayment of loan amounts in excess of the fair value of the shares. As such, for accounting purposes the exercised awards continue to be treated as unexercised awards and are not reflected as outstanding in the financial statements until the notes are repaid and the underlying awards have vested.</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Incremental stock-based compensation expense was not material.</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386"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components of the provision for income taxes for the year ended December 31, 2023 and 2024 are as follows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780" w:type="dxa"/>
            <w:vAlign w:val="bottom"/>
            <w:tcBorders>
              <w:bottom w:val="single" w:sz="8" w:color="E5E5E5"/>
            </w:tcBorders>
          </w:tcPr>
          <w:p>
            <w:pPr>
              <w:spacing w:after="0"/>
              <w:rPr>
                <w:sz w:val="11"/>
                <w:szCs w:val="11"/>
                <w:color w:val="auto"/>
              </w:rPr>
            </w:pPr>
          </w:p>
        </w:tc>
        <w:tc>
          <w:tcPr>
            <w:tcW w:w="24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E5E5E5"/>
            </w:tcBorders>
          </w:tcPr>
          <w:p>
            <w:pPr>
              <w:spacing w:after="0"/>
              <w:rPr>
                <w:sz w:val="11"/>
                <w:szCs w:val="11"/>
                <w:color w:val="auto"/>
              </w:rPr>
            </w:pPr>
          </w:p>
        </w:tc>
      </w:tr>
      <w:tr>
        <w:trPr>
          <w:trHeight w:val="148"/>
        </w:trPr>
        <w:tc>
          <w:tcPr>
            <w:tcW w:w="478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Current:</w:t>
            </w:r>
          </w:p>
        </w:tc>
        <w:tc>
          <w:tcPr>
            <w:tcW w:w="24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r>
      <w:tr>
        <w:trPr>
          <w:trHeight w:val="168"/>
        </w:trPr>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560" w:type="dxa"/>
            <w:vAlign w:val="bottom"/>
            <w:gridSpan w:val="2"/>
          </w:tcPr>
          <w:p>
            <w:pPr>
              <w:ind w:left="2420"/>
              <w:spacing w:after="0"/>
              <w:rPr>
                <w:sz w:val="20"/>
                <w:szCs w:val="20"/>
                <w:color w:val="auto"/>
              </w:rPr>
            </w:pPr>
            <w:r>
              <w:rPr>
                <w:rFonts w:ascii="Times New Roman" w:cs="Times New Roman" w:eastAsia="Times New Roman" w:hAnsi="Times New Roman"/>
                <w:sz w:val="14"/>
                <w:szCs w:val="14"/>
                <w:color w:val="auto"/>
              </w:rPr>
              <w:t xml:space="preserve">$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7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4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E5E5E5"/>
          </w:tcPr>
          <w:p>
            <w:pPr>
              <w:spacing w:after="0"/>
              <w:rPr>
                <w:sz w:val="14"/>
                <w:szCs w:val="14"/>
                <w:color w:val="auto"/>
              </w:rPr>
            </w:pPr>
          </w:p>
        </w:tc>
      </w:tr>
      <w:tr>
        <w:trPr>
          <w:trHeight w:val="169"/>
        </w:trPr>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8"/>
        </w:trPr>
        <w:tc>
          <w:tcPr>
            <w:tcW w:w="4780" w:type="dxa"/>
            <w:vAlign w:val="bottom"/>
            <w:shd w:val="clear" w:color="auto" w:fill="E5E5E5"/>
          </w:tcPr>
          <w:p>
            <w:pPr>
              <w:spacing w:after="0"/>
              <w:rPr>
                <w:sz w:val="14"/>
                <w:szCs w:val="14"/>
                <w:color w:val="auto"/>
              </w:rPr>
            </w:pPr>
          </w:p>
        </w:tc>
        <w:tc>
          <w:tcPr>
            <w:tcW w:w="24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E5E5E5"/>
          </w:tcPr>
          <w:p>
            <w:pPr>
              <w:spacing w:after="0"/>
              <w:rPr>
                <w:sz w:val="14"/>
                <w:szCs w:val="14"/>
                <w:color w:val="auto"/>
              </w:rPr>
            </w:pPr>
          </w:p>
        </w:tc>
      </w:tr>
      <w:tr>
        <w:trPr>
          <w:trHeight w:val="169"/>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47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4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r>
      <w:tr>
        <w:trPr>
          <w:trHeight w:val="168"/>
        </w:trPr>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8"/>
        </w:trPr>
        <w:tc>
          <w:tcPr>
            <w:tcW w:w="47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4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r>
      <w:tr>
        <w:trPr>
          <w:trHeight w:val="170"/>
        </w:trPr>
        <w:tc>
          <w:tcPr>
            <w:tcW w:w="4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8"/>
        </w:trPr>
        <w:tc>
          <w:tcPr>
            <w:tcW w:w="478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560" w:type="dxa"/>
            <w:vAlign w:val="bottom"/>
            <w:gridSpan w:val="2"/>
            <w:shd w:val="clear" w:color="auto" w:fill="E5E5E5"/>
          </w:tcPr>
          <w:p>
            <w:pPr>
              <w:ind w:left="24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gridSpan w:val="2"/>
            <w:shd w:val="clear" w:color="auto" w:fill="E5E5E5"/>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E5E5E5"/>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19"/>
        <w:spacing w:after="0" w:line="266"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as of December 31, 2023 and 2024 are as follows (in thousands):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140" w:type="dxa"/>
            <w:vAlign w:val="bottom"/>
            <w:tcBorders>
              <w:bottom w:val="single" w:sz="8" w:color="E5E5E5"/>
            </w:tcBorders>
          </w:tcPr>
          <w:p>
            <w:pPr>
              <w:spacing w:after="0"/>
              <w:rPr>
                <w:sz w:val="11"/>
                <w:szCs w:val="11"/>
                <w:color w:val="auto"/>
              </w:rPr>
            </w:pPr>
          </w:p>
        </w:tc>
        <w:tc>
          <w:tcPr>
            <w:tcW w:w="30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E5E5E5"/>
            </w:tcBorders>
          </w:tcPr>
          <w:p>
            <w:pPr>
              <w:spacing w:after="0"/>
              <w:rPr>
                <w:sz w:val="11"/>
                <w:szCs w:val="11"/>
                <w:color w:val="auto"/>
              </w:rPr>
            </w:pPr>
          </w:p>
        </w:tc>
        <w:tc>
          <w:tcPr>
            <w:tcW w:w="10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E5E5E5"/>
            </w:tcBorders>
          </w:tcPr>
          <w:p>
            <w:pPr>
              <w:spacing w:after="0"/>
              <w:rPr>
                <w:sz w:val="11"/>
                <w:szCs w:val="11"/>
                <w:color w:val="auto"/>
              </w:rPr>
            </w:pPr>
          </w:p>
        </w:tc>
      </w:tr>
      <w:tr>
        <w:trPr>
          <w:trHeight w:val="148"/>
        </w:trPr>
        <w:tc>
          <w:tcPr>
            <w:tcW w:w="314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Deferred tax assets:</w:t>
            </w:r>
          </w:p>
        </w:tc>
        <w:tc>
          <w:tcPr>
            <w:tcW w:w="30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r>
      <w:tr>
        <w:trPr>
          <w:trHeight w:val="168"/>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35,228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36,725</w:t>
            </w:r>
          </w:p>
        </w:tc>
      </w:tr>
      <w:tr>
        <w:trPr>
          <w:trHeight w:val="168"/>
        </w:trPr>
        <w:tc>
          <w:tcPr>
            <w:tcW w:w="31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Capitalized R&amp;D expenditure</w:t>
            </w:r>
          </w:p>
        </w:tc>
        <w:tc>
          <w:tcPr>
            <w:tcW w:w="30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20" w:type="dxa"/>
            <w:vAlign w:val="bottom"/>
            <w:shd w:val="clear" w:color="auto" w:fill="E5E5E5"/>
          </w:tcPr>
          <w:p>
            <w:pPr>
              <w:spacing w:after="0"/>
              <w:rPr>
                <w:sz w:val="14"/>
                <w:szCs w:val="14"/>
                <w:color w:val="auto"/>
              </w:rPr>
            </w:pPr>
          </w:p>
        </w:tc>
      </w:tr>
      <w:tr>
        <w:trPr>
          <w:trHeight w:val="168"/>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Accruals and reserves</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20" w:type="dxa"/>
            <w:vAlign w:val="bottom"/>
          </w:tcPr>
          <w:p>
            <w:pPr>
              <w:spacing w:after="0"/>
              <w:rPr>
                <w:sz w:val="14"/>
                <w:szCs w:val="14"/>
                <w:color w:val="auto"/>
              </w:rPr>
            </w:pPr>
          </w:p>
        </w:tc>
      </w:tr>
      <w:tr>
        <w:trPr>
          <w:trHeight w:val="168"/>
        </w:trPr>
        <w:tc>
          <w:tcPr>
            <w:tcW w:w="31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R&amp;D credits</w:t>
            </w:r>
          </w:p>
        </w:tc>
        <w:tc>
          <w:tcPr>
            <w:tcW w:w="30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20" w:type="dxa"/>
            <w:vAlign w:val="bottom"/>
            <w:shd w:val="clear" w:color="auto" w:fill="E5E5E5"/>
          </w:tcPr>
          <w:p>
            <w:pPr>
              <w:spacing w:after="0"/>
              <w:rPr>
                <w:sz w:val="14"/>
                <w:szCs w:val="14"/>
                <w:color w:val="auto"/>
              </w:rPr>
            </w:pPr>
          </w:p>
        </w:tc>
      </w:tr>
      <w:tr>
        <w:trPr>
          <w:trHeight w:val="168"/>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 Liability</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120" w:type="dxa"/>
            <w:vAlign w:val="bottom"/>
          </w:tcPr>
          <w:p>
            <w:pPr>
              <w:spacing w:after="0"/>
              <w:rPr>
                <w:sz w:val="14"/>
                <w:szCs w:val="14"/>
                <w:color w:val="auto"/>
              </w:rPr>
            </w:pPr>
          </w:p>
        </w:tc>
      </w:tr>
      <w:tr>
        <w:trPr>
          <w:trHeight w:val="168"/>
        </w:trPr>
        <w:tc>
          <w:tcPr>
            <w:tcW w:w="31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shd w:val="clear" w:color="auto" w:fill="E5E5E5"/>
          </w:tcPr>
          <w:p>
            <w:pPr>
              <w:spacing w:after="0"/>
              <w:rPr>
                <w:sz w:val="14"/>
                <w:szCs w:val="14"/>
                <w:color w:val="auto"/>
              </w:rPr>
            </w:pPr>
          </w:p>
        </w:tc>
      </w:tr>
      <w:tr>
        <w:trPr>
          <w:trHeight w:val="169"/>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r>
      <w:tr>
        <w:trPr>
          <w:trHeight w:val="168"/>
        </w:trPr>
        <w:tc>
          <w:tcPr>
            <w:tcW w:w="31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deferred tax asset</w:t>
            </w:r>
          </w:p>
        </w:tc>
        <w:tc>
          <w:tcPr>
            <w:tcW w:w="30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59,262</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120" w:type="dxa"/>
            <w:vAlign w:val="bottom"/>
            <w:shd w:val="clear" w:color="auto" w:fill="E5E5E5"/>
          </w:tcPr>
          <w:p>
            <w:pPr>
              <w:spacing w:after="0"/>
              <w:rPr>
                <w:sz w:val="14"/>
                <w:szCs w:val="14"/>
                <w:color w:val="auto"/>
              </w:rPr>
            </w:pPr>
          </w:p>
        </w:tc>
      </w:tr>
      <w:tr>
        <w:trPr>
          <w:trHeight w:val="169"/>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31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0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(320)</w:t>
            </w:r>
          </w:p>
        </w:tc>
      </w:tr>
      <w:tr>
        <w:trPr>
          <w:trHeight w:val="168"/>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 of Use Asset</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(12,304)</w:t>
            </w:r>
          </w:p>
        </w:tc>
      </w:tr>
      <w:tr>
        <w:trPr>
          <w:trHeight w:val="21"/>
        </w:trPr>
        <w:tc>
          <w:tcPr>
            <w:tcW w:w="3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31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30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(13,768)</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0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(12,624)</w:t>
            </w:r>
          </w:p>
        </w:tc>
      </w:tr>
      <w:tr>
        <w:trPr>
          <w:trHeight w:val="169"/>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(55,674)</w:t>
            </w:r>
          </w:p>
        </w:tc>
      </w:tr>
      <w:tr>
        <w:trPr>
          <w:trHeight w:val="168"/>
        </w:trPr>
        <w:tc>
          <w:tcPr>
            <w:tcW w:w="31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Net deferred tax assets</w:t>
            </w:r>
          </w:p>
        </w:tc>
        <w:tc>
          <w:tcPr>
            <w:tcW w:w="3020" w:type="dxa"/>
            <w:vAlign w:val="bottom"/>
            <w:shd w:val="clear" w:color="auto" w:fill="E5E5E5"/>
          </w:tcPr>
          <w:p>
            <w:pPr>
              <w:spacing w:after="0"/>
              <w:rPr>
                <w:sz w:val="14"/>
                <w:szCs w:val="14"/>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r>
      <w:tr>
        <w:trPr>
          <w:trHeight w:val="20"/>
        </w:trPr>
        <w:tc>
          <w:tcPr>
            <w:tcW w:w="3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5"/>
        </w:trPr>
        <w:tc>
          <w:tcPr>
            <w:tcW w:w="3140" w:type="dxa"/>
            <w:vAlign w:val="bottom"/>
          </w:tcPr>
          <w:p>
            <w:pPr>
              <w:spacing w:after="0"/>
              <w:rPr>
                <w:sz w:val="23"/>
                <w:szCs w:val="23"/>
                <w:color w:val="auto"/>
              </w:rPr>
            </w:pPr>
          </w:p>
        </w:tc>
        <w:tc>
          <w:tcPr>
            <w:tcW w:w="3160" w:type="dxa"/>
            <w:vAlign w:val="bottom"/>
            <w:gridSpan w:val="2"/>
          </w:tcPr>
          <w:p>
            <w:pPr>
              <w:jc w:val="right"/>
              <w:ind w:right="1810"/>
              <w:spacing w:after="0"/>
              <w:rPr>
                <w:sz w:val="20"/>
                <w:szCs w:val="20"/>
                <w:color w:val="auto"/>
              </w:rPr>
            </w:pPr>
            <w:r>
              <w:rPr>
                <w:rFonts w:ascii="Times New Roman" w:cs="Times New Roman" w:eastAsia="Times New Roman" w:hAnsi="Times New Roman"/>
                <w:sz w:val="14"/>
                <w:szCs w:val="14"/>
                <w:color w:val="auto"/>
              </w:rPr>
              <w:t>F-35</w:t>
            </w: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439"/>
        <w:spacing w:after="0" w:line="282" w:lineRule="auto"/>
        <w:rPr>
          <w:sz w:val="20"/>
          <w:szCs w:val="20"/>
          <w:color w:val="auto"/>
        </w:rPr>
      </w:pPr>
      <w:r>
        <w:rPr>
          <w:rFonts w:ascii="Times New Roman" w:cs="Times New Roman" w:eastAsia="Times New Roman" w:hAnsi="Times New Roman"/>
          <w:sz w:val="14"/>
          <w:szCs w:val="14"/>
          <w:color w:val="auto"/>
        </w:rPr>
        <w:t>The following table presents a reconciliation of the income tax expense computed at the statutory federal rate and the Company’s income tax expense for the periods presented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02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E5E5E5"/>
            </w:tcBorders>
          </w:tcPr>
          <w:p>
            <w:pPr>
              <w:spacing w:after="0"/>
              <w:rPr>
                <w:sz w:val="11"/>
                <w:szCs w:val="11"/>
                <w:color w:val="auto"/>
              </w:rPr>
            </w:pPr>
          </w:p>
        </w:tc>
        <w:tc>
          <w:tcPr>
            <w:tcW w:w="320" w:type="dxa"/>
            <w:vAlign w:val="bottom"/>
            <w:tcBorders>
              <w:bottom w:val="single" w:sz="8" w:color="E5E5E5"/>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E5E5E5"/>
            </w:tcBorders>
          </w:tcPr>
          <w:p>
            <w:pPr>
              <w:spacing w:after="0"/>
              <w:rPr>
                <w:sz w:val="11"/>
                <w:szCs w:val="11"/>
                <w:color w:val="auto"/>
              </w:rPr>
            </w:pPr>
          </w:p>
        </w:tc>
      </w:tr>
      <w:tr>
        <w:trPr>
          <w:trHeight w:val="158"/>
        </w:trPr>
        <w:tc>
          <w:tcPr>
            <w:tcW w:w="60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Tax at the federal statutory rate</w:t>
            </w:r>
          </w:p>
        </w:tc>
        <w:tc>
          <w:tcPr>
            <w:tcW w:w="20" w:type="dxa"/>
            <w:vAlign w:val="bottom"/>
            <w:shd w:val="clear" w:color="auto" w:fill="E5E5E5"/>
          </w:tcPr>
          <w:p>
            <w:pPr>
              <w:spacing w:after="0"/>
              <w:rPr>
                <w:sz w:val="13"/>
                <w:szCs w:val="13"/>
                <w:color w:val="auto"/>
              </w:rPr>
            </w:pPr>
          </w:p>
        </w:tc>
        <w:tc>
          <w:tcPr>
            <w:tcW w:w="160" w:type="dxa"/>
            <w:vAlign w:val="bottom"/>
            <w:shd w:val="clear" w:color="auto" w:fill="E5E5E5"/>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(17,250)</w:t>
            </w:r>
          </w:p>
        </w:tc>
        <w:tc>
          <w:tcPr>
            <w:tcW w:w="3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60" w:type="dxa"/>
            <w:vAlign w:val="bottom"/>
            <w:shd w:val="clear" w:color="auto" w:fill="E5E5E5"/>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(8,725)</w:t>
            </w:r>
          </w:p>
        </w:tc>
        <w:tc>
          <w:tcPr>
            <w:tcW w:w="100" w:type="dxa"/>
            <w:vAlign w:val="bottom"/>
            <w:shd w:val="clear" w:color="auto" w:fill="E5E5E5"/>
          </w:tcPr>
          <w:p>
            <w:pPr>
              <w:spacing w:after="0"/>
              <w:rPr>
                <w:sz w:val="13"/>
                <w:szCs w:val="13"/>
                <w:color w:val="auto"/>
              </w:rPr>
            </w:pPr>
          </w:p>
        </w:tc>
      </w:tr>
      <w:tr>
        <w:trPr>
          <w:trHeight w:val="16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Other nondeductible items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4"/>
                <w:szCs w:val="14"/>
                <w:color w:val="auto"/>
              </w:rPr>
            </w:pPr>
          </w:p>
        </w:tc>
      </w:tr>
      <w:tr>
        <w:trPr>
          <w:trHeight w:val="168"/>
        </w:trPr>
        <w:tc>
          <w:tcPr>
            <w:tcW w:w="60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3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E5E5E5"/>
          </w:tcPr>
          <w:p>
            <w:pPr>
              <w:spacing w:after="0"/>
              <w:rPr>
                <w:sz w:val="14"/>
                <w:szCs w:val="14"/>
                <w:color w:val="auto"/>
              </w:rPr>
            </w:pPr>
          </w:p>
        </w:tc>
      </w:tr>
      <w:tr>
        <w:trPr>
          <w:trHeight w:val="16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(796)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(994)</w:t>
            </w:r>
          </w:p>
        </w:tc>
      </w:tr>
      <w:tr>
        <w:trPr>
          <w:trHeight w:val="168"/>
        </w:trPr>
        <w:tc>
          <w:tcPr>
            <w:tcW w:w="60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0" w:type="dxa"/>
            <w:vAlign w:val="bottom"/>
            <w:shd w:val="clear" w:color="auto" w:fill="E5E5E5"/>
          </w:tcPr>
          <w:p>
            <w:pPr>
              <w:spacing w:after="0"/>
              <w:rPr>
                <w:sz w:val="14"/>
                <w:szCs w:val="14"/>
                <w:color w:val="auto"/>
              </w:rPr>
            </w:pPr>
          </w:p>
        </w:tc>
        <w:tc>
          <w:tcPr>
            <w:tcW w:w="160" w:type="dxa"/>
            <w:vAlign w:val="bottom"/>
            <w:shd w:val="clear" w:color="auto" w:fill="E5E5E5"/>
          </w:tcPr>
          <w:p>
            <w:pPr>
              <w:jc w:val="right"/>
              <w:ind w:right="8"/>
              <w:spacing w:after="0"/>
              <w:rPr>
                <w:sz w:val="20"/>
                <w:szCs w:val="20"/>
                <w:color w:val="auto"/>
              </w:rPr>
            </w:pPr>
            <w:r>
              <w:rPr>
                <w:rFonts w:ascii="Times New Roman" w:cs="Times New Roman" w:eastAsia="Times New Roman" w:hAnsi="Times New Roman"/>
                <w:sz w:val="10"/>
                <w:szCs w:val="10"/>
                <w:color w:val="auto"/>
                <w:w w:val="79"/>
              </w:rPr>
              <w:t> </w:t>
            </w:r>
          </w:p>
        </w:tc>
        <w:tc>
          <w:tcPr>
            <w:tcW w:w="1080" w:type="dxa"/>
            <w:vAlign w:val="bottom"/>
            <w:gridSpan w:val="2"/>
            <w:shd w:val="clear" w:color="auto" w:fill="E5E5E5"/>
          </w:tcPr>
          <w:p>
            <w:pPr>
              <w:jc w:val="right"/>
              <w:ind w:right="380"/>
              <w:spacing w:after="0"/>
              <w:rPr>
                <w:sz w:val="20"/>
                <w:szCs w:val="20"/>
                <w:color w:val="auto"/>
              </w:rPr>
            </w:pPr>
            <w:r>
              <w:rPr>
                <w:rFonts w:ascii="Times New Roman" w:cs="Times New Roman" w:eastAsia="Times New Roman" w:hAnsi="Times New Roman"/>
                <w:sz w:val="14"/>
                <w:szCs w:val="14"/>
                <w:color w:val="auto"/>
                <w:w w:val="97"/>
              </w:rPr>
              <w:t>      16,058</w:t>
            </w:r>
          </w:p>
        </w:tc>
        <w:tc>
          <w:tcPr>
            <w:tcW w:w="320" w:type="dxa"/>
            <w:vAlign w:val="bottom"/>
            <w:shd w:val="clear" w:color="auto" w:fill="E5E5E5"/>
          </w:tcPr>
          <w:p>
            <w:pPr>
              <w:spacing w:after="0"/>
              <w:rPr>
                <w:sz w:val="14"/>
                <w:szCs w:val="14"/>
                <w:color w:val="auto"/>
              </w:rPr>
            </w:pPr>
          </w:p>
        </w:tc>
        <w:tc>
          <w:tcPr>
            <w:tcW w:w="1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w w:val="99"/>
              </w:rPr>
              <w:t>      10,119</w:t>
            </w:r>
          </w:p>
        </w:tc>
      </w:tr>
      <w:tr>
        <w:trPr>
          <w:trHeight w:val="16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State taxes, net of federal benefits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(2,113)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(1,443)</w:t>
            </w:r>
          </w:p>
        </w:tc>
      </w:tr>
      <w:tr>
        <w:trPr>
          <w:trHeight w:val="168"/>
        </w:trPr>
        <w:tc>
          <w:tcPr>
            <w:tcW w:w="60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Debt extinguishment gain or loss</w:t>
            </w:r>
          </w:p>
        </w:tc>
        <w:tc>
          <w:tcPr>
            <w:tcW w:w="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(1,814)</w:t>
            </w:r>
          </w:p>
        </w:tc>
      </w:tr>
      <w:tr>
        <w:trPr>
          <w:trHeight w:val="16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4"/>
                <w:szCs w:val="14"/>
                <w:color w:val="auto"/>
              </w:rPr>
            </w:pPr>
          </w:p>
        </w:tc>
      </w:tr>
      <w:tr>
        <w:trPr>
          <w:trHeight w:val="168"/>
        </w:trPr>
        <w:tc>
          <w:tcPr>
            <w:tcW w:w="60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080" w:type="dxa"/>
            <w:vAlign w:val="bottom"/>
            <w:gridSpan w:val="2"/>
            <w:shd w:val="clear" w:color="auto" w:fill="E5E5E5"/>
          </w:tcPr>
          <w:p>
            <w:pPr>
              <w:jc w:val="right"/>
              <w:ind w:right="32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E5E5E5"/>
          </w:tcPr>
          <w:p>
            <w:pPr>
              <w:spacing w:after="0"/>
              <w:rPr>
                <w:sz w:val="14"/>
                <w:szCs w:val="14"/>
                <w:color w:val="auto"/>
              </w:rPr>
            </w:pPr>
          </w:p>
        </w:tc>
      </w:tr>
      <w:tr>
        <w:trPr>
          <w:trHeight w:val="169"/>
        </w:trPr>
        <w:tc>
          <w:tcPr>
            <w:tcW w:w="6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Company’s actual tax expense differed from the statutory federal income tax expense using a tax rate of 21% for the years ended December 31, 2023 and 2024 primarily due to state income taxes, nondeductible expenses, research and development tax credits, change in fair value of term loan, and the change in valuation allowance.</w:t>
      </w:r>
    </w:p>
    <w:p>
      <w:pPr>
        <w:spacing w:after="0" w:line="136" w:lineRule="exact"/>
        <w:rPr>
          <w:sz w:val="20"/>
          <w:szCs w:val="20"/>
          <w:color w:val="auto"/>
        </w:rPr>
      </w:pPr>
    </w:p>
    <w:p>
      <w:pPr>
        <w:jc w:val="both"/>
        <w:ind w:left="1360" w:right="279"/>
        <w:spacing w:after="0" w:line="266" w:lineRule="auto"/>
        <w:rPr>
          <w:sz w:val="20"/>
          <w:szCs w:val="20"/>
          <w:color w:val="auto"/>
        </w:rPr>
      </w:pPr>
      <w:r>
        <w:rPr>
          <w:rFonts w:ascii="Times New Roman" w:cs="Times New Roman" w:eastAsia="Times New Roman" w:hAnsi="Times New Roman"/>
          <w:sz w:val="14"/>
          <w:szCs w:val="14"/>
          <w:color w:val="auto"/>
        </w:rPr>
        <w:t>As of December 31, 2023 and 2024, the Company had a net operating loss carryforwards of $148.7 million and $154.9 million for federal purposes, and $73.8 million and $78.6 million for state and city purposes, respectively. If not utilized, these carryforwards will begin to expire in 2036 for federal, and 2026 for state and city purposes.</w:t>
      </w:r>
    </w:p>
    <w:p>
      <w:pPr>
        <w:spacing w:after="0" w:line="136" w:lineRule="exact"/>
        <w:rPr>
          <w:sz w:val="20"/>
          <w:szCs w:val="20"/>
          <w:color w:val="auto"/>
        </w:rPr>
      </w:pPr>
    </w:p>
    <w:p>
      <w:pPr>
        <w:ind w:left="1360" w:right="359"/>
        <w:spacing w:after="0" w:line="282" w:lineRule="auto"/>
        <w:rPr>
          <w:sz w:val="20"/>
          <w:szCs w:val="20"/>
          <w:color w:val="auto"/>
        </w:rPr>
      </w:pPr>
      <w:r>
        <w:rPr>
          <w:rFonts w:ascii="Times New Roman" w:cs="Times New Roman" w:eastAsia="Times New Roman" w:hAnsi="Times New Roman"/>
          <w:sz w:val="14"/>
          <w:szCs w:val="14"/>
          <w:color w:val="auto"/>
        </w:rPr>
        <w:t>Federal net operating losses incurred in 2018 and in future years may be carried forward indefinitely, but the deductibility of such federal net operating losses is limited to 80% of U.S. federal taxable income. Some but not all states conform to the federal treatment of net operating losses.</w:t>
      </w:r>
    </w:p>
    <w:p>
      <w:pPr>
        <w:spacing w:after="0" w:line="12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As of December 31, 2023, the Company had research and development tax credit carryforwards for federal tax purposes of $2.6 million and state research and development tax credit carryforwards of $1.4 million. As of December 31, 2024, the Company had research and development tax credit carryforwards for federal tax purposes of $4.1 million and state research and development tax credit carryforwards of $2.1 million. The federal research and development tax credit carryforwards will expire at various dates beginning in the year 2041. The Company’s state research and development tax credit carryforwards do not expire.</w:t>
      </w:r>
    </w:p>
    <w:p>
      <w:pPr>
        <w:spacing w:after="0" w:line="142"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Utilization of the net operating loss (“NOL”) carryforwards and credits may be subject to a substantial annual limitation due to the ownership change limitations provided by the Internal Revenue Code of 1986, as amended, and similar state provisions. The annual limitation may result in the expiration of NOL carryforwards and credits before utilization. Current laws impose substantial restrictions on the utilization of NOL carryforwards and credits in the event of an “ownership change” within a three-year period as defined by the Internal Revenue Code Section 382 (“Section 382”). If there should be an ownership change, the Company’s ability to utilize its NOL carryforwards and credits could be limited. The Company has not performed a Section 382 analysis.</w:t>
      </w:r>
    </w:p>
    <w:p>
      <w:pPr>
        <w:spacing w:after="0" w:line="145" w:lineRule="exact"/>
        <w:rPr>
          <w:sz w:val="20"/>
          <w:szCs w:val="20"/>
          <w:color w:val="auto"/>
        </w:rPr>
      </w:pPr>
    </w:p>
    <w:p>
      <w:pPr>
        <w:jc w:val="both"/>
        <w:ind w:left="1360" w:right="359"/>
        <w:spacing w:after="0" w:line="261" w:lineRule="auto"/>
        <w:rPr>
          <w:sz w:val="20"/>
          <w:szCs w:val="20"/>
          <w:color w:val="auto"/>
        </w:rPr>
      </w:pPr>
      <w:r>
        <w:rPr>
          <w:rFonts w:ascii="Times New Roman" w:cs="Times New Roman" w:eastAsia="Times New Roman" w:hAnsi="Times New Roman"/>
          <w:sz w:val="14"/>
          <w:szCs w:val="14"/>
          <w:color w:val="auto"/>
        </w:rPr>
        <w:t>Based on the available objective evidence, management believes it is more likely than not that the net deferred tax assets of the Company will not be fully realizable for the years ended December 31, 2023 and 2024. Accordingly, the Company has established a full valuation allowance against its net deferred tax assets due to the uncertainty surrounding the realization of such assets. The valuation allowance increased by approximately $16.1 million and $10.1 million during the years ended December 31, 2023 and 2024, respectively.</w:t>
      </w:r>
    </w:p>
    <w:p>
      <w:pPr>
        <w:spacing w:after="0" w:line="139" w:lineRule="exact"/>
        <w:rPr>
          <w:sz w:val="20"/>
          <w:szCs w:val="20"/>
          <w:color w:val="auto"/>
        </w:rPr>
      </w:pPr>
    </w:p>
    <w:p>
      <w:pPr>
        <w:ind w:left="1360" w:right="459"/>
        <w:spacing w:after="0" w:line="282" w:lineRule="auto"/>
        <w:rPr>
          <w:sz w:val="20"/>
          <w:szCs w:val="20"/>
          <w:color w:val="auto"/>
        </w:rPr>
      </w:pPr>
      <w:r>
        <w:rPr>
          <w:rFonts w:ascii="Times New Roman" w:cs="Times New Roman" w:eastAsia="Times New Roman" w:hAnsi="Times New Roman"/>
          <w:sz w:val="14"/>
          <w:szCs w:val="14"/>
          <w:color w:val="auto"/>
        </w:rPr>
        <w:t>The Company records unrecognized tax benefits, where appropriate, for all uncertain income tax positions. The Company recorded unrecognized tax benefits for uncertain tax positions of $1.4 million and $2.2 million as of</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385"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December 31, 2023 and 2024, respectively, none of which would impact the effective tax rate if recognized, because the benefit would be offset by an increase in the valuation allowance.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the beginning and ending balance of total unrecognized tax benefits is as follows (in thousands):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E5E5E5"/>
            </w:tcBorders>
          </w:tcPr>
          <w:p>
            <w:pPr>
              <w:spacing w:after="0"/>
              <w:rPr>
                <w:sz w:val="11"/>
                <w:szCs w:val="11"/>
                <w:color w:val="auto"/>
              </w:rPr>
            </w:pPr>
          </w:p>
        </w:tc>
        <w:tc>
          <w:tcPr>
            <w:tcW w:w="100" w:type="dxa"/>
            <w:vAlign w:val="bottom"/>
            <w:tcBorders>
              <w:bottom w:val="single" w:sz="8" w:color="E5E5E5"/>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E5E5E5"/>
            </w:tcBorders>
          </w:tcPr>
          <w:p>
            <w:pPr>
              <w:spacing w:after="0"/>
              <w:rPr>
                <w:sz w:val="11"/>
                <w:szCs w:val="11"/>
                <w:color w:val="auto"/>
              </w:rPr>
            </w:pPr>
          </w:p>
        </w:tc>
      </w:tr>
      <w:tr>
        <w:trPr>
          <w:trHeight w:val="158"/>
        </w:trPr>
        <w:tc>
          <w:tcPr>
            <w:tcW w:w="68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Unrecognized tax benefits - beginning of period</w:t>
            </w:r>
          </w:p>
        </w:tc>
        <w:tc>
          <w:tcPr>
            <w:tcW w:w="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818</w:t>
            </w:r>
          </w:p>
        </w:tc>
        <w:tc>
          <w:tcPr>
            <w:tcW w:w="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1,410</w:t>
            </w:r>
          </w:p>
        </w:tc>
        <w:tc>
          <w:tcPr>
            <w:tcW w:w="60" w:type="dxa"/>
            <w:vAlign w:val="bottom"/>
            <w:shd w:val="clear" w:color="auto" w:fill="E5E5E5"/>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Increases related to current year’s tax positions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60" w:type="dxa"/>
            <w:vAlign w:val="bottom"/>
          </w:tcPr>
          <w:p>
            <w:pPr>
              <w:spacing w:after="0"/>
              <w:rPr>
                <w:sz w:val="14"/>
                <w:szCs w:val="14"/>
                <w:color w:val="auto"/>
              </w:rPr>
            </w:pPr>
          </w:p>
        </w:tc>
      </w:tr>
      <w:tr>
        <w:trPr>
          <w:trHeight w:val="168"/>
        </w:trPr>
        <w:tc>
          <w:tcPr>
            <w:tcW w:w="68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Decreases related to prior years’ tax positions</w:t>
            </w:r>
          </w:p>
        </w:tc>
        <w:tc>
          <w:tcPr>
            <w:tcW w:w="2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r>
      <w:tr>
        <w:trPr>
          <w:trHeight w:val="169"/>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Unrecognized tax benefits - end of period</w:t>
            </w: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   1,410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2,184</w:t>
            </w:r>
          </w:p>
        </w:tc>
        <w:tc>
          <w:tcPr>
            <w:tcW w:w="60" w:type="dxa"/>
            <w:vAlign w:val="bottom"/>
          </w:tcPr>
          <w:p>
            <w:pPr>
              <w:spacing w:after="0"/>
              <w:rPr>
                <w:sz w:val="14"/>
                <w:szCs w:val="14"/>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Company’s policy is to recognize interest and penalties accrued on any unrecognized tax benefits as a component of income tax expense. During the year ended December 31, 2023 and 2024, the Company recognized no interest and penalties associated with unrecognized tax benefits. There are no tax positions for which it is reasonably possible that the total amounts of unrecognized tax benefits will significantly increase or decrease within 12 months of the reporting date.</w:t>
      </w:r>
    </w:p>
    <w:p>
      <w:pPr>
        <w:spacing w:after="0" w:line="139"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Due to the net operating loss carryforwards, all years remain open for income tax examination by tax authorities in the United States, various states and foreign tax jurisdictions in which the Company files tax returns.</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Employee Benefit Plan</w:t>
      </w:r>
    </w:p>
    <w:p>
      <w:pPr>
        <w:spacing w:after="0" w:line="93" w:lineRule="exact"/>
        <w:rPr>
          <w:sz w:val="20"/>
          <w:szCs w:val="20"/>
          <w:color w:val="auto"/>
        </w:rPr>
      </w:pPr>
    </w:p>
    <w:p>
      <w:pPr>
        <w:jc w:val="both"/>
        <w:ind w:left="1360" w:right="379"/>
        <w:spacing w:after="0" w:line="266" w:lineRule="auto"/>
        <w:rPr>
          <w:sz w:val="20"/>
          <w:szCs w:val="20"/>
          <w:color w:val="auto"/>
        </w:rPr>
      </w:pPr>
      <w:r>
        <w:rPr>
          <w:rFonts w:ascii="Times New Roman" w:cs="Times New Roman" w:eastAsia="Times New Roman" w:hAnsi="Times New Roman"/>
          <w:sz w:val="14"/>
          <w:szCs w:val="14"/>
          <w:color w:val="auto"/>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year ended December 31, 2023 and 2024, the Company contributed $1.7 million and $2.4 million to this plan, respectively.</w:t>
      </w:r>
    </w:p>
    <w:p>
      <w:pPr>
        <w:spacing w:after="0" w:line="2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During the year ended December 31, 2023, the Company’s former CFO left the Company. Upon his departure, the Company’s Board of Directors approved the extension of the exercise period to ten years from the date of grant for all of his common stock options that were fully vested at the time of his departure. The impact on the financial statements resulting from the extension of the exercise term was not material. In February 2024, the Company also repurchased 26,750 shares of common stock that were held by the former CFO. Please refer to Note 11 for additional information on this transaction.</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There were no other material related party transactions during the year ended December 31, 2023 and 2024.</w:t>
      </w:r>
    </w:p>
    <w:p>
      <w:pPr>
        <w:spacing w:after="0" w:line="28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Net Loss Per Share Attributable to Shareholders</w:t>
      </w:r>
    </w:p>
    <w:p>
      <w:pPr>
        <w:spacing w:after="0" w:line="9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shareholders when shares meet the definition of participating securities. The two-class method determines net income (loss) per share of common stock and participating securities according to dividends declared or accumulated and participation rights in undistributed earnings. The two-class method requires net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385"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INC</w:t>
      </w:r>
      <w:r>
        <w:rPr>
          <w:rFonts w:ascii="Times New Roman" w:cs="Times New Roman" w:eastAsia="Times New Roman" w:hAnsi="Times New Roman"/>
          <w:sz w:val="14"/>
          <w:szCs w:val="14"/>
          <w:b w:val="1"/>
          <w:bCs w:val="1"/>
          <w:color w:val="auto"/>
        </w:rPr>
        <w: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81" w:lineRule="exact"/>
        <w:rPr>
          <w:sz w:val="20"/>
          <w:szCs w:val="20"/>
          <w:color w:val="auto"/>
        </w:rPr>
      </w:pPr>
    </w:p>
    <w:p>
      <w:pPr>
        <w:ind w:left="1360" w:right="319"/>
        <w:spacing w:after="0" w:line="266" w:lineRule="auto"/>
        <w:rPr>
          <w:sz w:val="20"/>
          <w:szCs w:val="20"/>
          <w:color w:val="auto"/>
        </w:rPr>
      </w:pPr>
      <w:r>
        <w:rPr>
          <w:rFonts w:ascii="Times New Roman" w:cs="Times New Roman" w:eastAsia="Times New Roman" w:hAnsi="Times New Roman"/>
          <w:sz w:val="14"/>
          <w:szCs w:val="14"/>
          <w:color w:val="auto"/>
        </w:rPr>
        <w:t>in preference to common stockholders,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attributable to common stockholders by the weighted-average number of shares of common stock outstanding during the period, less shares subject to repurchase. Diluted net loss per share is computed by including all potentially dilutive securities outstanding for the period using the treasury stock method or the if-converted method, as applicable. For periods in which the Company reports net losses, diluted net loss per common share is the same as basic net loss per common share as all potentially dilutive securities are anti-dilutive.</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dilutive net loss per share attributable to common stockholders for the years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2023 and 2024 (in thousands, except per share amounts):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420" w:type="dxa"/>
            <w:vAlign w:val="bottom"/>
            <w:tcBorders>
              <w:bottom w:val="single" w:sz="8" w:color="E5E5E5"/>
            </w:tcBorders>
          </w:tcPr>
          <w:p>
            <w:pPr>
              <w:spacing w:after="0"/>
              <w:rPr>
                <w:sz w:val="11"/>
                <w:szCs w:val="11"/>
                <w:color w:val="auto"/>
              </w:rPr>
            </w:pPr>
          </w:p>
        </w:tc>
        <w:tc>
          <w:tcPr>
            <w:tcW w:w="940" w:type="dxa"/>
            <w:vAlign w:val="bottom"/>
            <w:tcBorders>
              <w:bottom w:val="single" w:sz="8" w:color="E5E5E5"/>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E5E5E5"/>
            </w:tcBorders>
          </w:tcPr>
          <w:p>
            <w:pPr>
              <w:spacing w:after="0"/>
              <w:rPr>
                <w:sz w:val="11"/>
                <w:szCs w:val="11"/>
                <w:color w:val="auto"/>
              </w:rPr>
            </w:pPr>
          </w:p>
        </w:tc>
        <w:tc>
          <w:tcPr>
            <w:tcW w:w="260" w:type="dxa"/>
            <w:vAlign w:val="bottom"/>
            <w:tcBorders>
              <w:bottom w:val="single" w:sz="8" w:color="E5E5E5"/>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E5E5E5"/>
            </w:tcBorders>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Numerator:</w:t>
            </w: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(82,683)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(41,570)</w:t>
            </w:r>
          </w:p>
        </w:tc>
      </w:tr>
      <w:tr>
        <w:trPr>
          <w:trHeight w:val="168"/>
        </w:trPr>
        <w:tc>
          <w:tcPr>
            <w:tcW w:w="20" w:type="dxa"/>
            <w:vAlign w:val="bottom"/>
          </w:tcPr>
          <w:p>
            <w:pPr>
              <w:spacing w:after="0"/>
              <w:rPr>
                <w:sz w:val="14"/>
                <w:szCs w:val="14"/>
                <w:color w:val="auto"/>
              </w:rPr>
            </w:pPr>
          </w:p>
        </w:tc>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Denominator:</w:t>
            </w:r>
          </w:p>
        </w:tc>
        <w:tc>
          <w:tcPr>
            <w:tcW w:w="94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r>
      <w:tr>
        <w:trPr>
          <w:trHeight w:val="170"/>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shares used in calculating net loss per share, basic and diluted</w:t>
            </w:r>
          </w:p>
        </w:tc>
        <w:tc>
          <w:tcPr>
            <w:tcW w:w="9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      9,783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   10,080</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100" w:type="dxa"/>
            <w:vAlign w:val="bottom"/>
            <w:gridSpan w:val="2"/>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5E5E5"/>
          </w:tcPr>
          <w:p>
            <w:pPr>
              <w:jc w:val="right"/>
              <w:ind w:right="260"/>
              <w:spacing w:after="0"/>
              <w:rPr>
                <w:sz w:val="20"/>
                <w:szCs w:val="20"/>
                <w:color w:val="auto"/>
              </w:rPr>
            </w:pPr>
            <w:r>
              <w:rPr>
                <w:rFonts w:ascii="Times New Roman" w:cs="Times New Roman" w:eastAsia="Times New Roman" w:hAnsi="Times New Roman"/>
                <w:sz w:val="14"/>
                <w:szCs w:val="14"/>
                <w:color w:val="auto"/>
              </w:rPr>
              <w:t>(8.45)</w:t>
            </w:r>
          </w:p>
        </w:tc>
        <w:tc>
          <w:tcPr>
            <w:tcW w:w="420" w:type="dxa"/>
            <w:vAlign w:val="bottom"/>
            <w:gridSpan w:val="2"/>
            <w:shd w:val="clear" w:color="auto" w:fill="E5E5E5"/>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(4.12)</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79"/>
        <w:spacing w:after="0" w:line="282" w:lineRule="auto"/>
        <w:rPr>
          <w:sz w:val="20"/>
          <w:szCs w:val="20"/>
          <w:color w:val="auto"/>
        </w:rPr>
      </w:pPr>
      <w:r>
        <w:rPr>
          <w:rFonts w:ascii="Times New Roman" w:cs="Times New Roman" w:eastAsia="Times New Roman" w:hAnsi="Times New Roman"/>
          <w:sz w:val="14"/>
          <w:szCs w:val="14"/>
          <w:color w:val="auto"/>
        </w:rPr>
        <w:t>Since the Company was in a loss position for the period presented, basic net loss per share is the same as diluted net loss per share as the inclusion of all potential common shares outstanding would have been anti-dilutive.</w:t>
      </w:r>
    </w:p>
    <w:p>
      <w:pPr>
        <w:spacing w:after="0" w:line="209"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Potentially dilutive securities that were not included in the diluted per share calculations because they would be anti-dilutive were as follows for the years ended December 31, 2023 and 2024:</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420" w:type="dxa"/>
            <w:vAlign w:val="bottom"/>
            <w:tcBorders>
              <w:bottom w:val="single" w:sz="8" w:color="E5E5E5"/>
            </w:tcBorders>
          </w:tcPr>
          <w:p>
            <w:pPr>
              <w:spacing w:after="0"/>
              <w:rPr>
                <w:sz w:val="11"/>
                <w:szCs w:val="11"/>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E5E5E5"/>
            </w:tcBorders>
          </w:tcPr>
          <w:p>
            <w:pPr>
              <w:spacing w:after="0"/>
              <w:rPr>
                <w:sz w:val="11"/>
                <w:szCs w:val="11"/>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E5E5E5"/>
            </w:tcBorders>
          </w:tcPr>
          <w:p>
            <w:pPr>
              <w:spacing w:after="0"/>
              <w:rPr>
                <w:sz w:val="11"/>
                <w:szCs w:val="11"/>
                <w:color w:val="auto"/>
              </w:rPr>
            </w:pPr>
          </w:p>
        </w:tc>
      </w:tr>
      <w:tr>
        <w:trPr>
          <w:trHeight w:val="158"/>
        </w:trPr>
        <w:tc>
          <w:tcPr>
            <w:tcW w:w="64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9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22,701,179</w:t>
            </w:r>
          </w:p>
        </w:tc>
        <w:tc>
          <w:tcPr>
            <w:tcW w:w="120" w:type="dxa"/>
            <w:vAlign w:val="bottom"/>
            <w:shd w:val="clear" w:color="auto" w:fill="E5E5E5"/>
          </w:tcPr>
          <w:p>
            <w:pPr>
              <w:spacing w:after="0"/>
              <w:rPr>
                <w:sz w:val="13"/>
                <w:szCs w:val="13"/>
                <w:color w:val="auto"/>
              </w:rPr>
            </w:pPr>
          </w:p>
        </w:tc>
        <w:tc>
          <w:tcPr>
            <w:tcW w:w="10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29,084,235</w:t>
            </w:r>
          </w:p>
        </w:tc>
        <w:tc>
          <w:tcPr>
            <w:tcW w:w="60" w:type="dxa"/>
            <w:vAlign w:val="bottom"/>
            <w:shd w:val="clear" w:color="auto" w:fill="E5E5E5"/>
          </w:tcPr>
          <w:p>
            <w:pPr>
              <w:spacing w:after="0"/>
              <w:rPr>
                <w:sz w:val="13"/>
                <w:szCs w:val="13"/>
                <w:color w:val="auto"/>
              </w:rPr>
            </w:pPr>
          </w:p>
        </w:tc>
      </w:tr>
      <w:tr>
        <w:trPr>
          <w:trHeight w:val="16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6,193,236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6,849,412</w:t>
            </w:r>
          </w:p>
        </w:tc>
        <w:tc>
          <w:tcPr>
            <w:tcW w:w="60" w:type="dxa"/>
            <w:vAlign w:val="bottom"/>
          </w:tcPr>
          <w:p>
            <w:pPr>
              <w:spacing w:after="0"/>
              <w:rPr>
                <w:sz w:val="14"/>
                <w:szCs w:val="14"/>
                <w:color w:val="auto"/>
              </w:rPr>
            </w:pPr>
          </w:p>
        </w:tc>
      </w:tr>
      <w:tr>
        <w:trPr>
          <w:trHeight w:val="168"/>
        </w:trPr>
        <w:tc>
          <w:tcPr>
            <w:tcW w:w="6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Restricted stock awards in exchange for non recourse note</w:t>
            </w: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60" w:type="dxa"/>
            <w:vAlign w:val="bottom"/>
            <w:shd w:val="clear" w:color="auto" w:fill="E5E5E5"/>
          </w:tcPr>
          <w:p>
            <w:pPr>
              <w:spacing w:after="0"/>
              <w:rPr>
                <w:sz w:val="14"/>
                <w:szCs w:val="14"/>
                <w:color w:val="auto"/>
              </w:rPr>
            </w:pPr>
          </w:p>
        </w:tc>
      </w:tr>
      <w:tr>
        <w:trPr>
          <w:trHeight w:val="16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121,566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121,566</w:t>
            </w:r>
          </w:p>
        </w:tc>
        <w:tc>
          <w:tcPr>
            <w:tcW w:w="60" w:type="dxa"/>
            <w:vAlign w:val="bottom"/>
          </w:tcPr>
          <w:p>
            <w:pPr>
              <w:spacing w:after="0"/>
              <w:rPr>
                <w:sz w:val="14"/>
                <w:szCs w:val="14"/>
                <w:color w:val="auto"/>
              </w:rPr>
            </w:pPr>
          </w:p>
        </w:tc>
      </w:tr>
      <w:tr>
        <w:trPr>
          <w:trHeight w:val="168"/>
        </w:trPr>
        <w:tc>
          <w:tcPr>
            <w:tcW w:w="6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Warrants to purchase redeemable convertible preferred stock</w:t>
            </w: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12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60" w:type="dxa"/>
            <w:vAlign w:val="bottom"/>
            <w:shd w:val="clear" w:color="auto" w:fill="E5E5E5"/>
          </w:tcPr>
          <w:p>
            <w:pPr>
              <w:spacing w:after="0"/>
              <w:rPr>
                <w:sz w:val="14"/>
                <w:szCs w:val="14"/>
                <w:color w:val="auto"/>
              </w:rPr>
            </w:pPr>
          </w:p>
        </w:tc>
      </w:tr>
    </w:tbl>
    <w:p>
      <w:pPr>
        <w:spacing w:after="0" w:line="26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3" w:lineRule="exact"/>
        <w:rPr>
          <w:sz w:val="20"/>
          <w:szCs w:val="20"/>
          <w:color w:val="auto"/>
        </w:rPr>
      </w:pPr>
    </w:p>
    <w:p>
      <w:pPr>
        <w:ind w:left="1360" w:right="519"/>
        <w:spacing w:after="0" w:line="266" w:lineRule="auto"/>
        <w:rPr>
          <w:sz w:val="20"/>
          <w:szCs w:val="20"/>
          <w:color w:val="auto"/>
        </w:rPr>
      </w:pPr>
      <w:r>
        <w:rPr>
          <w:rFonts w:ascii="Times New Roman" w:cs="Times New Roman" w:eastAsia="Times New Roman" w:hAnsi="Times New Roman"/>
          <w:sz w:val="14"/>
          <w:szCs w:val="14"/>
          <w:color w:val="auto"/>
        </w:rPr>
        <w:t>Management evaluates events occurring subsequent to the date of the financial statements in determining the accounting for and disclosure of transactions and events that affect the financial statements. Subsequent events have been evaluated through June 20, 2025, which is the date that the financial statements were available to be issued.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385"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Balance Sheets (unaudited)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E5E5E5"/>
            </w:tcBorders>
          </w:tcPr>
          <w:p>
            <w:pPr>
              <w:spacing w:after="0"/>
              <w:rPr>
                <w:sz w:val="11"/>
                <w:szCs w:val="11"/>
                <w:color w:val="auto"/>
              </w:rPr>
            </w:pPr>
          </w:p>
        </w:tc>
        <w:tc>
          <w:tcPr>
            <w:tcW w:w="14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E5E5E5"/>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191,477</w:t>
            </w:r>
          </w:p>
        </w:tc>
        <w:tc>
          <w:tcPr>
            <w:tcW w:w="200" w:type="dxa"/>
            <w:vAlign w:val="bottom"/>
            <w:shd w:val="clear" w:color="auto" w:fill="E5E5E5"/>
          </w:tcPr>
          <w:p>
            <w:pPr>
              <w:spacing w:after="0"/>
              <w:rPr>
                <w:sz w:val="14"/>
                <w:szCs w:val="14"/>
                <w:color w:val="auto"/>
              </w:rPr>
            </w:pPr>
          </w:p>
        </w:tc>
        <w:tc>
          <w:tcPr>
            <w:tcW w:w="280" w:type="dxa"/>
            <w:vAlign w:val="bottom"/>
            <w:gridSpan w:val="2"/>
            <w:shd w:val="clear" w:color="auto" w:fill="E5E5E5"/>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188,958</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8,733</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13,735</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227,817</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236,153</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51,739</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49,284</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302,059</w:t>
            </w:r>
          </w:p>
        </w:tc>
        <w:tc>
          <w:tcPr>
            <w:tcW w:w="200" w:type="dxa"/>
            <w:vAlign w:val="bottom"/>
            <w:shd w:val="clear" w:color="auto" w:fill="E5E5E5"/>
          </w:tcPr>
          <w:p>
            <w:pPr>
              <w:spacing w:after="0"/>
              <w:rPr>
                <w:sz w:val="14"/>
                <w:szCs w:val="14"/>
                <w:color w:val="auto"/>
              </w:rPr>
            </w:pPr>
          </w:p>
        </w:tc>
        <w:tc>
          <w:tcPr>
            <w:tcW w:w="280" w:type="dxa"/>
            <w:vAlign w:val="bottom"/>
            <w:gridSpan w:val="2"/>
            <w:shd w:val="clear" w:color="auto" w:fill="E5E5E5"/>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312,633</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200" w:type="dxa"/>
            <w:vAlign w:val="bottom"/>
          </w:tcPr>
          <w:p>
            <w:pPr>
              <w:spacing w:after="0"/>
              <w:rPr>
                <w:sz w:val="14"/>
                <w:szCs w:val="14"/>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commissions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lease liabilities, current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28,386</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39,874</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Financing lease liabilities, non-current</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Redeemable convertible preferred stock, $0.00001 par value; 29,544,989 shares authorized as of December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 and June 30, 2025; 29,084,235 shares issued and outstanding as of December 31, 2024 and June 30, 2025;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aggregate liquidation preference of $422,458 as of December 31, 2024 and June 30,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419,409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419,409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20" w:type="dxa"/>
            <w:vAlign w:val="bottom"/>
            <w:shd w:val="clear" w:color="auto" w:fill="E5E5E5"/>
          </w:tcPr>
          <w:p>
            <w:pPr>
              <w:spacing w:after="0"/>
              <w:rPr>
                <w:sz w:val="14"/>
                <w:szCs w:val="14"/>
                <w:color w:val="auto"/>
              </w:rPr>
            </w:pPr>
          </w:p>
        </w:tc>
        <w:tc>
          <w:tcPr>
            <w:tcW w:w="140" w:type="dxa"/>
            <w:vAlign w:val="bottom"/>
            <w:tcBorders>
              <w:top w:val="single" w:sz="8" w:color="auto"/>
            </w:tcBorders>
            <w:shd w:val="clear" w:color="auto" w:fill="E5E5E5"/>
          </w:tcPr>
          <w:p>
            <w:pPr>
              <w:spacing w:after="0"/>
              <w:rPr>
                <w:sz w:val="14"/>
                <w:szCs w:val="14"/>
                <w:color w:val="auto"/>
              </w:rPr>
            </w:pPr>
          </w:p>
        </w:tc>
        <w:tc>
          <w:tcPr>
            <w:tcW w:w="580" w:type="dxa"/>
            <w:vAlign w:val="bottom"/>
            <w:tcBorders>
              <w:top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tcBorders>
              <w:top w:val="single" w:sz="8" w:color="auto"/>
            </w:tcBorders>
            <w:shd w:val="clear" w:color="auto" w:fill="E5E5E5"/>
          </w:tcPr>
          <w:p>
            <w:pPr>
              <w:spacing w:after="0"/>
              <w:rPr>
                <w:sz w:val="14"/>
                <w:szCs w:val="14"/>
                <w:color w:val="auto"/>
              </w:rPr>
            </w:pPr>
          </w:p>
        </w:tc>
        <w:tc>
          <w:tcPr>
            <w:tcW w:w="600" w:type="dxa"/>
            <w:vAlign w:val="bottom"/>
            <w:tcBorders>
              <w:top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4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Common stock, $0.00001 par value, 51,100,000 shares authorized as of December 31, 2024 and June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2025; 10,925,950 and 11,085,044 shares issued and outstanding as of December 31, 2024 and 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2025, respectively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30,545</w:t>
            </w:r>
          </w:p>
        </w:tc>
        <w:tc>
          <w:tcPr>
            <w:tcW w:w="2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36,182</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(282,201)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8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4"/>
                <w:szCs w:val="14"/>
                <w:color w:val="auto"/>
              </w:rPr>
              <w:t>(251,656)</w:t>
            </w: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(250,253)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deficit</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302,059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385"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Operations and Comprehensive Loss (unaudited)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77"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1"/>
          <w:szCs w:val="11"/>
          <w:b w:val="1"/>
          <w:bCs w:val="1"/>
          <w:color w:val="auto"/>
        </w:rPr>
        <w:t>Six Months Ended</w:t>
      </w:r>
    </w:p>
    <w:p>
      <w:pPr>
        <w:jc w:val="center"/>
        <w:ind w:left="6400"/>
        <w:spacing w:after="0" w:line="234" w:lineRule="auto"/>
        <w:rPr>
          <w:sz w:val="20"/>
          <w:szCs w:val="20"/>
          <w:color w:val="auto"/>
        </w:rPr>
      </w:pPr>
      <w:r>
        <w:rPr>
          <w:rFonts w:ascii="Times New Roman" w:cs="Times New Roman" w:eastAsia="Times New Roman" w:hAnsi="Times New Roman"/>
          <w:sz w:val="11"/>
          <w:szCs w:val="11"/>
          <w:b w:val="1"/>
          <w:bCs w:val="1"/>
          <w:color w:val="auto"/>
        </w:rPr>
        <w:t>June 30,</w:t>
      </w:r>
    </w:p>
    <w:tbl>
      <w:tblPr>
        <w:tblLayout w:type="fixed"/>
        <w:tblInd w:w="136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5000" w:type="dxa"/>
            <w:vAlign w:val="bottom"/>
            <w:tcBorders>
              <w:bottom w:val="single" w:sz="8" w:color="E5E5E5"/>
            </w:tcBorders>
          </w:tcPr>
          <w:p>
            <w:pPr>
              <w:spacing w:after="0"/>
              <w:rPr>
                <w:sz w:val="9"/>
                <w:szCs w:val="9"/>
                <w:color w:val="auto"/>
              </w:rPr>
            </w:pPr>
          </w:p>
        </w:tc>
        <w:tc>
          <w:tcPr>
            <w:tcW w:w="1500" w:type="dxa"/>
            <w:vAlign w:val="bottom"/>
            <w:tcBorders>
              <w:bottom w:val="single" w:sz="8" w:color="E5E5E5"/>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91"/>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top w:val="single" w:sz="8" w:color="auto"/>
              <w:bottom w:val="single" w:sz="8" w:color="E5E5E5"/>
            </w:tcBorders>
          </w:tcPr>
          <w:p>
            <w:pPr>
              <w:spacing w:after="0"/>
              <w:rPr>
                <w:sz w:val="9"/>
                <w:szCs w:val="9"/>
                <w:color w:val="auto"/>
              </w:rPr>
            </w:pPr>
          </w:p>
        </w:tc>
        <w:tc>
          <w:tcPr>
            <w:tcW w:w="220" w:type="dxa"/>
            <w:vAlign w:val="bottom"/>
            <w:tcBorders>
              <w:top w:val="single" w:sz="8" w:color="auto"/>
              <w:bottom w:val="single" w:sz="8" w:color="E5E5E5"/>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91"/>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500" w:type="dxa"/>
            <w:vAlign w:val="bottom"/>
            <w:shd w:val="clear" w:color="auto" w:fill="E5E5E5"/>
          </w:tcPr>
          <w:p>
            <w:pPr>
              <w:spacing w:after="0"/>
              <w:rPr>
                <w:sz w:val="13"/>
                <w:szCs w:val="13"/>
                <w:color w:val="auto"/>
              </w:rPr>
            </w:pPr>
          </w:p>
        </w:tc>
        <w:tc>
          <w:tcPr>
            <w:tcW w:w="240" w:type="dxa"/>
            <w:vAlign w:val="bottom"/>
            <w:shd w:val="clear" w:color="auto" w:fill="E5E5E5"/>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69,086</w:t>
            </w:r>
          </w:p>
        </w:tc>
        <w:tc>
          <w:tcPr>
            <w:tcW w:w="26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260" w:type="dxa"/>
            <w:vAlign w:val="bottom"/>
            <w:shd w:val="clear" w:color="auto" w:fill="E5E5E5"/>
          </w:tcPr>
          <w:p>
            <w:pPr>
              <w:jc w:val="right"/>
              <w:ind w:right="139"/>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125,536</w:t>
            </w: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Gross profit</w:t>
            </w:r>
          </w:p>
        </w:tc>
        <w:tc>
          <w:tcPr>
            <w:tcW w:w="1500" w:type="dxa"/>
            <w:vAlign w:val="bottom"/>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34,981</w:t>
            </w: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81,438</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16,050</w:t>
            </w: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22,181</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41,751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00" w:type="dxa"/>
            <w:vAlign w:val="bottom"/>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57,801</w:t>
            </w: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85,380</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Loss from operations</w:t>
            </w: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4"/>
                <w:szCs w:val="14"/>
                <w:color w:val="auto"/>
              </w:rPr>
              <w:t>(1,917)</w:t>
            </w: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5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gain on extinguishment of debt</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5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5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15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4"/>
                <w:szCs w:val="14"/>
                <w:color w:val="auto"/>
              </w:rPr>
              <w:t>(15,184)</w:t>
            </w:r>
          </w:p>
        </w:tc>
        <w:tc>
          <w:tcPr>
            <w:tcW w:w="2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5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(4,120)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740" w:type="dxa"/>
            <w:vAlign w:val="bottom"/>
            <w:gridSpan w:val="2"/>
            <w:shd w:val="clear" w:color="auto" w:fill="E5E5E5"/>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4"/>
                <w:szCs w:val="14"/>
                <w:color w:val="auto"/>
              </w:rPr>
              <w:t>(15,189)</w:t>
            </w:r>
          </w:p>
        </w:tc>
        <w:tc>
          <w:tcPr>
            <w:tcW w:w="480" w:type="dxa"/>
            <w:vAlign w:val="bottom"/>
            <w:gridSpan w:val="2"/>
            <w:shd w:val="clear" w:color="auto" w:fill="E5E5E5"/>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 per share:</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2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4"/>
                <w:szCs w:val="14"/>
                <w:color w:val="auto"/>
              </w:rPr>
              <w:t>Basic and diluted</w:t>
            </w:r>
          </w:p>
        </w:tc>
        <w:tc>
          <w:tcPr>
            <w:tcW w:w="1740" w:type="dxa"/>
            <w:vAlign w:val="bottom"/>
            <w:gridSpan w:val="2"/>
            <w:shd w:val="clear" w:color="auto" w:fill="E5E5E5"/>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4"/>
                <w:szCs w:val="14"/>
                <w:color w:val="auto"/>
              </w:rPr>
              <w:t>(1.52)</w:t>
            </w:r>
          </w:p>
        </w:tc>
        <w:tc>
          <w:tcPr>
            <w:tcW w:w="480" w:type="dxa"/>
            <w:vAlign w:val="bottom"/>
            <w:gridSpan w:val="2"/>
            <w:shd w:val="clear" w:color="auto" w:fill="E5E5E5"/>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calculating net loss per share:</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2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4"/>
                <w:szCs w:val="14"/>
                <w:color w:val="auto"/>
              </w:rPr>
              <w:t>Basic and diluted</w:t>
            </w:r>
          </w:p>
        </w:tc>
        <w:tc>
          <w:tcPr>
            <w:tcW w:w="1500" w:type="dxa"/>
            <w:vAlign w:val="bottom"/>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2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386"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Redeemable Convertible Preferred Stock and Stockholders’ Deficit (unaudited)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bottom w:val="single" w:sz="8" w:color="auto"/>
            </w:tcBorders>
            <w:gridSpan w:val="3"/>
          </w:tcPr>
          <w:p>
            <w:pPr>
              <w:jc w:val="center"/>
              <w:ind w:left="381"/>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6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4"/>
            <w:vMerge w:val="continue"/>
          </w:tcPr>
          <w:p>
            <w:pPr>
              <w:spacing w:after="0"/>
              <w:rPr>
                <w:sz w:val="10"/>
                <w:szCs w:val="10"/>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right"/>
              <w:ind w:right="221"/>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740" w:type="dxa"/>
            <w:vAlign w:val="bottom"/>
            <w:gridSpan w:val="2"/>
          </w:tcPr>
          <w:p>
            <w:pPr>
              <w:jc w:val="right"/>
              <w:ind w:right="117"/>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ind w:right="32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18"/>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158"/>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8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46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E5E5E5"/>
              <w:right w:val="single" w:sz="8" w:color="auto"/>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22,701,179</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249,527</w:t>
            </w:r>
          </w:p>
        </w:tc>
        <w:tc>
          <w:tcPr>
            <w:tcW w:w="200" w:type="dxa"/>
            <w:vAlign w:val="bottom"/>
            <w:tcBorders>
              <w:right w:val="single" w:sz="8" w:color="auto"/>
            </w:tcBorders>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10,572,061</w:t>
            </w:r>
          </w:p>
        </w:tc>
        <w:tc>
          <w:tcPr>
            <w:tcW w:w="8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10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(240,631)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(219,053)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80" w:type="dxa"/>
            <w:vAlign w:val="bottom"/>
            <w:shd w:val="clear" w:color="auto" w:fill="E5E5E5"/>
          </w:tcPr>
          <w:p>
            <w:pPr>
              <w:spacing w:after="0" w:line="147" w:lineRule="exact"/>
              <w:rPr>
                <w:sz w:val="20"/>
                <w:szCs w:val="20"/>
                <w:color w:val="auto"/>
              </w:rPr>
            </w:pPr>
            <w:r>
              <w:rPr>
                <w:rFonts w:ascii="Times New Roman" w:cs="Times New Roman" w:eastAsia="Times New Roman" w:hAnsi="Times New Roman"/>
                <w:sz w:val="13"/>
                <w:szCs w:val="13"/>
                <w:color w:val="auto"/>
              </w:rPr>
              <w:t>Issuance of Series C-1 redeemable convertible</w:t>
            </w:r>
          </w:p>
        </w:tc>
        <w:tc>
          <w:tcPr>
            <w:tcW w:w="60" w:type="dxa"/>
            <w:vAlign w:val="bottom"/>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460" w:type="dxa"/>
            <w:vAlign w:val="bottom"/>
            <w:tcBorders>
              <w:top w:val="single" w:sz="8" w:color="auto"/>
            </w:tcBorders>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rPr>
              <w:t>preferred stock upon conversion of Convertible</w:t>
            </w:r>
          </w:p>
        </w:tc>
        <w:tc>
          <w:tcPr>
            <w:tcW w:w="6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200" w:type="dxa"/>
            <w:vAlign w:val="bottom"/>
            <w:tcBorders>
              <w:right w:val="single" w:sz="8" w:color="auto"/>
            </w:tcBorders>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rPr>
              <w:t>Notes</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1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39,886</w:t>
            </w:r>
          </w:p>
        </w:tc>
        <w:tc>
          <w:tcPr>
            <w:tcW w:w="2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w w:val="97"/>
              </w:rPr>
              <w:t>Issuance of Series D redeemable convertible preferred</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net of issuance costs of $474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130,022</w:t>
            </w:r>
          </w:p>
        </w:tc>
        <w:tc>
          <w:tcPr>
            <w:tcW w:w="200" w:type="dxa"/>
            <w:vAlign w:val="bottom"/>
            <w:tcBorders>
              <w:right w:val="single" w:sz="8" w:color="auto"/>
            </w:tcBorders>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6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200" w:type="dxa"/>
            <w:vAlign w:val="bottom"/>
            <w:tcBorders>
              <w:right w:val="single" w:sz="8" w:color="auto"/>
            </w:tcBorders>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233,458</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3"/>
                <w:szCs w:val="13"/>
                <w:color w:val="auto"/>
              </w:rPr>
            </w:pPr>
          </w:p>
        </w:tc>
        <w:tc>
          <w:tcPr>
            <w:tcW w:w="940" w:type="dxa"/>
            <w:vAlign w:val="bottom"/>
            <w:gridSpan w:val="3"/>
            <w:shd w:val="clear" w:color="auto" w:fill="E5E5E5"/>
          </w:tcPr>
          <w:p>
            <w:pPr>
              <w:jc w:val="right"/>
              <w:ind w:right="60"/>
              <w:spacing w:after="0"/>
              <w:rPr>
                <w:sz w:val="20"/>
                <w:szCs w:val="20"/>
                <w:color w:val="auto"/>
              </w:rPr>
            </w:pPr>
            <w:r>
              <w:rPr>
                <w:rFonts w:ascii="Times New Roman" w:cs="Times New Roman" w:eastAsia="Times New Roman" w:hAnsi="Times New Roman"/>
                <w:sz w:val="13"/>
                <w:szCs w:val="13"/>
                <w:color w:val="auto"/>
              </w:rPr>
              <w:t>(26,750)</w:t>
            </w: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3"/>
                <w:szCs w:val="13"/>
                <w:color w:val="auto"/>
              </w:rPr>
              <w:t>(546)</w:t>
            </w: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3"/>
                <w:szCs w:val="13"/>
                <w:color w:val="auto"/>
              </w:rPr>
            </w:pPr>
          </w:p>
        </w:tc>
        <w:tc>
          <w:tcPr>
            <w:tcW w:w="8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60" w:type="dxa"/>
            <w:vAlign w:val="bottom"/>
            <w:gridSpan w:val="2"/>
            <w:shd w:val="clear" w:color="auto" w:fill="E5E5E5"/>
          </w:tcPr>
          <w:p>
            <w:pPr>
              <w:jc w:val="right"/>
              <w:ind w:right="18"/>
              <w:spacing w:after="0"/>
              <w:rPr>
                <w:sz w:val="20"/>
                <w:szCs w:val="20"/>
                <w:color w:val="auto"/>
              </w:rPr>
            </w:pPr>
            <w:r>
              <w:rPr>
                <w:rFonts w:ascii="Times New Roman" w:cs="Times New Roman" w:eastAsia="Times New Roman" w:hAnsi="Times New Roman"/>
                <w:sz w:val="13"/>
                <w:szCs w:val="13"/>
                <w:color w:val="auto"/>
              </w:rPr>
              <w:t>(15,189)</w:t>
            </w:r>
          </w:p>
        </w:tc>
        <w:tc>
          <w:tcPr>
            <w:tcW w:w="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(15,189)</w:t>
            </w:r>
          </w:p>
        </w:tc>
        <w:tc>
          <w:tcPr>
            <w:tcW w:w="0" w:type="dxa"/>
            <w:vAlign w:val="bottom"/>
          </w:tcPr>
          <w:p>
            <w:pPr>
              <w:spacing w:after="0"/>
              <w:rPr>
                <w:sz w:val="1"/>
                <w:szCs w:val="1"/>
                <w:color w:val="auto"/>
              </w:rPr>
            </w:pPr>
          </w:p>
        </w:tc>
      </w:tr>
      <w:tr>
        <w:trPr>
          <w:trHeight w:val="157"/>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29,084,235</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419,435</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10,778,769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25,578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(255,820</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(230,242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shd w:val="clear" w:color="auto" w:fill="E5E5E5"/>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2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29,084,235</w:t>
            </w:r>
          </w:p>
        </w:tc>
        <w:tc>
          <w:tcPr>
            <w:tcW w:w="380" w:type="dxa"/>
            <w:vAlign w:val="bottom"/>
            <w:gridSpan w:val="2"/>
            <w:shd w:val="clear" w:color="auto" w:fill="E5E5E5"/>
          </w:tcPr>
          <w:p>
            <w:pPr>
              <w:ind w:left="100"/>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419,409</w:t>
            </w:r>
          </w:p>
        </w:tc>
        <w:tc>
          <w:tcPr>
            <w:tcW w:w="200" w:type="dxa"/>
            <w:vAlign w:val="bottom"/>
            <w:tcBorders>
              <w:right w:val="single" w:sz="8" w:color="auto"/>
            </w:tcBorders>
            <w:shd w:val="clear" w:color="auto" w:fill="E5E5E5"/>
          </w:tcPr>
          <w:p>
            <w:pPr>
              <w:spacing w:after="0"/>
              <w:rPr>
                <w:sz w:val="12"/>
                <w:szCs w:val="12"/>
                <w:color w:val="auto"/>
              </w:rPr>
            </w:pPr>
          </w:p>
        </w:tc>
        <w:tc>
          <w:tcPr>
            <w:tcW w:w="86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10,925,950</w:t>
            </w:r>
          </w:p>
        </w:tc>
        <w:tc>
          <w:tcPr>
            <w:tcW w:w="80" w:type="dxa"/>
            <w:vAlign w:val="bottom"/>
            <w:shd w:val="clear" w:color="auto" w:fill="E5E5E5"/>
          </w:tcPr>
          <w:p>
            <w:pPr>
              <w:spacing w:after="0"/>
              <w:rPr>
                <w:sz w:val="12"/>
                <w:szCs w:val="12"/>
                <w:color w:val="auto"/>
              </w:rPr>
            </w:pPr>
          </w:p>
        </w:tc>
        <w:tc>
          <w:tcPr>
            <w:tcW w:w="240" w:type="dxa"/>
            <w:vAlign w:val="bottom"/>
            <w:gridSpan w:val="2"/>
            <w:shd w:val="clear" w:color="auto" w:fill="E5E5E5"/>
          </w:tcPr>
          <w:p>
            <w:pPr>
              <w:ind w:left="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30,545</w:t>
            </w:r>
          </w:p>
        </w:tc>
        <w:tc>
          <w:tcPr>
            <w:tcW w:w="100" w:type="dxa"/>
            <w:vAlign w:val="bottom"/>
            <w:shd w:val="clear" w:color="auto" w:fill="E5E5E5"/>
          </w:tcPr>
          <w:p>
            <w:pPr>
              <w:spacing w:after="0"/>
              <w:rPr>
                <w:sz w:val="12"/>
                <w:szCs w:val="12"/>
                <w:color w:val="auto"/>
              </w:rPr>
            </w:pPr>
          </w:p>
        </w:tc>
        <w:tc>
          <w:tcPr>
            <w:tcW w:w="14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E5E5"/>
          </w:tcPr>
          <w:p>
            <w:pPr>
              <w:jc w:val="right"/>
              <w:ind w:right="18"/>
              <w:spacing w:after="0" w:line="141" w:lineRule="exact"/>
              <w:rPr>
                <w:sz w:val="20"/>
                <w:szCs w:val="20"/>
                <w:color w:val="auto"/>
              </w:rPr>
            </w:pPr>
            <w:r>
              <w:rPr>
                <w:rFonts w:ascii="Times New Roman" w:cs="Times New Roman" w:eastAsia="Times New Roman" w:hAnsi="Times New Roman"/>
                <w:sz w:val="13"/>
                <w:szCs w:val="13"/>
                <w:color w:val="auto"/>
              </w:rPr>
              <w:t>(282,201)</w:t>
            </w:r>
          </w:p>
        </w:tc>
        <w:tc>
          <w:tcPr>
            <w:tcW w:w="16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spacing w:after="0" w:line="141" w:lineRule="exact"/>
              <w:rPr>
                <w:sz w:val="20"/>
                <w:szCs w:val="20"/>
                <w:color w:val="auto"/>
              </w:rPr>
            </w:pPr>
            <w:r>
              <w:rPr>
                <w:rFonts w:ascii="Times New Roman" w:cs="Times New Roman" w:eastAsia="Times New Roman" w:hAnsi="Times New Roman"/>
                <w:sz w:val="13"/>
                <w:szCs w:val="13"/>
                <w:color w:val="auto"/>
              </w:rPr>
              <w:t>(251,656)</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159,094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5,106</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5,106</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(4,234)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7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96"/>
              </w:rPr>
              <w:t>       29,084,235</w:t>
            </w:r>
          </w:p>
        </w:tc>
        <w:tc>
          <w:tcPr>
            <w:tcW w:w="38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99"/>
              </w:rPr>
              <w:t>419,409</w:t>
            </w:r>
          </w:p>
        </w:tc>
        <w:tc>
          <w:tcPr>
            <w:tcW w:w="200" w:type="dxa"/>
            <w:vAlign w:val="bottom"/>
            <w:tcBorders>
              <w:right w:val="single" w:sz="8" w:color="auto"/>
            </w:tcBorders>
            <w:shd w:val="clear" w:color="auto" w:fill="E5E5E5"/>
          </w:tcPr>
          <w:p>
            <w:pPr>
              <w:spacing w:after="0"/>
              <w:rPr>
                <w:sz w:val="13"/>
                <w:szCs w:val="13"/>
                <w:color w:val="auto"/>
              </w:rPr>
            </w:pPr>
          </w:p>
        </w:tc>
        <w:tc>
          <w:tcPr>
            <w:tcW w:w="940" w:type="dxa"/>
            <w:vAlign w:val="bottom"/>
            <w:gridSpan w:val="3"/>
            <w:shd w:val="clear" w:color="auto" w:fill="E5E5E5"/>
          </w:tcPr>
          <w:p>
            <w:pPr>
              <w:jc w:val="right"/>
              <w:ind w:right="100"/>
              <w:spacing w:after="0"/>
              <w:rPr>
                <w:sz w:val="20"/>
                <w:szCs w:val="20"/>
                <w:color w:val="auto"/>
              </w:rPr>
            </w:pPr>
            <w:r>
              <w:rPr>
                <w:rFonts w:ascii="Times New Roman" w:cs="Times New Roman" w:eastAsia="Times New Roman" w:hAnsi="Times New Roman"/>
                <w:sz w:val="13"/>
                <w:szCs w:val="13"/>
                <w:color w:val="auto"/>
              </w:rPr>
              <w:t>      11,085,044</w:t>
            </w:r>
          </w:p>
        </w:tc>
        <w:tc>
          <w:tcPr>
            <w:tcW w:w="240" w:type="dxa"/>
            <w:vAlign w:val="bottom"/>
            <w:gridSpan w:val="2"/>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w w:val="83"/>
              </w:rPr>
              <w:t>   -</w:t>
            </w:r>
          </w:p>
        </w:tc>
        <w:tc>
          <w:tcPr>
            <w:tcW w:w="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3"/>
                <w:szCs w:val="13"/>
                <w:color w:val="auto"/>
                <w:w w:val="94"/>
              </w:rPr>
              <w:t>     36,182</w:t>
            </w:r>
          </w:p>
        </w:tc>
        <w:tc>
          <w:tcPr>
            <w:tcW w:w="1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E5E5"/>
          </w:tcPr>
          <w:p>
            <w:pPr>
              <w:jc w:val="right"/>
              <w:ind w:right="18"/>
              <w:spacing w:after="0"/>
              <w:rPr>
                <w:sz w:val="20"/>
                <w:szCs w:val="20"/>
                <w:color w:val="auto"/>
              </w:rPr>
            </w:pPr>
            <w:r>
              <w:rPr>
                <w:rFonts w:ascii="Times New Roman" w:cs="Times New Roman" w:eastAsia="Times New Roman" w:hAnsi="Times New Roman"/>
                <w:sz w:val="13"/>
                <w:szCs w:val="13"/>
                <w:color w:val="auto"/>
                <w:w w:val="91"/>
              </w:rPr>
              <w:t>   (286,435)</w:t>
            </w:r>
          </w:p>
        </w:tc>
        <w:tc>
          <w:tcPr>
            <w:tcW w:w="1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 (250,253)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385"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Cash Flows (unaudited)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1"/>
          <w:szCs w:val="11"/>
          <w:b w:val="1"/>
          <w:bCs w:val="1"/>
          <w:color w:val="auto"/>
        </w:rPr>
        <w:t>Six Months Ended</w:t>
      </w:r>
    </w:p>
    <w:p>
      <w:pPr>
        <w:jc w:val="center"/>
        <w:ind w:left="6220"/>
        <w:spacing w:after="0" w:line="234" w:lineRule="auto"/>
        <w:rPr>
          <w:sz w:val="20"/>
          <w:szCs w:val="20"/>
          <w:color w:val="auto"/>
        </w:rPr>
      </w:pPr>
      <w:r>
        <w:rPr>
          <w:rFonts w:ascii="Times New Roman" w:cs="Times New Roman" w:eastAsia="Times New Roman" w:hAnsi="Times New Roman"/>
          <w:sz w:val="11"/>
          <w:szCs w:val="11"/>
          <w:b w:val="1"/>
          <w:bCs w:val="1"/>
          <w:color w:val="auto"/>
        </w:rPr>
        <w:t>June 30,</w:t>
      </w:r>
    </w:p>
    <w:tbl>
      <w:tblPr>
        <w:tblLayout w:type="fixed"/>
        <w:tblInd w:w="136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gridSpan w:val="2"/>
          </w:tcPr>
          <w:p>
            <w:pPr>
              <w:jc w:val="right"/>
              <w:ind w:right="2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29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(15,189)</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debt issuance costs and accretion of exit fees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redeemable convertible preferred stock warrant liability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Net gain on extinguishment of debt</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(8,635)</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(9,905)</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(5,729)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Inventories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 non-current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Accrued commissions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4"/>
                <w:szCs w:val="14"/>
                <w:color w:val="auto"/>
              </w:rPr>
              <w:t>Deferred revenue</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(23,167)</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       3,807</w:t>
            </w:r>
          </w:p>
        </w:tc>
        <w:tc>
          <w:tcPr>
            <w:tcW w:w="0" w:type="dxa"/>
            <w:vAlign w:val="bottom"/>
          </w:tcPr>
          <w:p>
            <w:pPr>
              <w:spacing w:after="0"/>
              <w:rPr>
                <w:sz w:val="1"/>
                <w:szCs w:val="1"/>
                <w:color w:val="auto"/>
              </w:rPr>
            </w:pPr>
          </w:p>
        </w:tc>
      </w:tr>
      <w:tr>
        <w:trPr>
          <w:trHeight w:val="169"/>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(5,221)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Repurchase of common stock outstanding</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Proceeds from exercise of stock options, net of repurchases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D redeemable convertible preferred stock, net of issuance costs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128,941</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46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30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97,268</w:t>
            </w:r>
          </w:p>
        </w:tc>
        <w:tc>
          <w:tcPr>
            <w:tcW w:w="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191,477</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188,958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color w:val="auto"/>
              </w:rPr>
              <w:t>F-42</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586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35"/>
        </w:trPr>
        <w:tc>
          <w:tcPr>
            <w:tcW w:w="6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6380" w:type="dxa"/>
            <w:vAlign w:val="bottom"/>
            <w:tcBorders>
              <w:bottom w:val="single" w:sz="8" w:color="E5E5E5"/>
            </w:tcBorders>
          </w:tcPr>
          <w:p>
            <w:pPr>
              <w:spacing w:after="0"/>
              <w:rPr>
                <w:sz w:val="9"/>
                <w:szCs w:val="9"/>
                <w:color w:val="auto"/>
              </w:rPr>
            </w:pPr>
          </w:p>
        </w:tc>
        <w:tc>
          <w:tcPr>
            <w:tcW w:w="380" w:type="dxa"/>
            <w:vAlign w:val="bottom"/>
            <w:tcBorders>
              <w:bottom w:val="single" w:sz="8" w:color="E5E5E5"/>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3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E5E5E5"/>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E5E5E5"/>
            </w:tcBorders>
          </w:tcPr>
          <w:p>
            <w:pPr>
              <w:spacing w:after="0"/>
              <w:rPr>
                <w:sz w:val="9"/>
                <w:szCs w:val="9"/>
                <w:color w:val="auto"/>
              </w:rPr>
            </w:pPr>
          </w:p>
        </w:tc>
      </w:tr>
      <w:tr>
        <w:trPr>
          <w:trHeight w:val="148"/>
        </w:trPr>
        <w:tc>
          <w:tcPr>
            <w:tcW w:w="638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3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r>
      <w:tr>
        <w:trPr>
          <w:trHeight w:val="168"/>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2,583</w:t>
            </w:r>
          </w:p>
        </w:tc>
      </w:tr>
      <w:tr>
        <w:trPr>
          <w:trHeight w:val="168"/>
        </w:trPr>
        <w:tc>
          <w:tcPr>
            <w:tcW w:w="6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8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60" w:type="dxa"/>
            <w:vAlign w:val="bottom"/>
            <w:shd w:val="clear" w:color="auto" w:fill="E5E5E5"/>
          </w:tcPr>
          <w:p>
            <w:pPr>
              <w:spacing w:after="0"/>
              <w:rPr>
                <w:sz w:val="14"/>
                <w:szCs w:val="14"/>
                <w:color w:val="auto"/>
              </w:rPr>
            </w:pPr>
          </w:p>
        </w:tc>
      </w:tr>
      <w:tr>
        <w:trPr>
          <w:trHeight w:val="168"/>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6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expenses and other current liabilities</w:t>
            </w:r>
          </w:p>
        </w:tc>
        <w:tc>
          <w:tcPr>
            <w:tcW w:w="48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0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60" w:type="dxa"/>
            <w:vAlign w:val="bottom"/>
            <w:shd w:val="clear" w:color="auto" w:fill="E5E5E5"/>
          </w:tcPr>
          <w:p>
            <w:pPr>
              <w:spacing w:after="0"/>
              <w:rPr>
                <w:sz w:val="14"/>
                <w:szCs w:val="14"/>
                <w:color w:val="auto"/>
              </w:rPr>
            </w:pPr>
          </w:p>
        </w:tc>
      </w:tr>
      <w:tr>
        <w:trPr>
          <w:trHeight w:val="168"/>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Series C-1 redeemable convertible preferred stock upon settlement of convertible notes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    39,886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8"/>
        </w:trPr>
        <w:tc>
          <w:tcPr>
            <w:tcW w:w="6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Deferred offering costs in accounts payable and accrued expenses and other current liabilities</w:t>
            </w:r>
          </w:p>
        </w:tc>
        <w:tc>
          <w:tcPr>
            <w:tcW w:w="48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60" w:type="dxa"/>
            <w:vAlign w:val="bottom"/>
            <w:shd w:val="clear" w:color="auto" w:fill="E5E5E5"/>
          </w:tcPr>
          <w:p>
            <w:pPr>
              <w:spacing w:after="0"/>
              <w:rPr>
                <w:sz w:val="14"/>
                <w:szCs w:val="14"/>
                <w:color w:val="auto"/>
              </w:rPr>
            </w:pPr>
          </w:p>
        </w:tc>
      </w:tr>
      <w:tr>
        <w:trPr>
          <w:trHeight w:val="168"/>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60" w:type="dxa"/>
            <w:vAlign w:val="bottom"/>
          </w:tcPr>
          <w:p>
            <w:pPr>
              <w:spacing w:after="0"/>
              <w:rPr>
                <w:sz w:val="14"/>
                <w:szCs w:val="14"/>
                <w:color w:val="auto"/>
              </w:rPr>
            </w:pPr>
          </w:p>
        </w:tc>
      </w:tr>
      <w:tr>
        <w:trPr>
          <w:trHeight w:val="168"/>
        </w:trPr>
        <w:tc>
          <w:tcPr>
            <w:tcW w:w="63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480" w:type="dxa"/>
            <w:vAlign w:val="bottom"/>
            <w:gridSpan w:val="2"/>
            <w:shd w:val="clear" w:color="auto" w:fill="E5E5E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spacing w:after="0"/>
              <w:rPr>
                <w:sz w:val="14"/>
                <w:szCs w:val="14"/>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30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5E5E5"/>
          </w:tcPr>
          <w:p>
            <w:pPr>
              <w:spacing w:after="0"/>
              <w:rPr>
                <w:sz w:val="14"/>
                <w:szCs w:val="14"/>
                <w:color w:val="auto"/>
              </w:rPr>
            </w:pPr>
          </w:p>
        </w:tc>
      </w:tr>
      <w:tr>
        <w:trPr>
          <w:trHeight w:val="183"/>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flows from financing leases (interest paid)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5"/>
                <w:szCs w:val="15"/>
                <w:color w:val="auto"/>
              </w:rPr>
            </w:pPr>
          </w:p>
        </w:tc>
      </w:tr>
    </w:tbl>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financial statements.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385"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3"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BillionToOne, Inc. (the “Company”, “we”, or “our”) was formed in 2016, and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the proprietary technology to non-invasive prenatal screening (“Prenatal”) and liquid biopsy (“Oncology”).</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accompanying financial statements have been prepared in conformity with accounting principles generally accepted in the United States of America (“U.S. GAAP”). Prior to April 2024, the financial statements also included the Company’s wholly owned subsidiary SeqIndia Labs Private Limited which had immaterial activities and was not material to these financial statements and was divested in April 2024. Accordingly, during the six months ended June 30, 2024, the financial statements were consolidated while in 2025 they were not. All intercompany transactions and balances have been eliminated upon consolidation.</w:t>
      </w:r>
    </w:p>
    <w:p>
      <w:pPr>
        <w:spacing w:after="0" w:line="142" w:lineRule="exact"/>
        <w:rPr>
          <w:sz w:val="20"/>
          <w:szCs w:val="20"/>
          <w:color w:val="auto"/>
        </w:rPr>
      </w:pPr>
    </w:p>
    <w:p>
      <w:pPr>
        <w:ind w:left="1360" w:right="579"/>
        <w:spacing w:after="0" w:line="266" w:lineRule="auto"/>
        <w:rPr>
          <w:sz w:val="20"/>
          <w:szCs w:val="20"/>
          <w:color w:val="auto"/>
        </w:rPr>
      </w:pPr>
      <w:r>
        <w:rPr>
          <w:rFonts w:ascii="Times New Roman" w:cs="Times New Roman" w:eastAsia="Times New Roman" w:hAnsi="Times New Roman"/>
          <w:sz w:val="14"/>
          <w:szCs w:val="14"/>
          <w:color w:val="auto"/>
        </w:rPr>
        <w:t>The Company’s significant accounting policies are discussed in “Note 2. Summary of Significant Accounting Policies” in the notes to the financial statements as of and for the year ended December 31, 2024. There have been no significant changes to these policies during the six months ended June 30,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financial information</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unaudited financial statements do not include all disclosures, including certain notes required by GAAP on an annual reporting basis. The unaudited interim financial statements have been prepared on the same basis as the annual financial statements. In management’s opinion, the unaudited financial statements reflect all normal recurring adjustments necessary to state fairly the balance sheets, statements of operations and comprehensive loss, of redeemable convertible preferred stock and stockholders’ deficit, and of cash flows for the interim periods, but are not necessarily indicative of the results of operations to be anticipated for the full fiscal year or any future period.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the fair value of common stock, stock-based compensation, deferred tax assets and liabilities, useful lives of long-lived assets, the incremental borrowing rate applied to operating and finance leases, determination of revenue recognition and accounts receivable, the valuation of warrants for common stock and warrants for redeemable convertible preferred stock, and valuation of debt and convertible notes. These estimates are inherently subject to judgment and actual results could differ from those estimates.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93" w:lineRule="exact"/>
        <w:rPr>
          <w:sz w:val="20"/>
          <w:szCs w:val="20"/>
          <w:color w:val="auto"/>
        </w:rPr>
      </w:pPr>
    </w:p>
    <w:p>
      <w:pPr>
        <w:ind w:left="1360" w:right="279"/>
        <w:spacing w:after="0" w:line="266" w:lineRule="auto"/>
        <w:rPr>
          <w:sz w:val="20"/>
          <w:szCs w:val="20"/>
          <w:color w:val="auto"/>
        </w:rPr>
      </w:pPr>
      <w:r>
        <w:rPr>
          <w:rFonts w:ascii="Times New Roman" w:cs="Times New Roman" w:eastAsia="Times New Roman" w:hAnsi="Times New Roman"/>
          <w:sz w:val="14"/>
          <w:szCs w:val="14"/>
          <w:color w:val="auto"/>
        </w:rPr>
        <w:t>Certain of the Company’s product candidates are in clinical development or in preclinical development. If the Company is unable to advance its product candidates through clinical development, obtain regulatory approval and ultimately commercialize its product candidates, or experiences significant delays in doing so, the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385"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Company’s business will be materially harmed. Even if the Company completes the necessary preclinical studies and clinical trials, the regulatory approval process is expensive, time-consuming and uncertain and may prevent the Company from obtaining clinical trial and marketing approvals for the commercialization of some or all of its product candidates. As a result, the Company cannot predict when, or if, and in which territories, it will obtain marketing approval to commercialize a product candidate.</w:t>
      </w:r>
    </w:p>
    <w:p>
      <w:pPr>
        <w:spacing w:after="0" w:line="139"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42"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1360" w:right="399"/>
        <w:spacing w:after="0" w:line="266" w:lineRule="auto"/>
        <w:rPr>
          <w:sz w:val="20"/>
          <w:szCs w:val="20"/>
          <w:color w:val="auto"/>
        </w:rPr>
      </w:pPr>
      <w:r>
        <w:rPr>
          <w:rFonts w:ascii="Times New Roman" w:cs="Times New Roman" w:eastAsia="Times New Roman" w:hAnsi="Times New Roman"/>
          <w:sz w:val="14"/>
          <w:szCs w:val="14"/>
          <w:color w:val="auto"/>
        </w:rPr>
        <w:t>The Company recognizes revenue upon transfer of control of promised goods and services in an amount that reflects the consideration it expects to be entitled to receive in exchange for those goods and services. Under ASC 606—Revenue from Contracts with Customers (ASC 606), the Company applies the following five-step approach:</w:t>
      </w:r>
    </w:p>
    <w:p>
      <w:pPr>
        <w:spacing w:after="0" w:line="63" w:lineRule="exact"/>
        <w:rPr>
          <w:sz w:val="20"/>
          <w:szCs w:val="20"/>
          <w:color w:val="auto"/>
        </w:rPr>
      </w:pPr>
    </w:p>
    <w:p>
      <w:pPr>
        <w:ind w:left="1700" w:hanging="253"/>
        <w:spacing w:after="0"/>
        <w:tabs>
          <w:tab w:leader="none" w:pos="17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101" w:lineRule="exact"/>
        <w:rPr>
          <w:rFonts w:ascii="Times New Roman" w:cs="Times New Roman" w:eastAsia="Times New Roman" w:hAnsi="Times New Roman"/>
          <w:sz w:val="14"/>
          <w:szCs w:val="14"/>
          <w:color w:val="auto"/>
        </w:rPr>
      </w:pPr>
    </w:p>
    <w:p>
      <w:pPr>
        <w:ind w:left="1700" w:hanging="253"/>
        <w:spacing w:after="0"/>
        <w:tabs>
          <w:tab w:leader="none" w:pos="17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a performance obligation is satisfied</w:t>
      </w:r>
    </w:p>
    <w:p>
      <w:pPr>
        <w:spacing w:after="0" w:line="175" w:lineRule="exact"/>
        <w:rPr>
          <w:sz w:val="20"/>
          <w:szCs w:val="20"/>
          <w:color w:val="auto"/>
        </w:rPr>
      </w:pPr>
    </w:p>
    <w:p>
      <w:pPr>
        <w:ind w:left="1360" w:right="519"/>
        <w:spacing w:after="0" w:line="287" w:lineRule="auto"/>
        <w:rPr>
          <w:sz w:val="20"/>
          <w:szCs w:val="20"/>
          <w:color w:val="auto"/>
        </w:rPr>
      </w:pPr>
      <w:r>
        <w:rPr>
          <w:rFonts w:ascii="Times New Roman" w:cs="Times New Roman" w:eastAsia="Times New Roman" w:hAnsi="Times New Roman"/>
          <w:sz w:val="13"/>
          <w:szCs w:val="13"/>
          <w:color w:val="auto"/>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 Company generally bills an insurance carrier, Medicaid, Medicare, or a patient or a combination of both upon delivery of test results.</w:t>
      </w:r>
    </w:p>
    <w:p>
      <w:pPr>
        <w:spacing w:after="0" w:line="12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Company enters into contracts with third-party payors including insurance carriers and Medicaid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385"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279"/>
        <w:spacing w:after="0" w:line="276" w:lineRule="auto"/>
        <w:rPr>
          <w:sz w:val="20"/>
          <w:szCs w:val="20"/>
          <w:color w:val="auto"/>
        </w:rPr>
      </w:pPr>
      <w:r>
        <w:rPr>
          <w:rFonts w:ascii="Times New Roman" w:cs="Times New Roman" w:eastAsia="Times New Roman" w:hAnsi="Times New Roman"/>
          <w:sz w:val="13"/>
          <w:szCs w:val="13"/>
          <w:color w:val="auto"/>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third-party payors.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 those estimates when actual experience supports doing so. In establishing variable consideration, the Company considers payors with similar reimbursement 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spacing w:after="0" w:line="132" w:lineRule="exact"/>
        <w:rPr>
          <w:sz w:val="20"/>
          <w:szCs w:val="20"/>
          <w:color w:val="auto"/>
        </w:rPr>
      </w:pPr>
    </w:p>
    <w:p>
      <w:pPr>
        <w:ind w:left="1360" w:right="259"/>
        <w:spacing w:after="0" w:line="273" w:lineRule="auto"/>
        <w:rPr>
          <w:sz w:val="20"/>
          <w:szCs w:val="20"/>
          <w:color w:val="auto"/>
        </w:rPr>
      </w:pPr>
      <w:r>
        <w:rPr>
          <w:rFonts w:ascii="Times New Roman" w:cs="Times New Roman" w:eastAsia="Times New Roman" w:hAnsi="Times New Roman"/>
          <w:sz w:val="13"/>
          <w:szCs w:val="13"/>
          <w:color w:val="auto"/>
        </w:rPr>
        <w:t>In January 2023, the Company entered a partnership with Johnson &amp; Johnson under which the Company is licensing the Company’s proprietary knowledge, performing clinical trial support services including developing a clinical study assay, and other testing services to support a clinical trial for the counterparty. The Company concluded that the agreement with Johnson &amp; Johnson was within the scope of ASC 606 because the counterparty in the agreement meets the definition of a customer. The Company evaluated the terms of the agreement for revenue recognition, including whether the services are capable of being distinct and considered distinct within the context of the contract. The Company concluded that the licensing of the know how is not distinct from the other promises within the agreement and, as a result, was treated as a single performance obligation. Under this contract the Company receives payments upon the achievement of milestones, including (i) receipt of approval of the trial, which was achieved in 2023, (ii) various patient enrollment milestones, and (iii) subsequent full trial completion, as well as reimbursement for testing services. In making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 The Company recognizes revenue for the single performance obligation over time as the related services are provided. The Company utilizes an input method to measure progress to depict the transfer of services as the Company believes it provides a faithful depiction of the transfer of services over the contract. In accordance with ASC 606, the Company applies the constraint on variable consideration and includes such amounts in the transaction price only to the extent that it is probable that a significant reversal of cumulative revenue will not occur when the associated uncertainty is resolved.</w:t>
      </w:r>
    </w:p>
    <w:p>
      <w:pPr>
        <w:spacing w:after="0" w:line="138" w:lineRule="exact"/>
        <w:rPr>
          <w:sz w:val="20"/>
          <w:szCs w:val="20"/>
          <w:color w:val="auto"/>
        </w:rPr>
      </w:pPr>
    </w:p>
    <w:p>
      <w:pPr>
        <w:ind w:left="1360" w:right="419"/>
        <w:spacing w:after="0" w:line="322" w:lineRule="auto"/>
        <w:rPr>
          <w:sz w:val="20"/>
          <w:szCs w:val="20"/>
          <w:color w:val="auto"/>
        </w:rPr>
      </w:pPr>
      <w:r>
        <w:rPr>
          <w:rFonts w:ascii="Times New Roman" w:cs="Times New Roman" w:eastAsia="Times New Roman" w:hAnsi="Times New Roman"/>
          <w:sz w:val="13"/>
          <w:szCs w:val="13"/>
          <w:color w:val="auto"/>
        </w:rPr>
        <w:t>The Company applies the practical expedient not to disclose the value of unsatisfied performance obligations for contract with an original expected length of one year or less. As of June 30, 2025, the Company’s remaining performance obligations beyond one year were approximately $3.1 million.</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93" w:lineRule="exact"/>
        <w:rPr>
          <w:sz w:val="20"/>
          <w:szCs w:val="20"/>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The following table presents disaggregation of revenue by Oncology, Prenatal and Clinical trial support services for the six months ended June 30, 2024 and 2025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900" w:type="dxa"/>
            <w:vAlign w:val="bottom"/>
            <w:tcBorders>
              <w:bottom w:val="single" w:sz="8" w:color="E5E5E5"/>
            </w:tcBorders>
          </w:tcPr>
          <w:p>
            <w:pPr>
              <w:spacing w:after="0"/>
              <w:rPr>
                <w:sz w:val="11"/>
                <w:szCs w:val="11"/>
                <w:color w:val="auto"/>
              </w:rPr>
            </w:pPr>
          </w:p>
        </w:tc>
        <w:tc>
          <w:tcPr>
            <w:tcW w:w="386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E5E5E5"/>
            </w:tcBorders>
          </w:tcPr>
          <w:p>
            <w:pPr>
              <w:spacing w:after="0"/>
              <w:rPr>
                <w:sz w:val="11"/>
                <w:szCs w:val="11"/>
                <w:color w:val="auto"/>
              </w:rPr>
            </w:pPr>
          </w:p>
        </w:tc>
      </w:tr>
      <w:tr>
        <w:trPr>
          <w:trHeight w:val="158"/>
        </w:trPr>
        <w:tc>
          <w:tcPr>
            <w:tcW w:w="290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Prenatal</w:t>
            </w:r>
          </w:p>
        </w:tc>
        <w:tc>
          <w:tcPr>
            <w:tcW w:w="3860" w:type="dxa"/>
            <w:vAlign w:val="bottom"/>
            <w:shd w:val="clear" w:color="auto" w:fill="E5E5E5"/>
          </w:tcPr>
          <w:p>
            <w:pPr>
              <w:spacing w:after="0"/>
              <w:rPr>
                <w:sz w:val="13"/>
                <w:szCs w:val="13"/>
                <w:color w:val="auto"/>
              </w:rPr>
            </w:pPr>
          </w:p>
        </w:tc>
        <w:tc>
          <w:tcPr>
            <w:tcW w:w="1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E5E5E5"/>
          </w:tcPr>
          <w:p>
            <w:pPr>
              <w:spacing w:after="0"/>
              <w:rPr>
                <w:sz w:val="13"/>
                <w:szCs w:val="13"/>
                <w:color w:val="auto"/>
              </w:rPr>
            </w:pPr>
          </w:p>
        </w:tc>
        <w:tc>
          <w:tcPr>
            <w:tcW w:w="5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66,079</w:t>
            </w:r>
          </w:p>
        </w:tc>
        <w:tc>
          <w:tcPr>
            <w:tcW w:w="220" w:type="dxa"/>
            <w:vAlign w:val="bottom"/>
            <w:shd w:val="clear" w:color="auto" w:fill="E5E5E5"/>
          </w:tcPr>
          <w:p>
            <w:pPr>
              <w:spacing w:after="0"/>
              <w:rPr>
                <w:sz w:val="13"/>
                <w:szCs w:val="13"/>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E5E5E5"/>
          </w:tcPr>
          <w:p>
            <w:pPr>
              <w:spacing w:after="0"/>
              <w:rPr>
                <w:sz w:val="13"/>
                <w:szCs w:val="13"/>
                <w:color w:val="auto"/>
              </w:rPr>
            </w:pPr>
          </w:p>
        </w:tc>
        <w:tc>
          <w:tcPr>
            <w:tcW w:w="5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116,928</w:t>
            </w:r>
          </w:p>
        </w:tc>
        <w:tc>
          <w:tcPr>
            <w:tcW w:w="60" w:type="dxa"/>
            <w:vAlign w:val="bottom"/>
            <w:shd w:val="clear" w:color="auto" w:fill="E5E5E5"/>
          </w:tcPr>
          <w:p>
            <w:pPr>
              <w:spacing w:after="0"/>
              <w:rPr>
                <w:sz w:val="13"/>
                <w:szCs w:val="13"/>
                <w:color w:val="auto"/>
              </w:rPr>
            </w:pPr>
          </w:p>
        </w:tc>
      </w:tr>
      <w:tr>
        <w:trPr>
          <w:trHeight w:val="16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Oncology</w:t>
            </w: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60" w:type="dxa"/>
            <w:vAlign w:val="bottom"/>
          </w:tcPr>
          <w:p>
            <w:pPr>
              <w:spacing w:after="0"/>
              <w:rPr>
                <w:sz w:val="14"/>
                <w:szCs w:val="14"/>
                <w:color w:val="auto"/>
              </w:rPr>
            </w:pPr>
          </w:p>
        </w:tc>
      </w:tr>
      <w:tr>
        <w:trPr>
          <w:trHeight w:val="168"/>
        </w:trPr>
        <w:tc>
          <w:tcPr>
            <w:tcW w:w="290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Clinical trial support services</w:t>
            </w:r>
          </w:p>
        </w:tc>
        <w:tc>
          <w:tcPr>
            <w:tcW w:w="386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60" w:type="dxa"/>
            <w:vAlign w:val="bottom"/>
            <w:shd w:val="clear" w:color="auto" w:fill="E5E5E5"/>
          </w:tcPr>
          <w:p>
            <w:pPr>
              <w:spacing w:after="0"/>
              <w:rPr>
                <w:sz w:val="14"/>
                <w:szCs w:val="14"/>
                <w:color w:val="auto"/>
              </w:rPr>
            </w:pPr>
          </w:p>
        </w:tc>
      </w:tr>
      <w:tr>
        <w:trPr>
          <w:trHeight w:val="169"/>
        </w:trPr>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38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69,086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125,536</w:t>
            </w:r>
          </w:p>
        </w:tc>
        <w:tc>
          <w:tcPr>
            <w:tcW w:w="60" w:type="dxa"/>
            <w:vAlign w:val="bottom"/>
          </w:tcPr>
          <w:p>
            <w:pPr>
              <w:spacing w:after="0"/>
              <w:rPr>
                <w:sz w:val="14"/>
                <w:szCs w:val="14"/>
                <w:color w:val="auto"/>
              </w:rPr>
            </w:pPr>
          </w:p>
        </w:tc>
      </w:tr>
      <w:tr>
        <w:trPr>
          <w:trHeight w:val="20"/>
        </w:trPr>
        <w:tc>
          <w:tcPr>
            <w:tcW w:w="2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2900" w:type="dxa"/>
            <w:vAlign w:val="bottom"/>
          </w:tcPr>
          <w:p>
            <w:pPr>
              <w:spacing w:after="0"/>
              <w:rPr>
                <w:sz w:val="23"/>
                <w:szCs w:val="23"/>
                <w:color w:val="auto"/>
              </w:rPr>
            </w:pPr>
          </w:p>
        </w:tc>
        <w:tc>
          <w:tcPr>
            <w:tcW w:w="3960" w:type="dxa"/>
            <w:vAlign w:val="bottom"/>
            <w:gridSpan w:val="2"/>
          </w:tcPr>
          <w:p>
            <w:pPr>
              <w:jc w:val="right"/>
              <w:ind w:right="2370"/>
              <w:spacing w:after="0"/>
              <w:rPr>
                <w:sz w:val="20"/>
                <w:szCs w:val="20"/>
                <w:color w:val="auto"/>
              </w:rPr>
            </w:pPr>
            <w:r>
              <w:rPr>
                <w:rFonts w:ascii="Times New Roman" w:cs="Times New Roman" w:eastAsia="Times New Roman" w:hAnsi="Times New Roman"/>
                <w:sz w:val="14"/>
                <w:szCs w:val="14"/>
                <w:color w:val="auto"/>
              </w:rPr>
              <w:t>F-46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Substantially all revenues recognized for the six months ended June 30, 2024 and 2025 were generated in the United States.</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Deferred revenue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Deferred revenue, which is a contract liability, consists of billings or cash received for services in advance of revenue recognition and is recognized as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revenue when all the Company’s revenue recognition criteria are met. As of December 31, 2024 and June 30, 2025, the deferred revenue balance was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$2.8 million and $2.2 million, respectively, all of which is considered short-term. For the six months ended June 30, 2024 and 2025, revenue recognized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from deferred revenue at the beginning of the period was $2.3 million and $1.5 million respectively. The decrease in deferred revenue balances as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as compared to June 30, 2025 is attributed to the timing of contractual payments for testing and consulting services and timing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delivery of the clinical test results and services.</w:t>
      </w:r>
    </w:p>
    <w:p>
      <w:pPr>
        <w:spacing w:after="0" w:line="2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3" w:lineRule="exact"/>
        <w:rPr>
          <w:sz w:val="20"/>
          <w:szCs w:val="20"/>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During the six months ended June 30, 2024 and 2025, the Company did not have any other comprehensive income (loss) and, therefore, the net loss and comprehensive loss was the same.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Deferred offering costs, consisting of legal, accounting, and other fees and costs relating to the Company’s planned initial public offering (IPO) are capitalized within other non-current assets on the balance sheets. The deferred offering costs will be offset against the proceeds received by the Company upon the closing of the planned IPO. In the event the planned IPO is terminated, all of the deferred offering costs will be expensed within operating loss. As of December 31, 2024, the Company had no deferred offering costs. As of June 30, 2025, the Company had $2.5 million of deferred offering costs.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spacing w:after="0" w:line="142"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Key areas of focus for the CODM when making decisions on the allocations of resources is cash used in operations as well as revenue, gross margin and net loss; this information is used by the CODM and compared to budgeted amounts in order for the CODM to make decisions on how resources should be allocated across the organization. The Company’s segment measure of profitability is net loss.</w:t>
      </w:r>
    </w:p>
    <w:p>
      <w:pPr>
        <w:spacing w:after="0" w:line="13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Segment revenues are derived from prenatal and oncology testing results, leveraging the Company’s diagnostic technology platform, which are delivered to patients, who are the Company’s customer. The Company’s customers are predominantly located in the United States. Substantially all of the Company’s long-lived assets are located in the United States. The Company’s technology platform is applied similarly in both the prenatal and oncology settings.</w:t>
      </w:r>
    </w:p>
    <w:p>
      <w:pPr>
        <w:spacing w:after="0" w:line="139" w:lineRule="exact"/>
        <w:rPr>
          <w:sz w:val="20"/>
          <w:szCs w:val="20"/>
          <w:color w:val="auto"/>
        </w:rPr>
      </w:pPr>
    </w:p>
    <w:p>
      <w:pPr>
        <w:ind w:left="1360" w:right="559"/>
        <w:spacing w:after="0" w:line="282" w:lineRule="auto"/>
        <w:rPr>
          <w:sz w:val="20"/>
          <w:szCs w:val="20"/>
          <w:color w:val="auto"/>
        </w:rPr>
      </w:pPr>
      <w:r>
        <w:rPr>
          <w:rFonts w:ascii="Times New Roman" w:cs="Times New Roman" w:eastAsia="Times New Roman" w:hAnsi="Times New Roman"/>
          <w:sz w:val="14"/>
          <w:szCs w:val="14"/>
          <w:color w:val="auto"/>
        </w:rPr>
        <w:t>The financial statements provide the CODM with a view of the Company’s financial condition as it pertains to the Company’s assets, liabilities and expenses. Significant expense categories align with the expense categories and amounts presented on the statements of operations.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10159"/>
          </w:cols>
          <w:pgMar w:left="300" w:top="385"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which expands income tax disclosure requirements to include additional information related to the rate reconciliation of effective tax rates to statutory rates, as well as additional disaggregation of taxes paid. This ASU also removed disclosure related to certain unrecognized tax benefits and deferred taxes. ASU 2023-09 is effective for fiscal years beginning after December 15, 2024. This ASU may be applied prospectively or retrospectively, and early adoption is permitted. The Company is currently evaluating the impact of the adoption of this standard on the Company’s financial statement disclosures.</w:t>
      </w:r>
    </w:p>
    <w:p>
      <w:pPr>
        <w:spacing w:after="0" w:line="142"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In November 2024, the FASB issued ASU 2024-04, Debt – Debt with Conversion and Other Options (Subtopic 470-20): Induced Conversions of Convertible Debt Instruments. This ASU clarifies guidance on the requirements for determining whether certain settlements of convertible debt instruments should be accounted for as an induced conversion or extinguishment. This guidance is effective for the Company beginning on January 1, 2026, and early adoption is permitted, although the Company does not plan to early adopt. The Company is currently evaluating the impact of the adoption of this standard on the Company’s financial statement disclosures.</w:t>
      </w:r>
    </w:p>
    <w:p>
      <w:pPr>
        <w:spacing w:after="0" w:line="142"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In November 2024 and January 2025, the FASB issued ASU 2024-03 and ASU 2025-01, respectively, Income Statement—Reporting Comprehensive Income—Expense Disaggregation Disclosures (Subtopic 220-40): Disaggregation of Income Statement Expenses, which requires disclosure in the notes to the financial statements of specified information about an entity’s certain costs and expenses. The amendments to the standards are effective for the Company’s fiscal year beginning January 1, 2027 and interim periods 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spacing w:after="0" w:line="144"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Measurement of Credit Losses for Accounts Receivable and Contract Assets</w:t>
      </w:r>
      <w:r>
        <w:rPr>
          <w:rFonts w:ascii="Times New Roman" w:cs="Times New Roman" w:eastAsia="Times New Roman" w:hAnsi="Times New Roman"/>
          <w:sz w:val="14"/>
          <w:szCs w:val="14"/>
          <w:color w:val="auto"/>
        </w:rPr>
        <w:t>, which provides for a practical expedient to estimate credit losses related to accounts receivable and contract assets from revenue contracts accounted for in accordance with ASC 606 using information as of the balance sheet date. This ASU is effective for the Company’s fiscal year beginning January 1, 2026 and early adoption is permitted. The Company is currently evaluating this ASU to determine the impact it may have on its financial statements and related disclosures.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fair value measurements of assets and liabilities that are measured at fair value on a recurring basis consisted of the following as of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2024 (in thousands):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600" w:type="dxa"/>
            <w:vAlign w:val="bottom"/>
            <w:tcBorders>
              <w:bottom w:val="single" w:sz="8" w:color="E5E5E5"/>
            </w:tcBorders>
          </w:tcPr>
          <w:p>
            <w:pPr>
              <w:spacing w:after="0"/>
              <w:rPr>
                <w:sz w:val="9"/>
                <w:szCs w:val="9"/>
                <w:color w:val="auto"/>
              </w:rPr>
            </w:pPr>
          </w:p>
        </w:tc>
        <w:tc>
          <w:tcPr>
            <w:tcW w:w="1200" w:type="dxa"/>
            <w:vAlign w:val="bottom"/>
            <w:tcBorders>
              <w:bottom w:val="single" w:sz="8" w:color="E5E5E5"/>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2"/>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E5E5E5"/>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34"/>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Borders>
              <w:bottom w:val="single" w:sz="8" w:color="E5E5E5"/>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Current assets:</w:t>
            </w:r>
          </w:p>
        </w:tc>
        <w:tc>
          <w:tcPr>
            <w:tcW w:w="12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Money market funds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7,538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0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12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3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12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warrants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Term loan</w:t>
            </w:r>
          </w:p>
        </w:tc>
        <w:tc>
          <w:tcPr>
            <w:tcW w:w="1200" w:type="dxa"/>
            <w:vAlign w:val="bottom"/>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1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54,244</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54,244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600" w:type="dxa"/>
            <w:vAlign w:val="bottom"/>
          </w:tcPr>
          <w:p>
            <w:pPr>
              <w:spacing w:after="0"/>
              <w:rPr>
                <w:sz w:val="23"/>
                <w:szCs w:val="23"/>
                <w:color w:val="auto"/>
              </w:rPr>
            </w:pPr>
          </w:p>
        </w:tc>
        <w:tc>
          <w:tcPr>
            <w:tcW w:w="12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F-48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The fair value measurements of assets and liabilities that are measured at fair value on a recurring basis consisted of the following as of June 30, 2025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As of June 30, 2025</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620" w:type="dxa"/>
            <w:vAlign w:val="bottom"/>
            <w:tcBorders>
              <w:bottom w:val="single" w:sz="8" w:color="E5E5E5"/>
            </w:tcBorders>
          </w:tcPr>
          <w:p>
            <w:pPr>
              <w:spacing w:after="0"/>
              <w:rPr>
                <w:sz w:val="9"/>
                <w:szCs w:val="9"/>
                <w:color w:val="auto"/>
              </w:rPr>
            </w:pPr>
          </w:p>
        </w:tc>
        <w:tc>
          <w:tcPr>
            <w:tcW w:w="20" w:type="dxa"/>
            <w:vAlign w:val="bottom"/>
            <w:tcBorders>
              <w:bottom w:val="single" w:sz="8" w:color="E5E5E5"/>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2"/>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Borders>
              <w:bottom w:val="single" w:sz="8" w:color="E5E5E5"/>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7,690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2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gridSpan w:val="2"/>
            <w:shd w:val="clear" w:color="auto" w:fill="E5E5E5"/>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100" w:type="dxa"/>
            <w:vAlign w:val="bottom"/>
            <w:gridSpan w:val="2"/>
            <w:shd w:val="clear" w:color="auto" w:fill="E5E5E5"/>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E5E5E5"/>
          </w:tcPr>
          <w:p>
            <w:pPr>
              <w:spacing w:after="0"/>
              <w:rPr>
                <w:sz w:val="14"/>
                <w:szCs w:val="14"/>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340" w:type="dxa"/>
            <w:vAlign w:val="bottom"/>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warrants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4"/>
                <w:szCs w:val="14"/>
                <w:color w:val="auto"/>
              </w:rPr>
              <w:t>Term loan</w:t>
            </w:r>
          </w:p>
        </w:tc>
        <w:tc>
          <w:tcPr>
            <w:tcW w:w="20" w:type="dxa"/>
            <w:vAlign w:val="bottom"/>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220" w:type="dxa"/>
            <w:vAlign w:val="bottom"/>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54,793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54,793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Level 3 instruments consist of the Company’s Series A-6 redeemable convertible preferred stock warrant liabilities, common stock warrant liabilities, a term loan and convertible notes.</w:t>
      </w:r>
    </w:p>
    <w:p>
      <w:pPr>
        <w:spacing w:after="0" w:line="125"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The fair values of the Series A-6 redeemable convertible preferred stock warrant and common stock warrant are measured using a probability weighted option pricing model.</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significant assumptions used in preparing the option pricing model for valuing the common stock warrant liability as of December 31, 2024 and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June 30, 2025, are as follows:</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3760" w:type="dxa"/>
            <w:vAlign w:val="bottom"/>
            <w:tcBorders>
              <w:bottom w:val="single" w:sz="8" w:color="E5E5E5"/>
            </w:tcBorders>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E5E5E5"/>
            </w:tcBorders>
          </w:tcPr>
          <w:p>
            <w:pPr>
              <w:spacing w:after="0"/>
              <w:rPr>
                <w:sz w:val="11"/>
                <w:szCs w:val="11"/>
                <w:color w:val="auto"/>
              </w:rPr>
            </w:pPr>
          </w:p>
        </w:tc>
        <w:tc>
          <w:tcPr>
            <w:tcW w:w="140" w:type="dxa"/>
            <w:vAlign w:val="bottom"/>
            <w:tcBorders>
              <w:bottom w:val="single" w:sz="8" w:color="E5E5E5"/>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E5E5E5"/>
            </w:tcBorders>
          </w:tcPr>
          <w:p>
            <w:pPr>
              <w:spacing w:after="0"/>
              <w:rPr>
                <w:sz w:val="11"/>
                <w:szCs w:val="11"/>
                <w:color w:val="auto"/>
              </w:rPr>
            </w:pPr>
          </w:p>
        </w:tc>
      </w:tr>
      <w:tr>
        <w:trPr>
          <w:trHeight w:val="158"/>
        </w:trPr>
        <w:tc>
          <w:tcPr>
            <w:tcW w:w="376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Stock price</w:t>
            </w:r>
          </w:p>
        </w:tc>
        <w:tc>
          <w:tcPr>
            <w:tcW w:w="25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20.32</w:t>
            </w:r>
          </w:p>
        </w:tc>
        <w:tc>
          <w:tcPr>
            <w:tcW w:w="2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23.15</w:t>
            </w:r>
          </w:p>
        </w:tc>
        <w:tc>
          <w:tcPr>
            <w:tcW w:w="160" w:type="dxa"/>
            <w:vAlign w:val="bottom"/>
            <w:shd w:val="clear" w:color="auto" w:fill="E5E5E5"/>
          </w:tcPr>
          <w:p>
            <w:pPr>
              <w:spacing w:after="0"/>
              <w:rPr>
                <w:sz w:val="13"/>
                <w:szCs w:val="13"/>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6"/>
              </w:rPr>
              <w:t>2.80 – $10.92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6"/>
              </w:rPr>
              <w:t>2.80 – $10.92</w:t>
            </w:r>
          </w:p>
        </w:tc>
      </w:tr>
      <w:tr>
        <w:trPr>
          <w:trHeight w:val="168"/>
        </w:trPr>
        <w:tc>
          <w:tcPr>
            <w:tcW w:w="37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Volatility</w:t>
            </w:r>
          </w:p>
        </w:tc>
        <w:tc>
          <w:tcPr>
            <w:tcW w:w="25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4"/>
                <w:szCs w:val="14"/>
                <w:color w:val="auto"/>
              </w:rPr>
              <w:t>84.0%</w:t>
            </w: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83.2%</w:t>
            </w: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r>
      <w:tr>
        <w:trPr>
          <w:trHeight w:val="168"/>
        </w:trPr>
        <w:tc>
          <w:tcPr>
            <w:tcW w:w="376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5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4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3.71%</w:t>
            </w:r>
          </w:p>
        </w:tc>
      </w:tr>
      <w:tr>
        <w:trPr>
          <w:trHeight w:val="18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significant assumptions used in preparing the option pricing model for valuing the redeemable convertible preferred stock warrant liability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and June 30, 2025, are as follows:</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3880" w:type="dxa"/>
            <w:vAlign w:val="bottom"/>
            <w:tcBorders>
              <w:bottom w:val="single" w:sz="8" w:color="E5E5E5"/>
            </w:tcBorders>
          </w:tcPr>
          <w:p>
            <w:pPr>
              <w:spacing w:after="0"/>
              <w:rPr>
                <w:sz w:val="11"/>
                <w:szCs w:val="11"/>
                <w:color w:val="auto"/>
              </w:rPr>
            </w:pPr>
          </w:p>
        </w:tc>
        <w:tc>
          <w:tcPr>
            <w:tcW w:w="2640" w:type="dxa"/>
            <w:vAlign w:val="bottom"/>
            <w:tcBorders>
              <w:bottom w:val="single" w:sz="8" w:color="E5E5E5"/>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bottom w:val="single" w:sz="8" w:color="E5E5E5"/>
            </w:tcBorders>
          </w:tcPr>
          <w:p>
            <w:pPr>
              <w:spacing w:after="0"/>
              <w:rPr>
                <w:sz w:val="11"/>
                <w:szCs w:val="11"/>
                <w:color w:val="auto"/>
              </w:rPr>
            </w:pPr>
          </w:p>
        </w:tc>
        <w:tc>
          <w:tcPr>
            <w:tcW w:w="14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E5E5E5"/>
            </w:tcBorders>
          </w:tcPr>
          <w:p>
            <w:pPr>
              <w:spacing w:after="0"/>
              <w:rPr>
                <w:sz w:val="11"/>
                <w:szCs w:val="11"/>
                <w:color w:val="auto"/>
              </w:rPr>
            </w:pPr>
          </w:p>
        </w:tc>
      </w:tr>
      <w:tr>
        <w:trPr>
          <w:trHeight w:val="158"/>
        </w:trPr>
        <w:tc>
          <w:tcPr>
            <w:tcW w:w="388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Stock price</w:t>
            </w:r>
          </w:p>
        </w:tc>
        <w:tc>
          <w:tcPr>
            <w:tcW w:w="26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5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25.83</w:t>
            </w:r>
          </w:p>
        </w:tc>
        <w:tc>
          <w:tcPr>
            <w:tcW w:w="2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6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27.94</w:t>
            </w:r>
          </w:p>
        </w:tc>
        <w:tc>
          <w:tcPr>
            <w:tcW w:w="160" w:type="dxa"/>
            <w:vAlign w:val="bottom"/>
            <w:shd w:val="clear" w:color="auto" w:fill="E5E5E5"/>
          </w:tcPr>
          <w:p>
            <w:pPr>
              <w:spacing w:after="0"/>
              <w:rPr>
                <w:sz w:val="13"/>
                <w:szCs w:val="13"/>
                <w:color w:val="auto"/>
              </w:rPr>
            </w:pPr>
          </w:p>
        </w:tc>
      </w:tr>
      <w:tr>
        <w:trPr>
          <w:trHeight w:val="16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288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60" w:type="dxa"/>
            <w:vAlign w:val="bottom"/>
          </w:tcPr>
          <w:p>
            <w:pPr>
              <w:spacing w:after="0"/>
              <w:rPr>
                <w:sz w:val="14"/>
                <w:szCs w:val="1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tcPr>
          <w:p>
            <w:pPr>
              <w:spacing w:after="0"/>
              <w:rPr>
                <w:sz w:val="14"/>
                <w:szCs w:val="14"/>
                <w:color w:val="auto"/>
              </w:rPr>
            </w:pPr>
          </w:p>
        </w:tc>
      </w:tr>
      <w:tr>
        <w:trPr>
          <w:trHeight w:val="168"/>
        </w:trPr>
        <w:tc>
          <w:tcPr>
            <w:tcW w:w="38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Volatility</w:t>
            </w:r>
          </w:p>
        </w:tc>
        <w:tc>
          <w:tcPr>
            <w:tcW w:w="26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rPr>
              <w:t>84.0%</w:t>
            </w: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83.2%</w:t>
            </w:r>
          </w:p>
        </w:tc>
      </w:tr>
      <w:tr>
        <w:trPr>
          <w:trHeight w:val="16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r>
      <w:tr>
        <w:trPr>
          <w:trHeight w:val="168"/>
        </w:trPr>
        <w:tc>
          <w:tcPr>
            <w:tcW w:w="38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6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76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3.71%</w:t>
            </w:r>
          </w:p>
        </w:tc>
      </w:tr>
      <w:tr>
        <w:trPr>
          <w:trHeight w:val="18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8"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fair value of the convertible notes is measured based on the present value of the notes based on the fair market yield to maturity and an estimate of the probability of the notes’ conversion features. The fair market yield was estimated based on publicly traded debt securities with similar maturities and risk. During the six months ended June 30, 2024, the Company settled the convertible notes through the issuance of Series C-1 redeemable convertible preferred stock to the noteholders (See Note 8).</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385"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539"/>
        <w:spacing w:after="0" w:line="282" w:lineRule="auto"/>
        <w:rPr>
          <w:sz w:val="20"/>
          <w:szCs w:val="20"/>
          <w:color w:val="auto"/>
        </w:rPr>
      </w:pPr>
      <w:r>
        <w:rPr>
          <w:rFonts w:ascii="Times New Roman" w:cs="Times New Roman" w:eastAsia="Times New Roman" w:hAnsi="Times New Roman"/>
          <w:sz w:val="14"/>
          <w:szCs w:val="14"/>
          <w:color w:val="auto"/>
        </w:rPr>
        <w:t>The significant assumptions used in preparing discounted cash flow for valuing the convertible notes as of right before the conversion date May 15, 2024, are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May 15,</w:t>
            </w:r>
          </w:p>
        </w:tc>
      </w:tr>
      <w:tr>
        <w:trPr>
          <w:trHeight w:val="135"/>
        </w:trPr>
        <w:tc>
          <w:tcPr>
            <w:tcW w:w="4780" w:type="dxa"/>
            <w:vAlign w:val="bottom"/>
          </w:tcPr>
          <w:p>
            <w:pPr>
              <w:spacing w:after="0"/>
              <w:rPr>
                <w:sz w:val="11"/>
                <w:szCs w:val="11"/>
                <w:color w:val="auto"/>
              </w:rPr>
            </w:pPr>
          </w:p>
        </w:tc>
        <w:tc>
          <w:tcPr>
            <w:tcW w:w="364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r>
      <w:tr>
        <w:trPr>
          <w:trHeight w:val="158"/>
        </w:trPr>
        <w:tc>
          <w:tcPr>
            <w:tcW w:w="478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Principal outstanding (in $’000s)</w:t>
            </w:r>
          </w:p>
        </w:tc>
        <w:tc>
          <w:tcPr>
            <w:tcW w:w="2920" w:type="dxa"/>
            <w:vAlign w:val="bottom"/>
            <w:tcBorders>
              <w:top w:val="single" w:sz="8" w:color="E5E5E5"/>
            </w:tcBorders>
            <w:shd w:val="clear" w:color="auto" w:fill="E5E5E5"/>
          </w:tcPr>
          <w:p>
            <w:pPr>
              <w:spacing w:after="0"/>
              <w:rPr>
                <w:sz w:val="13"/>
                <w:szCs w:val="13"/>
                <w:color w:val="auto"/>
              </w:rPr>
            </w:pPr>
          </w:p>
        </w:tc>
        <w:tc>
          <w:tcPr>
            <w:tcW w:w="7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       30,000</w:t>
            </w:r>
          </w:p>
        </w:tc>
        <w:tc>
          <w:tcPr>
            <w:tcW w:w="160" w:type="dxa"/>
            <w:vAlign w:val="bottom"/>
            <w:tcBorders>
              <w:top w:val="single" w:sz="8" w:color="E5E5E5"/>
            </w:tcBorders>
            <w:shd w:val="clear" w:color="auto" w:fill="E5E5E5"/>
          </w:tcPr>
          <w:p>
            <w:pPr>
              <w:spacing w:after="0"/>
              <w:rPr>
                <w:sz w:val="13"/>
                <w:szCs w:val="13"/>
                <w:color w:val="auto"/>
              </w:rPr>
            </w:pPr>
          </w:p>
        </w:tc>
      </w:tr>
      <w:tr>
        <w:trPr>
          <w:trHeight w:val="16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r>
      <w:tr>
        <w:trPr>
          <w:trHeight w:val="168"/>
        </w:trPr>
        <w:tc>
          <w:tcPr>
            <w:tcW w:w="47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800" w:type="dxa"/>
            <w:vAlign w:val="bottom"/>
            <w:gridSpan w:val="3"/>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5.46%</w:t>
            </w:r>
          </w:p>
        </w:tc>
      </w:tr>
      <w:tr>
        <w:trPr>
          <w:trHeight w:val="183"/>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w:t>
            </w:r>
          </w:p>
        </w:tc>
        <w:tc>
          <w:tcPr>
            <w:tcW w:w="3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8.00%</w:t>
            </w:r>
          </w:p>
        </w:tc>
      </w:tr>
    </w:tbl>
    <w:p>
      <w:pPr>
        <w:spacing w:after="0" w:line="138"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In August 2024, the Company entered into a new term loan agreement for which the Company elected to account for using the fair value option. As such, the fair value of the debt is calculated by using the probability weighting of the present value of settlement scenarios (See Note 9).</w:t>
      </w:r>
    </w:p>
    <w:p>
      <w:pPr>
        <w:spacing w:after="0" w:line="125" w:lineRule="exact"/>
        <w:rPr>
          <w:sz w:val="20"/>
          <w:szCs w:val="20"/>
          <w:color w:val="auto"/>
        </w:rPr>
      </w:pPr>
    </w:p>
    <w:p>
      <w:pPr>
        <w:ind w:left="1360" w:right="419"/>
        <w:spacing w:after="0" w:line="282" w:lineRule="auto"/>
        <w:rPr>
          <w:sz w:val="20"/>
          <w:szCs w:val="20"/>
          <w:color w:val="auto"/>
        </w:rPr>
      </w:pPr>
      <w:r>
        <w:rPr>
          <w:rFonts w:ascii="Times New Roman" w:cs="Times New Roman" w:eastAsia="Times New Roman" w:hAnsi="Times New Roman"/>
          <w:sz w:val="14"/>
          <w:szCs w:val="14"/>
          <w:color w:val="auto"/>
        </w:rPr>
        <w:t>The significant assumptions used in preparing the income approach model for valuing the new term loan as of December 31, 2024 and June 30, 2025, are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6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June 30,</w:t>
            </w:r>
          </w:p>
        </w:tc>
      </w:tr>
      <w:tr>
        <w:trPr>
          <w:trHeight w:val="135"/>
        </w:trPr>
        <w:tc>
          <w:tcPr>
            <w:tcW w:w="4320" w:type="dxa"/>
            <w:vAlign w:val="bottom"/>
            <w:tcBorders>
              <w:bottom w:val="single" w:sz="8" w:color="E5E5E5"/>
            </w:tcBorders>
          </w:tcPr>
          <w:p>
            <w:pPr>
              <w:spacing w:after="0"/>
              <w:rPr>
                <w:sz w:val="11"/>
                <w:szCs w:val="11"/>
                <w:color w:val="auto"/>
              </w:rPr>
            </w:pPr>
          </w:p>
        </w:tc>
        <w:tc>
          <w:tcPr>
            <w:tcW w:w="242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Borders>
              <w:bottom w:val="single" w:sz="8" w:color="E5E5E5"/>
            </w:tcBorders>
          </w:tcPr>
          <w:p>
            <w:pPr>
              <w:spacing w:after="0"/>
              <w:rPr>
                <w:sz w:val="11"/>
                <w:szCs w:val="11"/>
                <w:color w:val="auto"/>
              </w:rPr>
            </w:pPr>
          </w:p>
        </w:tc>
        <w:tc>
          <w:tcPr>
            <w:tcW w:w="60" w:type="dxa"/>
            <w:vAlign w:val="bottom"/>
            <w:tcBorders>
              <w:bottom w:val="single" w:sz="8" w:color="E5E5E5"/>
            </w:tcBorders>
          </w:tcPr>
          <w:p>
            <w:pPr>
              <w:spacing w:after="0"/>
              <w:rPr>
                <w:sz w:val="11"/>
                <w:szCs w:val="11"/>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E5E5E5"/>
            </w:tcBorders>
          </w:tcPr>
          <w:p>
            <w:pPr>
              <w:spacing w:after="0"/>
              <w:rPr>
                <w:sz w:val="11"/>
                <w:szCs w:val="11"/>
                <w:color w:val="auto"/>
              </w:rPr>
            </w:pPr>
          </w:p>
        </w:tc>
      </w:tr>
      <w:tr>
        <w:trPr>
          <w:trHeight w:val="158"/>
        </w:trPr>
        <w:tc>
          <w:tcPr>
            <w:tcW w:w="43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Discount rate</w:t>
            </w:r>
          </w:p>
        </w:tc>
        <w:tc>
          <w:tcPr>
            <w:tcW w:w="3320" w:type="dxa"/>
            <w:vAlign w:val="bottom"/>
            <w:gridSpan w:val="3"/>
            <w:shd w:val="clear" w:color="auto" w:fill="E5E5E5"/>
          </w:tcPr>
          <w:p>
            <w:pPr>
              <w:jc w:val="center"/>
              <w:ind w:left="2190"/>
              <w:spacing w:after="0" w:line="159" w:lineRule="exact"/>
              <w:rPr>
                <w:sz w:val="20"/>
                <w:szCs w:val="20"/>
                <w:color w:val="auto"/>
              </w:rPr>
            </w:pPr>
            <w:r>
              <w:rPr>
                <w:rFonts w:ascii="Times New Roman" w:cs="Times New Roman" w:eastAsia="Times New Roman" w:hAnsi="Times New Roman"/>
                <w:sz w:val="14"/>
                <w:szCs w:val="14"/>
                <w:color w:val="auto"/>
              </w:rPr>
              <w:t>            9.37%</w:t>
            </w:r>
          </w:p>
        </w:tc>
        <w:tc>
          <w:tcPr>
            <w:tcW w:w="60" w:type="dxa"/>
            <w:vAlign w:val="bottom"/>
            <w:shd w:val="clear" w:color="auto" w:fill="E5E5E5"/>
          </w:tcPr>
          <w:p>
            <w:pPr>
              <w:spacing w:after="0"/>
              <w:rPr>
                <w:sz w:val="13"/>
                <w:szCs w:val="13"/>
                <w:color w:val="auto"/>
              </w:rPr>
            </w:pPr>
          </w:p>
        </w:tc>
        <w:tc>
          <w:tcPr>
            <w:tcW w:w="880" w:type="dxa"/>
            <w:vAlign w:val="bottom"/>
            <w:gridSpan w:val="2"/>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9.22%</w:t>
            </w:r>
          </w:p>
        </w:tc>
      </w:tr>
      <w:tr>
        <w:trPr>
          <w:trHeight w:val="16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Annual interest rate</w:t>
            </w:r>
          </w:p>
        </w:tc>
        <w:tc>
          <w:tcPr>
            <w:tcW w:w="3320" w:type="dxa"/>
            <w:vAlign w:val="bottom"/>
            <w:gridSpan w:val="3"/>
          </w:tcPr>
          <w:p>
            <w:pPr>
              <w:ind w:left="2880"/>
              <w:spacing w:after="0"/>
              <w:rPr>
                <w:sz w:val="20"/>
                <w:szCs w:val="20"/>
                <w:color w:val="auto"/>
              </w:rPr>
            </w:pPr>
            <w:r>
              <w:rPr>
                <w:rFonts w:ascii="Times New Roman" w:cs="Times New Roman" w:eastAsia="Times New Roman" w:hAnsi="Times New Roman"/>
                <w:sz w:val="14"/>
                <w:szCs w:val="14"/>
                <w:color w:val="auto"/>
              </w:rPr>
              <w:t>8.00%</w:t>
            </w: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8.00%</w:t>
            </w:r>
          </w:p>
        </w:tc>
      </w:tr>
      <w:tr>
        <w:trPr>
          <w:trHeight w:val="168"/>
        </w:trPr>
        <w:tc>
          <w:tcPr>
            <w:tcW w:w="43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Expected term (years) – Scenario 1</w:t>
            </w:r>
          </w:p>
        </w:tc>
        <w:tc>
          <w:tcPr>
            <w:tcW w:w="3140" w:type="dxa"/>
            <w:vAlign w:val="bottom"/>
            <w:gridSpan w:val="2"/>
            <w:shd w:val="clear" w:color="auto" w:fill="E5E5E5"/>
          </w:tcPr>
          <w:p>
            <w:pPr>
              <w:ind w:left="2880"/>
              <w:spacing w:after="0"/>
              <w:rPr>
                <w:sz w:val="20"/>
                <w:szCs w:val="20"/>
                <w:color w:val="auto"/>
              </w:rPr>
            </w:pPr>
            <w:r>
              <w:rPr>
                <w:rFonts w:ascii="Times New Roman" w:cs="Times New Roman" w:eastAsia="Times New Roman" w:hAnsi="Times New Roman"/>
                <w:sz w:val="14"/>
                <w:szCs w:val="14"/>
                <w:color w:val="auto"/>
                <w:w w:val="97"/>
              </w:rPr>
              <w:t>5.32</w:t>
            </w:r>
          </w:p>
        </w:tc>
        <w:tc>
          <w:tcPr>
            <w:tcW w:w="180" w:type="dxa"/>
            <w:vAlign w:val="bottom"/>
            <w:shd w:val="clear" w:color="auto" w:fill="E5E5E5"/>
          </w:tcPr>
          <w:p>
            <w:pPr>
              <w:spacing w:after="0"/>
              <w:rPr>
                <w:sz w:val="14"/>
                <w:szCs w:val="14"/>
                <w:color w:val="auto"/>
              </w:rPr>
            </w:pPr>
          </w:p>
        </w:tc>
        <w:tc>
          <w:tcPr>
            <w:tcW w:w="780" w:type="dxa"/>
            <w:vAlign w:val="bottom"/>
            <w:gridSpan w:val="2"/>
            <w:shd w:val="clear" w:color="auto" w:fill="E5E5E5"/>
          </w:tcPr>
          <w:p>
            <w:pPr>
              <w:ind w:left="520"/>
              <w:spacing w:after="0"/>
              <w:rPr>
                <w:sz w:val="20"/>
                <w:szCs w:val="20"/>
                <w:color w:val="auto"/>
              </w:rPr>
            </w:pPr>
            <w:r>
              <w:rPr>
                <w:rFonts w:ascii="Times New Roman" w:cs="Times New Roman" w:eastAsia="Times New Roman" w:hAnsi="Times New Roman"/>
                <w:sz w:val="14"/>
                <w:szCs w:val="14"/>
                <w:color w:val="auto"/>
                <w:w w:val="97"/>
              </w:rPr>
              <w:t>4.75</w:t>
            </w:r>
          </w:p>
        </w:tc>
        <w:tc>
          <w:tcPr>
            <w:tcW w:w="160" w:type="dxa"/>
            <w:vAlign w:val="bottom"/>
            <w:shd w:val="clear" w:color="auto" w:fill="E5E5E5"/>
          </w:tcPr>
          <w:p>
            <w:pPr>
              <w:spacing w:after="0"/>
              <w:rPr>
                <w:sz w:val="14"/>
                <w:szCs w:val="14"/>
                <w:color w:val="auto"/>
              </w:rPr>
            </w:pPr>
          </w:p>
        </w:tc>
      </w:tr>
      <w:tr>
        <w:trPr>
          <w:trHeight w:val="183"/>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 – Scenario 2</w:t>
            </w:r>
          </w:p>
        </w:tc>
        <w:tc>
          <w:tcPr>
            <w:tcW w:w="314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w w:val="97"/>
              </w:rPr>
              <w:t>6.69</w:t>
            </w:r>
          </w:p>
        </w:tc>
        <w:tc>
          <w:tcPr>
            <w:tcW w:w="18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97"/>
              </w:rPr>
              <w:t>6.10</w:t>
            </w:r>
          </w:p>
        </w:tc>
        <w:tc>
          <w:tcPr>
            <w:tcW w:w="160" w:type="dxa"/>
            <w:vAlign w:val="bottom"/>
          </w:tcPr>
          <w:p>
            <w:pPr>
              <w:spacing w:after="0"/>
              <w:rPr>
                <w:sz w:val="15"/>
                <w:szCs w:val="15"/>
                <w:color w:val="auto"/>
              </w:rPr>
            </w:pPr>
          </w:p>
        </w:tc>
      </w:tr>
    </w:tbl>
    <w:p>
      <w:pPr>
        <w:spacing w:after="0" w:line="138" w:lineRule="exact"/>
        <w:rPr>
          <w:sz w:val="20"/>
          <w:szCs w:val="20"/>
          <w:color w:val="auto"/>
        </w:rPr>
      </w:pPr>
    </w:p>
    <w:p>
      <w:pPr>
        <w:ind w:left="1360" w:right="479"/>
        <w:spacing w:after="0" w:line="282" w:lineRule="auto"/>
        <w:rPr>
          <w:sz w:val="20"/>
          <w:szCs w:val="20"/>
          <w:color w:val="auto"/>
        </w:rPr>
      </w:pPr>
      <w:r>
        <w:rPr>
          <w:rFonts w:ascii="Times New Roman" w:cs="Times New Roman" w:eastAsia="Times New Roman" w:hAnsi="Times New Roman"/>
          <w:sz w:val="14"/>
          <w:szCs w:val="14"/>
          <w:color w:val="auto"/>
        </w:rPr>
        <w:t>The common stock warrants, redeemable convertible preferred stock warrants, convertible notes and term loan are all classified as Level 3 fair value measurements due to the lack of relevant observable market data for the respective fair value inputs for each instrument.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a summary of the changes in the fair value of the Company’s Level 3 financial instruments (in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1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860" w:type="dxa"/>
            <w:vAlign w:val="bottom"/>
            <w:tcBorders>
              <w:top w:val="single" w:sz="8" w:color="E5E5E5"/>
              <w:right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shd w:val="clear" w:color="auto" w:fill="E5E5E5"/>
          </w:tcPr>
          <w:p>
            <w:pPr>
              <w:spacing w:after="0"/>
              <w:rPr>
                <w:sz w:val="13"/>
                <w:szCs w:val="13"/>
                <w:color w:val="auto"/>
              </w:rPr>
            </w:pPr>
          </w:p>
        </w:tc>
        <w:tc>
          <w:tcPr>
            <w:tcW w:w="140" w:type="dxa"/>
            <w:vAlign w:val="bottom"/>
            <w:tcBorders>
              <w:top w:val="single" w:sz="8" w:color="auto"/>
            </w:tcBorders>
            <w:shd w:val="clear" w:color="auto" w:fill="E5E5E5"/>
          </w:tcPr>
          <w:p>
            <w:pPr>
              <w:spacing w:after="0"/>
              <w:rPr>
                <w:sz w:val="13"/>
                <w:szCs w:val="13"/>
                <w:color w:val="auto"/>
              </w:rPr>
            </w:pPr>
          </w:p>
        </w:tc>
        <w:tc>
          <w:tcPr>
            <w:tcW w:w="40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1,653</w:t>
            </w:r>
          </w:p>
        </w:tc>
        <w:tc>
          <w:tcPr>
            <w:tcW w:w="10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E5E5E5"/>
              <w:right w:val="single" w:sz="8" w:color="E5E5E5"/>
            </w:tcBorders>
            <w:shd w:val="clear" w:color="auto" w:fill="E5E5E5"/>
          </w:tcPr>
          <w:p>
            <w:pPr>
              <w:spacing w:after="0"/>
              <w:rPr>
                <w:sz w:val="13"/>
                <w:szCs w:val="13"/>
                <w:color w:val="auto"/>
              </w:rPr>
            </w:pPr>
          </w:p>
        </w:tc>
        <w:tc>
          <w:tcPr>
            <w:tcW w:w="80" w:type="dxa"/>
            <w:vAlign w:val="bottom"/>
            <w:tcBorders>
              <w:top w:val="single" w:sz="8" w:color="auto"/>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E5E5E5"/>
          </w:tcPr>
          <w:p>
            <w:pPr>
              <w:spacing w:after="0"/>
              <w:rPr>
                <w:sz w:val="13"/>
                <w:szCs w:val="13"/>
                <w:color w:val="auto"/>
              </w:rPr>
            </w:pPr>
          </w:p>
        </w:tc>
        <w:tc>
          <w:tcPr>
            <w:tcW w:w="140" w:type="dxa"/>
            <w:vAlign w:val="bottom"/>
            <w:tcBorders>
              <w:top w:val="single" w:sz="8" w:color="auto"/>
            </w:tcBorders>
            <w:shd w:val="clear" w:color="auto" w:fill="E5E5E5"/>
          </w:tcPr>
          <w:p>
            <w:pPr>
              <w:spacing w:after="0"/>
              <w:rPr>
                <w:sz w:val="13"/>
                <w:szCs w:val="13"/>
                <w:color w:val="auto"/>
              </w:rPr>
            </w:pPr>
          </w:p>
        </w:tc>
        <w:tc>
          <w:tcPr>
            <w:tcW w:w="3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146</w:t>
            </w:r>
          </w:p>
        </w:tc>
        <w:tc>
          <w:tcPr>
            <w:tcW w:w="280" w:type="dxa"/>
            <w:vAlign w:val="bottom"/>
            <w:tcBorders>
              <w:top w:val="single" w:sz="8" w:color="E5E5E5"/>
              <w:left w:val="single" w:sz="8" w:color="E5E5E5"/>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20" w:type="dxa"/>
            <w:vAlign w:val="bottom"/>
            <w:tcBorders>
              <w:top w:val="single" w:sz="8" w:color="E5E5E5"/>
            </w:tcBorders>
            <w:shd w:val="clear" w:color="auto" w:fill="E5E5E5"/>
          </w:tcPr>
          <w:p>
            <w:pPr>
              <w:spacing w:after="0"/>
              <w:rPr>
                <w:sz w:val="13"/>
                <w:szCs w:val="13"/>
                <w:color w:val="auto"/>
              </w:rPr>
            </w:pPr>
          </w:p>
        </w:tc>
        <w:tc>
          <w:tcPr>
            <w:tcW w:w="240" w:type="dxa"/>
            <w:vAlign w:val="bottom"/>
            <w:tcBorders>
              <w:top w:val="single" w:sz="8" w:color="auto"/>
            </w:tcBorders>
            <w:shd w:val="clear" w:color="auto" w:fill="E5E5E5"/>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shd w:val="clear" w:color="auto" w:fill="E5E5E5"/>
          </w:tcPr>
          <w:p>
            <w:pPr>
              <w:spacing w:after="0"/>
              <w:rPr>
                <w:sz w:val="13"/>
                <w:szCs w:val="13"/>
                <w:color w:val="auto"/>
              </w:rPr>
            </w:pPr>
          </w:p>
        </w:tc>
        <w:tc>
          <w:tcPr>
            <w:tcW w:w="4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47,686</w:t>
            </w:r>
          </w:p>
        </w:tc>
        <w:tc>
          <w:tcPr>
            <w:tcW w:w="100" w:type="dxa"/>
            <w:vAlign w:val="bottom"/>
            <w:tcBorders>
              <w:top w:val="single" w:sz="8" w:color="E5E5E5"/>
              <w:left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fair value</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Gain on extinguishment</w:t>
            </w:r>
          </w:p>
        </w:tc>
        <w:tc>
          <w:tcPr>
            <w:tcW w:w="1860" w:type="dxa"/>
            <w:vAlign w:val="bottom"/>
            <w:tcBorders>
              <w:right w:val="single" w:sz="8" w:color="E5E5E5"/>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4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tcBorders>
              <w:right w:val="single" w:sz="8" w:color="E5E5E5"/>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E5E5E5"/>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(8,635)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Settlements</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 xml:space="preserve">    </w:t>
            </w:r>
          </w:p>
        </w:tc>
        <w:tc>
          <w:tcPr>
            <w:tcW w:w="1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1"/>
              </w:rPr>
              <w:t>(39,886)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19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 w:type="dxa"/>
            <w:vAlign w:val="bottom"/>
            <w:tcBorders>
              <w:right w:val="single" w:sz="8" w:color="E5E5E5"/>
            </w:tcBorders>
            <w:shd w:val="clear" w:color="auto" w:fill="E5E5E5"/>
          </w:tcPr>
          <w:p>
            <w:pPr>
              <w:spacing w:after="0"/>
              <w:rPr>
                <w:sz w:val="14"/>
                <w:szCs w:val="14"/>
                <w:color w:val="auto"/>
              </w:rPr>
            </w:pPr>
          </w:p>
        </w:tc>
        <w:tc>
          <w:tcPr>
            <w:tcW w:w="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   179</w:t>
            </w:r>
          </w:p>
        </w:tc>
        <w:tc>
          <w:tcPr>
            <w:tcW w:w="280" w:type="dxa"/>
            <w:vAlign w:val="bottom"/>
            <w:tcBorders>
              <w:left w:val="single" w:sz="8" w:color="E5E5E5"/>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60" w:type="dxa"/>
            <w:vAlign w:val="bottom"/>
            <w:gridSpan w:val="2"/>
            <w:shd w:val="clear" w:color="auto" w:fill="E5E5E5"/>
          </w:tcPr>
          <w:p>
            <w:pPr>
              <w:jc w:val="right"/>
              <w:ind w:right="11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E5E5E5"/>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2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Term Loan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860" w:type="dxa"/>
            <w:vAlign w:val="bottom"/>
            <w:tcBorders>
              <w:top w:val="single" w:sz="8" w:color="E5E5E5"/>
              <w:right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E5E5E5"/>
          </w:tcPr>
          <w:p>
            <w:pPr>
              <w:spacing w:after="0"/>
              <w:rPr>
                <w:sz w:val="13"/>
                <w:szCs w:val="13"/>
                <w:color w:val="auto"/>
              </w:rPr>
            </w:pPr>
          </w:p>
        </w:tc>
        <w:tc>
          <w:tcPr>
            <w:tcW w:w="140" w:type="dxa"/>
            <w:vAlign w:val="bottom"/>
            <w:tcBorders>
              <w:top w:val="single" w:sz="8" w:color="auto"/>
            </w:tcBorders>
            <w:shd w:val="clear" w:color="auto" w:fill="E5E5E5"/>
          </w:tcPr>
          <w:p>
            <w:pPr>
              <w:spacing w:after="0"/>
              <w:rPr>
                <w:sz w:val="13"/>
                <w:szCs w:val="13"/>
                <w:color w:val="auto"/>
              </w:rPr>
            </w:pPr>
          </w:p>
        </w:tc>
        <w:tc>
          <w:tcPr>
            <w:tcW w:w="500" w:type="dxa"/>
            <w:vAlign w:val="bottom"/>
            <w:tcBorders>
              <w:top w:val="single" w:sz="8" w:color="auto"/>
            </w:tcBorders>
            <w:gridSpan w:val="2"/>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2,533</w:t>
            </w:r>
          </w:p>
        </w:tc>
        <w:tc>
          <w:tcPr>
            <w:tcW w:w="14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E5E5E5"/>
              <w:right w:val="single" w:sz="8" w:color="E5E5E5"/>
            </w:tcBorders>
            <w:shd w:val="clear" w:color="auto" w:fill="E5E5E5"/>
          </w:tcPr>
          <w:p>
            <w:pPr>
              <w:spacing w:after="0"/>
              <w:rPr>
                <w:sz w:val="13"/>
                <w:szCs w:val="13"/>
                <w:color w:val="auto"/>
              </w:rPr>
            </w:pPr>
          </w:p>
        </w:tc>
        <w:tc>
          <w:tcPr>
            <w:tcW w:w="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shd w:val="clear" w:color="auto" w:fill="E5E5E5"/>
          </w:tcPr>
          <w:p>
            <w:pPr>
              <w:spacing w:after="0"/>
              <w:rPr>
                <w:sz w:val="13"/>
                <w:szCs w:val="13"/>
                <w:color w:val="auto"/>
              </w:rPr>
            </w:pPr>
          </w:p>
        </w:tc>
        <w:tc>
          <w:tcPr>
            <w:tcW w:w="140" w:type="dxa"/>
            <w:vAlign w:val="bottom"/>
            <w:tcBorders>
              <w:top w:val="single" w:sz="8" w:color="auto"/>
            </w:tcBorders>
            <w:shd w:val="clear" w:color="auto" w:fill="E5E5E5"/>
          </w:tcPr>
          <w:p>
            <w:pPr>
              <w:spacing w:after="0"/>
              <w:rPr>
                <w:sz w:val="13"/>
                <w:szCs w:val="13"/>
                <w:color w:val="auto"/>
              </w:rPr>
            </w:pPr>
          </w:p>
        </w:tc>
        <w:tc>
          <w:tcPr>
            <w:tcW w:w="3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230</w:t>
            </w:r>
          </w:p>
        </w:tc>
        <w:tc>
          <w:tcPr>
            <w:tcW w:w="280" w:type="dxa"/>
            <w:vAlign w:val="bottom"/>
            <w:tcBorders>
              <w:top w:val="single" w:sz="8" w:color="E5E5E5"/>
              <w:left w:val="single" w:sz="8" w:color="E5E5E5"/>
            </w:tcBorders>
            <w:shd w:val="clear" w:color="auto" w:fill="E5E5E5"/>
          </w:tcPr>
          <w:p>
            <w:pPr>
              <w:spacing w:after="0"/>
              <w:rPr>
                <w:sz w:val="13"/>
                <w:szCs w:val="13"/>
                <w:color w:val="auto"/>
              </w:rPr>
            </w:pPr>
          </w:p>
        </w:tc>
        <w:tc>
          <w:tcPr>
            <w:tcW w:w="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E5E5E5"/>
          </w:tcPr>
          <w:p>
            <w:pPr>
              <w:spacing w:after="0"/>
              <w:rPr>
                <w:sz w:val="13"/>
                <w:szCs w:val="13"/>
                <w:color w:val="auto"/>
              </w:rPr>
            </w:pPr>
          </w:p>
        </w:tc>
        <w:tc>
          <w:tcPr>
            <w:tcW w:w="240" w:type="dxa"/>
            <w:vAlign w:val="bottom"/>
            <w:tcBorders>
              <w:top w:val="single" w:sz="8" w:color="auto"/>
            </w:tcBorders>
            <w:shd w:val="clear" w:color="auto" w:fill="E5E5E5"/>
          </w:tcPr>
          <w:p>
            <w:pPr>
              <w:spacing w:after="0"/>
              <w:rPr>
                <w:sz w:val="13"/>
                <w:szCs w:val="13"/>
                <w:color w:val="auto"/>
              </w:rPr>
            </w:pPr>
          </w:p>
        </w:tc>
        <w:tc>
          <w:tcPr>
            <w:tcW w:w="120" w:type="dxa"/>
            <w:vAlign w:val="bottom"/>
            <w:tcBorders>
              <w:top w:val="single" w:sz="8" w:color="auto"/>
            </w:tcBorders>
            <w:shd w:val="clear" w:color="auto" w:fill="E5E5E5"/>
          </w:tcPr>
          <w:p>
            <w:pPr>
              <w:spacing w:after="0"/>
              <w:rPr>
                <w:sz w:val="13"/>
                <w:szCs w:val="13"/>
                <w:color w:val="auto"/>
              </w:rPr>
            </w:pPr>
          </w:p>
        </w:tc>
        <w:tc>
          <w:tcPr>
            <w:tcW w:w="42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51,481</w:t>
            </w:r>
          </w:p>
        </w:tc>
        <w:tc>
          <w:tcPr>
            <w:tcW w:w="100" w:type="dxa"/>
            <w:vAlign w:val="bottom"/>
            <w:tcBorders>
              <w:top w:val="single" w:sz="8" w:color="E5E5E5"/>
              <w:left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fair value</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19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gridSpan w:val="3"/>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w w:val="91"/>
              </w:rPr>
              <w:t>   2,470</w:t>
            </w:r>
          </w:p>
        </w:tc>
        <w:tc>
          <w:tcPr>
            <w:tcW w:w="2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99"/>
              </w:rPr>
              <w:t>   251</w:t>
            </w:r>
          </w:p>
        </w:tc>
        <w:tc>
          <w:tcPr>
            <w:tcW w:w="360" w:type="dxa"/>
            <w:vAlign w:val="bottom"/>
            <w:tcBorders>
              <w:left w:val="single" w:sz="8" w:color="E5E5E5"/>
            </w:tcBorders>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5E5E5"/>
          </w:tcPr>
          <w:p>
            <w:pPr>
              <w:spacing w:after="0"/>
              <w:rPr>
                <w:sz w:val="14"/>
                <w:szCs w:val="14"/>
                <w:color w:val="auto"/>
              </w:rPr>
            </w:pPr>
          </w:p>
        </w:tc>
        <w:tc>
          <w:tcPr>
            <w:tcW w:w="2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4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100" w:type="dxa"/>
            <w:vAlign w:val="bottom"/>
            <w:tcBorders>
              <w:left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For the six months ended June 30, 2024 and 2025, the Company recognized losses related to the change in the fair value of the common stock warrant liability and redeemable convertible preferred stock warrant liability in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385"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other expense, net in the statements of operations and comprehensive loss. The Company will continue to recognize changes in the fair value of the common stock warrant liability and redeemable convertible preferred stock warrant liability until the warrants are exercised, expire, or qualify for equity classification.</w:t>
      </w:r>
    </w:p>
    <w:p>
      <w:pPr>
        <w:spacing w:after="0" w:line="136" w:lineRule="exact"/>
        <w:rPr>
          <w:sz w:val="20"/>
          <w:szCs w:val="20"/>
          <w:color w:val="auto"/>
        </w:rPr>
      </w:pPr>
    </w:p>
    <w:p>
      <w:pPr>
        <w:ind w:left="1360" w:right="419"/>
        <w:spacing w:after="0" w:line="258" w:lineRule="auto"/>
        <w:rPr>
          <w:sz w:val="20"/>
          <w:szCs w:val="20"/>
          <w:color w:val="auto"/>
        </w:rPr>
      </w:pPr>
      <w:r>
        <w:rPr>
          <w:rFonts w:ascii="Times New Roman" w:cs="Times New Roman" w:eastAsia="Times New Roman" w:hAnsi="Times New Roman"/>
          <w:sz w:val="14"/>
          <w:szCs w:val="14"/>
          <w:color w:val="auto"/>
        </w:rPr>
        <w:t>For the six months ended June 30, 2024, the Company recognized losses related to the change in the fair value of convertible notes in change in fair value of convertible notes in the statements of operations and comprehensive loss. During the six months ended June 30, 2024, the convertible notes were settled in Series C-1 Redeemable Convertible Preferred Stock which was accounted for as a debt extinguishment as the settlement was not pursuant to the original conversion terms. The Company recorded a gain on extinguishment in net gain on extinguishment of debt in the statements of operations and comprehensive loss upon the conversion date (See Note 8).</w:t>
      </w:r>
    </w:p>
    <w:p>
      <w:pPr>
        <w:spacing w:after="0" w:line="142" w:lineRule="exact"/>
        <w:rPr>
          <w:sz w:val="20"/>
          <w:szCs w:val="20"/>
          <w:color w:val="auto"/>
        </w:rPr>
      </w:pPr>
    </w:p>
    <w:p>
      <w:pPr>
        <w:ind w:left="1360" w:right="479"/>
        <w:spacing w:after="0" w:line="282" w:lineRule="auto"/>
        <w:rPr>
          <w:sz w:val="20"/>
          <w:szCs w:val="20"/>
          <w:color w:val="auto"/>
        </w:rPr>
      </w:pPr>
      <w:r>
        <w:rPr>
          <w:rFonts w:ascii="Times New Roman" w:cs="Times New Roman" w:eastAsia="Times New Roman" w:hAnsi="Times New Roman"/>
          <w:sz w:val="14"/>
          <w:szCs w:val="14"/>
          <w:color w:val="auto"/>
        </w:rPr>
        <w:t>For the six months ended June 30, 2025, the Company recognized a loss related to the change in fair value of the term loan in change in fair value of term loan in the statements of operations and comprehensive loss.</w:t>
      </w:r>
    </w:p>
    <w:p>
      <w:pPr>
        <w:spacing w:after="0" w:line="125"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common stock warrant liability and redeemable convertible preferred stock warrant liabilities are recorded within other non-current liabilities on the balance sheets as of December 31, 2024 and June 30, 2025. The term loan is recorded within long-term debt on the balance sheet as of December 31, 2024, and June 30, 2025.</w:t>
      </w:r>
    </w:p>
    <w:p>
      <w:pPr>
        <w:spacing w:after="0" w:line="136"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Company recognizes transfers among Level 1, Level 2 and Level 3 classifications as of the actual date of the events or change in circumstances that caused the transfers. During the six months ended June 30, 2024 and 2025, the Company had no transfers of financial assets or liabilities between different levels of the fair value hierarchy.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4480" w:type="dxa"/>
            <w:vAlign w:val="bottom"/>
            <w:tcBorders>
              <w:bottom w:val="single" w:sz="8" w:color="E5E5E5"/>
            </w:tcBorders>
          </w:tcPr>
          <w:p>
            <w:pPr>
              <w:spacing w:after="0"/>
              <w:rPr>
                <w:sz w:val="11"/>
                <w:szCs w:val="11"/>
                <w:color w:val="auto"/>
              </w:rPr>
            </w:pPr>
          </w:p>
        </w:tc>
        <w:tc>
          <w:tcPr>
            <w:tcW w:w="1680" w:type="dxa"/>
            <w:vAlign w:val="bottom"/>
            <w:tcBorders>
              <w:bottom w:val="single" w:sz="8" w:color="E5E5E5"/>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E5E5E5"/>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E5E5E5"/>
            </w:tcBorders>
          </w:tcPr>
          <w:p>
            <w:pPr>
              <w:spacing w:after="0"/>
              <w:rPr>
                <w:sz w:val="11"/>
                <w:szCs w:val="11"/>
                <w:color w:val="auto"/>
              </w:rPr>
            </w:pPr>
          </w:p>
        </w:tc>
      </w:tr>
      <w:tr>
        <w:trPr>
          <w:trHeight w:val="158"/>
        </w:trPr>
        <w:tc>
          <w:tcPr>
            <w:tcW w:w="448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1680" w:type="dxa"/>
            <w:vAlign w:val="bottom"/>
            <w:shd w:val="clear" w:color="auto" w:fill="E5E5E5"/>
          </w:tcPr>
          <w:p>
            <w:pPr>
              <w:spacing w:after="0"/>
              <w:rPr>
                <w:sz w:val="13"/>
                <w:szCs w:val="13"/>
                <w:color w:val="auto"/>
              </w:rPr>
            </w:pPr>
          </w:p>
        </w:tc>
        <w:tc>
          <w:tcPr>
            <w:tcW w:w="12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14,585</w:t>
            </w:r>
          </w:p>
        </w:tc>
        <w:tc>
          <w:tcPr>
            <w:tcW w:w="1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40" w:type="dxa"/>
            <w:vAlign w:val="bottom"/>
            <w:shd w:val="clear" w:color="auto" w:fill="E5E5E5"/>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21,072</w:t>
            </w:r>
          </w:p>
        </w:tc>
        <w:tc>
          <w:tcPr>
            <w:tcW w:w="120" w:type="dxa"/>
            <w:vAlign w:val="bottom"/>
            <w:shd w:val="clear" w:color="auto" w:fill="E5E5E5"/>
          </w:tcPr>
          <w:p>
            <w:pPr>
              <w:spacing w:after="0"/>
              <w:rPr>
                <w:sz w:val="13"/>
                <w:szCs w:val="13"/>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Equipment under finance leases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6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20" w:type="dxa"/>
            <w:vAlign w:val="bottom"/>
            <w:shd w:val="clear" w:color="auto" w:fill="E5E5E5"/>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Computer hardware</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20" w:type="dxa"/>
            <w:vAlign w:val="bottom"/>
            <w:shd w:val="clear" w:color="auto" w:fill="E5E5E5"/>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16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shd w:val="clear" w:color="auto" w:fill="E5E5E5"/>
          </w:tcPr>
          <w:p>
            <w:pPr>
              <w:spacing w:after="0"/>
              <w:rPr>
                <w:sz w:val="14"/>
                <w:szCs w:val="14"/>
                <w:color w:val="auto"/>
              </w:rPr>
            </w:pPr>
          </w:p>
        </w:tc>
      </w:tr>
      <w:tr>
        <w:trPr>
          <w:trHeight w:val="169"/>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Automobiles</w:t>
            </w: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r>
      <w:tr>
        <w:trPr>
          <w:trHeight w:val="168"/>
        </w:trPr>
        <w:tc>
          <w:tcPr>
            <w:tcW w:w="44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8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34,260</w:t>
            </w:r>
          </w:p>
        </w:tc>
        <w:tc>
          <w:tcPr>
            <w:tcW w:w="140" w:type="dxa"/>
            <w:vAlign w:val="bottom"/>
            <w:shd w:val="clear" w:color="auto" w:fill="E5E5E5"/>
          </w:tcPr>
          <w:p>
            <w:pPr>
              <w:spacing w:after="0"/>
              <w:rPr>
                <w:sz w:val="14"/>
                <w:szCs w:val="14"/>
                <w:color w:val="auto"/>
              </w:rPr>
            </w:pPr>
          </w:p>
        </w:tc>
        <w:tc>
          <w:tcPr>
            <w:tcW w:w="260" w:type="dxa"/>
            <w:vAlign w:val="bottom"/>
            <w:gridSpan w:val="2"/>
            <w:shd w:val="clear" w:color="auto" w:fill="E5E5E5"/>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39,793</w:t>
            </w:r>
          </w:p>
        </w:tc>
        <w:tc>
          <w:tcPr>
            <w:tcW w:w="120" w:type="dxa"/>
            <w:vAlign w:val="bottom"/>
            <w:shd w:val="clear" w:color="auto" w:fill="E5E5E5"/>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(20,687)</w:t>
            </w:r>
          </w:p>
        </w:tc>
      </w:tr>
      <w:tr>
        <w:trPr>
          <w:trHeight w:val="21"/>
        </w:trPr>
        <w:tc>
          <w:tcPr>
            <w:tcW w:w="4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44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80" w:type="dxa"/>
            <w:vAlign w:val="bottom"/>
            <w:shd w:val="clear" w:color="auto" w:fill="E5E5E5"/>
          </w:tcPr>
          <w:p>
            <w:pPr>
              <w:spacing w:after="0"/>
              <w:rPr>
                <w:sz w:val="14"/>
                <w:szCs w:val="14"/>
                <w:color w:val="auto"/>
              </w:rPr>
            </w:pP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         17,111</w:t>
            </w:r>
          </w:p>
        </w:tc>
        <w:tc>
          <w:tcPr>
            <w:tcW w:w="140" w:type="dxa"/>
            <w:vAlign w:val="bottom"/>
            <w:shd w:val="clear" w:color="auto" w:fill="E5E5E5"/>
          </w:tcPr>
          <w:p>
            <w:pPr>
              <w:spacing w:after="0"/>
              <w:rPr>
                <w:sz w:val="14"/>
                <w:szCs w:val="14"/>
                <w:color w:val="auto"/>
              </w:rPr>
            </w:pPr>
          </w:p>
        </w:tc>
        <w:tc>
          <w:tcPr>
            <w:tcW w:w="260" w:type="dxa"/>
            <w:vAlign w:val="bottom"/>
            <w:gridSpan w:val="2"/>
            <w:shd w:val="clear" w:color="auto" w:fill="E5E5E5"/>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4"/>
                <w:szCs w:val="14"/>
                <w:color w:val="auto"/>
              </w:rPr>
              <w:t>         19,106</w:t>
            </w:r>
          </w:p>
        </w:tc>
      </w:tr>
      <w:tr>
        <w:trPr>
          <w:trHeight w:val="20"/>
        </w:trPr>
        <w:tc>
          <w:tcPr>
            <w:tcW w:w="4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79"/>
        <w:spacing w:after="0" w:line="282" w:lineRule="auto"/>
        <w:rPr>
          <w:sz w:val="20"/>
          <w:szCs w:val="20"/>
          <w:color w:val="auto"/>
        </w:rPr>
      </w:pPr>
      <w:r>
        <w:rPr>
          <w:rFonts w:ascii="Times New Roman" w:cs="Times New Roman" w:eastAsia="Times New Roman" w:hAnsi="Times New Roman"/>
          <w:sz w:val="14"/>
          <w:szCs w:val="14"/>
          <w:color w:val="auto"/>
        </w:rPr>
        <w:t>Depreciation and amortization expense for the six months ended June 30, 2024 and 2025 was $3.4 million and $3.5 million, respectively. Amounts included in construction in progress consists of purchases of lab equipment that have not yet been placed into service.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385"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4520" w:type="dxa"/>
            <w:vAlign w:val="bottom"/>
            <w:tcBorders>
              <w:bottom w:val="single" w:sz="8" w:color="E5E5E5"/>
            </w:tcBorders>
          </w:tcPr>
          <w:p>
            <w:pPr>
              <w:spacing w:after="0"/>
              <w:rPr>
                <w:sz w:val="11"/>
                <w:szCs w:val="11"/>
                <w:color w:val="auto"/>
              </w:rPr>
            </w:pPr>
          </w:p>
        </w:tc>
        <w:tc>
          <w:tcPr>
            <w:tcW w:w="182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E5E5E5"/>
            </w:tcBorders>
          </w:tcPr>
          <w:p>
            <w:pPr>
              <w:spacing w:after="0"/>
              <w:rPr>
                <w:sz w:val="11"/>
                <w:szCs w:val="11"/>
                <w:color w:val="auto"/>
              </w:rPr>
            </w:pPr>
          </w:p>
        </w:tc>
      </w:tr>
      <w:tr>
        <w:trPr>
          <w:trHeight w:val="148"/>
        </w:trPr>
        <w:tc>
          <w:tcPr>
            <w:tcW w:w="452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Accrued professional services</w:t>
            </w:r>
          </w:p>
        </w:tc>
        <w:tc>
          <w:tcPr>
            <w:tcW w:w="1820" w:type="dxa"/>
            <w:vAlign w:val="bottom"/>
            <w:shd w:val="clear" w:color="auto" w:fill="E5E5E5"/>
          </w:tcPr>
          <w:p>
            <w:pPr>
              <w:spacing w:after="0"/>
              <w:rPr>
                <w:sz w:val="12"/>
                <w:szCs w:val="12"/>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898</w:t>
            </w: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2,406</w:t>
            </w:r>
          </w:p>
        </w:tc>
        <w:tc>
          <w:tcPr>
            <w:tcW w:w="60" w:type="dxa"/>
            <w:vAlign w:val="bottom"/>
            <w:shd w:val="clear" w:color="auto" w:fill="E5E5E5"/>
          </w:tcPr>
          <w:p>
            <w:pPr>
              <w:spacing w:after="0"/>
              <w:rPr>
                <w:sz w:val="12"/>
                <w:szCs w:val="12"/>
                <w:color w:val="auto"/>
              </w:rPr>
            </w:pPr>
          </w:p>
        </w:tc>
      </w:tr>
      <w:tr>
        <w:trPr>
          <w:trHeight w:val="157"/>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Accrued inventory purchases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fixed asset purchases</w:t>
            </w: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60" w:type="dxa"/>
            <w:vAlign w:val="bottom"/>
            <w:shd w:val="clear" w:color="auto" w:fill="E5E5E5"/>
          </w:tcPr>
          <w:p>
            <w:pPr>
              <w:spacing w:after="0"/>
              <w:rPr>
                <w:sz w:val="13"/>
                <w:szCs w:val="13"/>
                <w:color w:val="auto"/>
              </w:rPr>
            </w:pPr>
          </w:p>
        </w:tc>
      </w:tr>
      <w:tr>
        <w:trPr>
          <w:trHeight w:val="157"/>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Insurance payor liability</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property and other taxes</w:t>
            </w: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shd w:val="clear" w:color="auto" w:fill="E5E5E5"/>
          </w:tcPr>
          <w:p>
            <w:pPr>
              <w:spacing w:after="0"/>
              <w:rPr>
                <w:sz w:val="13"/>
                <w:szCs w:val="13"/>
                <w:color w:val="auto"/>
              </w:rPr>
            </w:pPr>
          </w:p>
        </w:tc>
      </w:tr>
      <w:tr>
        <w:trPr>
          <w:trHeight w:val="157"/>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Accrued information technology purchases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legal expenses</w:t>
            </w: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60" w:type="dxa"/>
            <w:vAlign w:val="bottom"/>
            <w:shd w:val="clear" w:color="auto" w:fill="E5E5E5"/>
          </w:tcPr>
          <w:p>
            <w:pPr>
              <w:spacing w:after="0"/>
              <w:rPr>
                <w:sz w:val="13"/>
                <w:szCs w:val="13"/>
                <w:color w:val="auto"/>
              </w:rPr>
            </w:pPr>
          </w:p>
        </w:tc>
      </w:tr>
      <w:tr>
        <w:trPr>
          <w:trHeight w:val="157"/>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Accrued phlebotomy expenses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insurance expenses</w:t>
            </w: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60" w:type="dxa"/>
            <w:vAlign w:val="bottom"/>
            <w:shd w:val="clear" w:color="auto" w:fill="E5E5E5"/>
          </w:tcPr>
          <w:p>
            <w:pPr>
              <w:spacing w:after="0"/>
              <w:rPr>
                <w:sz w:val="13"/>
                <w:szCs w:val="13"/>
                <w:color w:val="auto"/>
              </w:rPr>
            </w:pPr>
          </w:p>
        </w:tc>
      </w:tr>
      <w:tr>
        <w:trPr>
          <w:trHeight w:val="157"/>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Accrued rent</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Accrued clinical expenses</w:t>
            </w:r>
          </w:p>
        </w:tc>
        <w:tc>
          <w:tcPr>
            <w:tcW w:w="1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60" w:type="dxa"/>
            <w:vAlign w:val="bottom"/>
            <w:shd w:val="clear" w:color="auto" w:fill="E5E5E5"/>
          </w:tcPr>
          <w:p>
            <w:pPr>
              <w:spacing w:after="0"/>
              <w:rPr>
                <w:sz w:val="13"/>
                <w:szCs w:val="13"/>
                <w:color w:val="auto"/>
              </w:rPr>
            </w:pPr>
          </w:p>
        </w:tc>
      </w:tr>
      <w:tr>
        <w:trPr>
          <w:trHeight w:val="158"/>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60" w:type="dxa"/>
            <w:vAlign w:val="bottom"/>
          </w:tcPr>
          <w:p>
            <w:pPr>
              <w:spacing w:after="0"/>
              <w:rPr>
                <w:sz w:val="13"/>
                <w:szCs w:val="13"/>
                <w:color w:val="auto"/>
              </w:rPr>
            </w:pPr>
          </w:p>
        </w:tc>
      </w:tr>
      <w:tr>
        <w:trPr>
          <w:trHeight w:val="157"/>
        </w:trPr>
        <w:tc>
          <w:tcPr>
            <w:tcW w:w="45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9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           3,882</w:t>
            </w:r>
          </w:p>
        </w:tc>
        <w:tc>
          <w:tcPr>
            <w:tcW w:w="340" w:type="dxa"/>
            <w:vAlign w:val="bottom"/>
            <w:gridSpan w:val="2"/>
            <w:shd w:val="clear" w:color="auto" w:fill="E5E5E5"/>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3"/>
                <w:szCs w:val="13"/>
                <w:color w:val="auto"/>
              </w:rPr>
              <w:t>           8,270</w:t>
            </w:r>
          </w:p>
        </w:tc>
      </w:tr>
      <w:tr>
        <w:trPr>
          <w:trHeight w:val="20"/>
        </w:trPr>
        <w:tc>
          <w:tcPr>
            <w:tcW w:w="4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(6) Redeemable Convertible Preferred Stock</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and June 30, 2025, redeemable convertible preferred stock consisted of the following (in thousands, except for share data):</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280" w:type="dxa"/>
            <w:vAlign w:val="bottom"/>
          </w:tcPr>
          <w:p>
            <w:pPr>
              <w:spacing w:after="0"/>
              <w:rPr>
                <w:sz w:val="11"/>
                <w:szCs w:val="11"/>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Issued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2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Preference</w:t>
            </w:r>
          </w:p>
        </w:tc>
        <w:tc>
          <w:tcPr>
            <w:tcW w:w="0" w:type="dxa"/>
            <w:vAlign w:val="bottom"/>
          </w:tcPr>
          <w:p>
            <w:pPr>
              <w:spacing w:after="0"/>
              <w:rPr>
                <w:sz w:val="1"/>
                <w:szCs w:val="1"/>
                <w:color w:val="auto"/>
              </w:rPr>
            </w:pPr>
          </w:p>
        </w:tc>
      </w:tr>
      <w:tr>
        <w:trPr>
          <w:trHeight w:val="148"/>
        </w:trPr>
        <w:tc>
          <w:tcPr>
            <w:tcW w:w="4280" w:type="dxa"/>
            <w:vAlign w:val="bottom"/>
            <w:tcBorders>
              <w:top w:val="single" w:sz="8" w:color="E5E5E5"/>
            </w:tcBorders>
            <w:shd w:val="clear" w:color="auto" w:fill="E5E5E5"/>
          </w:tcPr>
          <w:p>
            <w:pPr>
              <w:spacing w:after="0" w:line="148" w:lineRule="exact"/>
              <w:rPr>
                <w:sz w:val="20"/>
                <w:szCs w:val="20"/>
                <w:color w:val="auto"/>
              </w:rPr>
            </w:pPr>
            <w:r>
              <w:rPr>
                <w:rFonts w:ascii="Times New Roman" w:cs="Times New Roman" w:eastAsia="Times New Roman" w:hAnsi="Times New Roman"/>
                <w:sz w:val="13"/>
                <w:szCs w:val="13"/>
                <w:color w:val="auto"/>
              </w:rPr>
              <w:t>Series A-1</w:t>
            </w: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20" w:type="dxa"/>
            <w:vAlign w:val="bottom"/>
            <w:tcBorders>
              <w:top w:val="single" w:sz="8" w:color="E5E5E5"/>
            </w:tcBorders>
            <w:shd w:val="clear" w:color="auto" w:fill="E5E5E5"/>
          </w:tcPr>
          <w:p>
            <w:pPr>
              <w:spacing w:after="0"/>
              <w:rPr>
                <w:sz w:val="12"/>
                <w:szCs w:val="12"/>
                <w:color w:val="auto"/>
              </w:rPr>
            </w:pPr>
          </w:p>
        </w:tc>
        <w:tc>
          <w:tcPr>
            <w:tcW w:w="88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1,349,650</w:t>
            </w:r>
          </w:p>
        </w:tc>
        <w:tc>
          <w:tcPr>
            <w:tcW w:w="20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3,493</w:t>
            </w:r>
          </w:p>
        </w:tc>
        <w:tc>
          <w:tcPr>
            <w:tcW w:w="20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auto"/>
            </w:tcBorders>
            <w:shd w:val="clear" w:color="auto" w:fill="E5E5E5"/>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E5E5E5"/>
          </w:tcPr>
          <w:p>
            <w:pPr>
              <w:jc w:val="right"/>
              <w:spacing w:after="0" w:line="148" w:lineRule="exact"/>
              <w:rPr>
                <w:sz w:val="20"/>
                <w:szCs w:val="20"/>
                <w:color w:val="auto"/>
              </w:rPr>
            </w:pPr>
            <w:r>
              <w:rPr>
                <w:rFonts w:ascii="Times New Roman" w:cs="Times New Roman" w:eastAsia="Times New Roman" w:hAnsi="Times New Roman"/>
                <w:sz w:val="13"/>
                <w:szCs w:val="13"/>
                <w:color w:val="auto"/>
              </w:rPr>
              <w:t>540</w:t>
            </w:r>
          </w:p>
        </w:tc>
        <w:tc>
          <w:tcPr>
            <w:tcW w:w="6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1,137,210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A-3</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899,730</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A-5</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114,613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A-6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5,805,861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5,796,201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B-1</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5,182,287</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54,889</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B-2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2,566,902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C</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6,079,919</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5,628,825</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143,268</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143,500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Series C-1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1,726,823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Series D</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4,656,233</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129,996</w:t>
            </w:r>
          </w:p>
        </w:tc>
        <w:tc>
          <w:tcPr>
            <w:tcW w:w="2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156,563</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29,544,989</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29,084,235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419,409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422,458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rights, preferences and privileges of the Company’s redeemable convertible preferred stock are as follows: (i)</w:t>
      </w:r>
    </w:p>
    <w:p>
      <w:pPr>
        <w:spacing w:after="0" w:line="99" w:lineRule="exact"/>
        <w:rPr>
          <w:sz w:val="20"/>
          <w:szCs w:val="20"/>
          <w:color w:val="auto"/>
        </w:rPr>
      </w:pPr>
    </w:p>
    <w:p>
      <w:pPr>
        <w:ind w:left="1700" w:hanging="337"/>
        <w:spacing w:after="0"/>
        <w:tabs>
          <w:tab w:leader="none" w:pos="17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Dividends</w:t>
      </w:r>
    </w:p>
    <w:p>
      <w:pPr>
        <w:spacing w:after="0" w:line="92" w:lineRule="exact"/>
        <w:rPr>
          <w:rFonts w:ascii="Times New Roman" w:cs="Times New Roman" w:eastAsia="Times New Roman" w:hAnsi="Times New Roman"/>
          <w:sz w:val="14"/>
          <w:szCs w:val="14"/>
          <w:color w:val="auto"/>
        </w:rPr>
      </w:pPr>
    </w:p>
    <w:p>
      <w:pPr>
        <w:ind w:left="170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shares of redeemable convertible preferred stock shall be entitled to receive dividends prior and in preference to any declaration of dividends on common stock. Dividends are payable only when and if declared by the Company’s Board of Directors and are not cumulative. After dividends paid on redeemable convertible preferred stock, any dividends or distribution should be distributed to the holders of common and redeemable convertible preferred stock on an as-converted basis. No dividends have been declared or paid through June 30, 2025.</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385"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700" w:hanging="337"/>
        <w:spacing w:after="0"/>
        <w:tabs>
          <w:tab w:leader="none" w:pos="17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Liquidation Preference</w:t>
      </w:r>
    </w:p>
    <w:p>
      <w:pPr>
        <w:spacing w:after="0" w:line="92" w:lineRule="exact"/>
        <w:rPr>
          <w:rFonts w:ascii="Times New Roman" w:cs="Times New Roman" w:eastAsia="Times New Roman" w:hAnsi="Times New Roman"/>
          <w:sz w:val="14"/>
          <w:szCs w:val="14"/>
          <w:color w:val="auto"/>
        </w:rPr>
      </w:pPr>
    </w:p>
    <w:p>
      <w:pPr>
        <w:ind w:left="170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liquidation as approved by the Board of Directors, dissolution, or winding up of the Company, the holders of Series D shall be entitled to receive out of the proceeds or assets of this corporation available for distribution to its stockholders, prior and in preference to any distribution of proceeds to the holders of common stock, an amount per share equal the sum of 1.2 times the original issue price of $28.0204, plus declared but unpaid dividends on such shares and (ii) the holders of each other series of redeemable convertible preferred stock shall be entitled to receive the assets of the Company available for distribution, prior and in preference to any distribution of proceeds to the holders of common stock, an amount per share equal to the sum of the applicable original issue price for such series of redeemable convertible preferred stock, plus declared but unpaid dividends on such share. If, upon occurrence of such event, the proceeds distributed among the holders of redeemable convertible preferred stock shall be insufficient to permit the payment to such holders of the full preferential amounts, then the entire proceeds available for distribution shall be distributed ratably among the holders of the redeemable convertible preferred stock in proportion to the full preferential amount.</w:t>
      </w:r>
    </w:p>
    <w:p>
      <w:pPr>
        <w:spacing w:after="0" w:line="74" w:lineRule="exact"/>
        <w:rPr>
          <w:rFonts w:ascii="Times New Roman" w:cs="Times New Roman" w:eastAsia="Times New Roman" w:hAnsi="Times New Roman"/>
          <w:sz w:val="14"/>
          <w:szCs w:val="14"/>
          <w:color w:val="auto"/>
        </w:rPr>
      </w:pPr>
    </w:p>
    <w:p>
      <w:pPr>
        <w:ind w:left="1700" w:hanging="337"/>
        <w:spacing w:after="0"/>
        <w:tabs>
          <w:tab w:leader="none" w:pos="17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Conversion</w:t>
      </w:r>
    </w:p>
    <w:p>
      <w:pPr>
        <w:spacing w:after="0" w:line="92" w:lineRule="exact"/>
        <w:rPr>
          <w:rFonts w:ascii="Times New Roman" w:cs="Times New Roman" w:eastAsia="Times New Roman" w:hAnsi="Times New Roman"/>
          <w:sz w:val="14"/>
          <w:szCs w:val="14"/>
          <w:color w:val="auto"/>
        </w:rPr>
      </w:pPr>
    </w:p>
    <w:p>
      <w:pPr>
        <w:ind w:left="1700" w:right="2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redeemable convertible preferred stock is convertible into common stock at any time after the issuance of the shares at the option of the holder (each share of Series A-1, Series A-2, Series A-3, Series A-4, Series A-5, Series A-6, Series B-1, Series B-2, Series C, Series C-1 and Series D is convertible to Common Stock). The conversion rate is determined by dividing the original issue price (as adjusted for any recapitalization) by the conversion price. The original issue prices of Series A-1, Series A-2, Series A-3, Series A-4, Series A-5, Series A-6, Series B-1, Series B-2, Series C, Series C-1 and Series D are $0.4001, $0.8002, $1.0003, $1.9409, $0.8725, $2.5879, $10.6130, $6.2429, $25.4937, $19.6143, and $28.0204, respectively. The initial conversion price per share for each series of redeemable convertible preferred stock shall be the original issue price applicable to such series (1:1 conversion ratio), however that conversion price shall be subject to adjustment. There have been no adjustments to the conversion price since original issuance.</w:t>
      </w:r>
    </w:p>
    <w:p>
      <w:pPr>
        <w:spacing w:after="0" w:line="64" w:lineRule="exact"/>
        <w:rPr>
          <w:rFonts w:ascii="Times New Roman" w:cs="Times New Roman" w:eastAsia="Times New Roman" w:hAnsi="Times New Roman"/>
          <w:sz w:val="14"/>
          <w:szCs w:val="14"/>
          <w:color w:val="auto"/>
        </w:rPr>
      </w:pPr>
    </w:p>
    <w:p>
      <w:pPr>
        <w:ind w:left="1700" w:right="31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redeemable convertible preferred stock shall automatically be converted into such shares of common stock at the conversion rate at the time in effect for such series redeemable convertible preferred stock at the closing of this corporation’s sale of its common stock in public offering, that results in at least $100,000,000 of gross proceeds; at this corporation’s initial listing of common stock on national securities exchange; in a Special Purpose Acquisition Company transaction, or the date or occurrence of an event specified by vote of redeemable convertible preferred stock (voting together as a single class and not as separate series, and on an as-converted basis).</w:t>
      </w:r>
    </w:p>
    <w:p>
      <w:pPr>
        <w:spacing w:after="0" w:line="66" w:lineRule="exact"/>
        <w:rPr>
          <w:rFonts w:ascii="Times New Roman" w:cs="Times New Roman" w:eastAsia="Times New Roman" w:hAnsi="Times New Roman"/>
          <w:sz w:val="14"/>
          <w:szCs w:val="14"/>
          <w:color w:val="auto"/>
        </w:rPr>
      </w:pPr>
    </w:p>
    <w:p>
      <w:pPr>
        <w:ind w:left="1700" w:hanging="337"/>
        <w:spacing w:after="0"/>
        <w:tabs>
          <w:tab w:leader="none" w:pos="17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Voting Rights</w:t>
      </w:r>
    </w:p>
    <w:p>
      <w:pPr>
        <w:spacing w:after="0" w:line="92" w:lineRule="exact"/>
        <w:rPr>
          <w:rFonts w:ascii="Times New Roman" w:cs="Times New Roman" w:eastAsia="Times New Roman" w:hAnsi="Times New Roman"/>
          <w:sz w:val="14"/>
          <w:szCs w:val="14"/>
          <w:color w:val="auto"/>
        </w:rPr>
      </w:pPr>
    </w:p>
    <w:p>
      <w:pPr>
        <w:ind w:left="1700" w:right="37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each share of redeemable convertible preferred stock shall have the right to one vote for each share of common stock into which such redeemable convertible preferred stock could then be converted. Thus, the holders of redeemable convertible preferred stock shall have the same voting rights as the holders of common stock.</w:t>
      </w:r>
    </w:p>
    <w:p>
      <w:pPr>
        <w:spacing w:after="0" w:line="52" w:lineRule="exact"/>
        <w:rPr>
          <w:rFonts w:ascii="Times New Roman" w:cs="Times New Roman" w:eastAsia="Times New Roman" w:hAnsi="Times New Roman"/>
          <w:sz w:val="14"/>
          <w:szCs w:val="14"/>
          <w:color w:val="auto"/>
        </w:rPr>
      </w:pPr>
    </w:p>
    <w:p>
      <w:pPr>
        <w:ind w:left="1700" w:right="27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long as at least 1,449,050 shares of Series A redeemable convertible preferred stock remain outstanding, the holders of such shares of Series A redeemable convertible preferred stock shall be entitled to elect two directors of the Company at any election of directors. As long as at least 1,225,790 shares of Series C redeemable convertible preferred stock remain outstanding, the holders of such shares of Series C redeemable convertible preferred stock shall be entitled to elect one director of the Company at any election of directors. As long as at least 1,164,058 shares of Series D redeemable convertible preferred stock remain outstanding, the holders of such shares of Series D redeemable convertible preferred stock shall be entitled</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385"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700" w:right="299"/>
        <w:spacing w:after="0" w:line="282" w:lineRule="auto"/>
        <w:rPr>
          <w:sz w:val="20"/>
          <w:szCs w:val="20"/>
          <w:color w:val="auto"/>
        </w:rPr>
      </w:pPr>
      <w:r>
        <w:rPr>
          <w:rFonts w:ascii="Times New Roman" w:cs="Times New Roman" w:eastAsia="Times New Roman" w:hAnsi="Times New Roman"/>
          <w:sz w:val="14"/>
          <w:szCs w:val="14"/>
          <w:color w:val="auto"/>
        </w:rPr>
        <w:t>to elect one director of the Company at any election of directors. The holders of outstanding common stock shall be entitled to elect four directors of this Corporation at any election of directors.</w:t>
      </w:r>
    </w:p>
    <w:p>
      <w:pPr>
        <w:spacing w:after="0" w:line="50" w:lineRule="exact"/>
        <w:rPr>
          <w:sz w:val="20"/>
          <w:szCs w:val="20"/>
          <w:color w:val="auto"/>
        </w:rPr>
      </w:pPr>
    </w:p>
    <w:p>
      <w:pPr>
        <w:ind w:left="1700" w:hanging="337"/>
        <w:spacing w:after="0"/>
        <w:tabs>
          <w:tab w:leader="none" w:pos="170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Redemption</w:t>
      </w:r>
    </w:p>
    <w:p>
      <w:pPr>
        <w:spacing w:after="0" w:line="92" w:lineRule="exact"/>
        <w:rPr>
          <w:rFonts w:ascii="Times New Roman" w:cs="Times New Roman" w:eastAsia="Times New Roman" w:hAnsi="Times New Roman"/>
          <w:sz w:val="14"/>
          <w:szCs w:val="14"/>
          <w:color w:val="auto"/>
        </w:rPr>
      </w:pPr>
    </w:p>
    <w:p>
      <w:pPr>
        <w:ind w:left="1700" w:right="37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redeemable convertible preferred stock have no voluntary rights to redeem shares. A liquidation, dissolution or winding up of the Company, a greater than 50% change in control, or a sale of substantially all of its assets would constitute a redemption event. Although the redeemable convertible preferred stock is not mandatorily or currently redeemable, given the shares are redeemable upon an event outside the Company’s control, all shares of redeemable convertible preferred stock have been presented outside of permanent equity on the balance sheets. The carrying values of redeemable convertible preferred stock have not been accreted to their redemption values as redemption events are not probable to occur.</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(7) Commitments and Contingencies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of which the outcome, if determined adversely, would individually or in the aggregate be expected to have a material and adverse effect on the business, operating results, cash flows, or financial position. Legal fees are expensed in the period in which they are incurred.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93" w:lineRule="exact"/>
        <w:rPr>
          <w:sz w:val="20"/>
          <w:szCs w:val="20"/>
          <w:color w:val="auto"/>
        </w:rPr>
      </w:pPr>
    </w:p>
    <w:p>
      <w:pPr>
        <w:ind w:left="1360" w:right="259"/>
        <w:spacing w:after="0" w:line="282"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As of December 31, 2024 and June 30, 2025,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December 31, 2024 and June 30, 2025.</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(8) Convertible Notes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September 2022, the Company entered into a Note Purchase Agreement for unsecured Convertible Promissory Notes (the “Notes”) to several note holders (the “Note Holders”) with a principal sum of $30.0 million together with interest thereon from the date of the Notes. The Notes accrue interest at a rate of 8.0% per annum, simple interest. The Notes were scheduled to mature on September 20, 2024, and the Company may not make prepayments without written consent of the majority Note holders.</w:t>
      </w:r>
    </w:p>
    <w:p>
      <w:pPr>
        <w:spacing w:after="0" w:line="139" w:lineRule="exact"/>
        <w:rPr>
          <w:sz w:val="20"/>
          <w:szCs w:val="20"/>
          <w:color w:val="auto"/>
        </w:rPr>
      </w:pPr>
    </w:p>
    <w:p>
      <w:pPr>
        <w:ind w:left="1360" w:right="339"/>
        <w:spacing w:after="0" w:line="282" w:lineRule="auto"/>
        <w:rPr>
          <w:sz w:val="20"/>
          <w:szCs w:val="20"/>
          <w:color w:val="auto"/>
        </w:rPr>
      </w:pPr>
      <w:r>
        <w:rPr>
          <w:rFonts w:ascii="Times New Roman" w:cs="Times New Roman" w:eastAsia="Times New Roman" w:hAnsi="Times New Roman"/>
          <w:sz w:val="14"/>
          <w:szCs w:val="14"/>
          <w:color w:val="auto"/>
        </w:rPr>
        <w:t>During May 2024, concurrent with the issuance of Series D redeemable convertible preferred stock, and pursuant to negotiation with the Note Holders, the Company and Note Holders agreed to settle the Notes through the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385"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issuance of Series C-1 redeemable convertible preferred stock to the Note Holders instead of Series D redeemable convertible preferred stock. The Notes converted into an aggregate of 1,726,823 shares of Series C-1 redeemable convertible preferred stock at a conversion price of approximately $19.6143 per share. The change in terms of the Notes was accounted for as a debt extinguishment as the settlement was not pursuant to the original conversion terms. Immediately prior to the extinguishment, the Company recorded a mark-to-market adjustment for the Notes resulting in a loss of $0.8 million for the six months ended June 30, 2024 which was recorded to change in fair value of convertible notes in the Company’s statements of operations and comprehensive loss. Upon extinguishment, the Company derecognized the Notes on the balance sheets at their fair value immediately prior to the extinguishment of $48.5 million. The difference of $8.6 million between the fair market value of the Series C-1 redeemable convertible preferred shares received by the Note Holders of $39.9 million and the fair value of the Notes immediately prior to the extinguishment was recorded as a gain on debt extinguishment in the Company’s statements of operations and comprehensive loss for the six months ended June 30, 2024.</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(9) Long-term Debt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Oberland Note Purchase Agreement</w:t>
      </w:r>
    </w:p>
    <w:p>
      <w:pPr>
        <w:spacing w:after="0" w:line="93" w:lineRule="exact"/>
        <w:rPr>
          <w:sz w:val="20"/>
          <w:szCs w:val="20"/>
          <w:color w:val="auto"/>
        </w:rPr>
      </w:pPr>
    </w:p>
    <w:p>
      <w:pPr>
        <w:ind w:left="1360" w:right="599"/>
        <w:spacing w:after="0" w:line="281" w:lineRule="auto"/>
        <w:rPr>
          <w:sz w:val="20"/>
          <w:szCs w:val="20"/>
          <w:color w:val="auto"/>
        </w:rPr>
      </w:pPr>
      <w:r>
        <w:rPr>
          <w:rFonts w:ascii="Times New Roman" w:cs="Times New Roman" w:eastAsia="Times New Roman" w:hAnsi="Times New Roman"/>
          <w:sz w:val="13"/>
          <w:szCs w:val="13"/>
          <w:color w:val="auto"/>
        </w:rPr>
        <w:t>In August 2024, the Company entered into a note purchase agreement (the “2024 Notes”) with BWCB SA LLC (an entity affiliated with Oberland Capital Management, LLC (“Oberland Capital”), which provided the Company with up to four tranches of capital advances totaling up to</w:t>
      </w: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$140.0 million. The advanced principal accrues interest at a rate of 8.0% per annum. The first tranche of $50.0 million was advanced on August 5, 2024, with a Maturity Date on the seventh anniversary of the first purchase date (August 31, 2031). The first tranche requires interest-only payments through August 31, 2031 and a lump sum payment due on August 31, 2031.</w:t>
      </w:r>
    </w:p>
    <w:p>
      <w:pPr>
        <w:spacing w:after="0" w:line="144" w:lineRule="exact"/>
        <w:rPr>
          <w:sz w:val="20"/>
          <w:szCs w:val="20"/>
          <w:color w:val="auto"/>
        </w:rPr>
      </w:pPr>
    </w:p>
    <w:p>
      <w:pPr>
        <w:ind w:left="1360" w:right="259"/>
        <w:spacing w:after="0" w:line="266" w:lineRule="auto"/>
        <w:rPr>
          <w:sz w:val="20"/>
          <w:szCs w:val="20"/>
          <w:color w:val="auto"/>
        </w:rPr>
      </w:pPr>
      <w:r>
        <w:rPr>
          <w:rFonts w:ascii="Times New Roman" w:cs="Times New Roman" w:eastAsia="Times New Roman" w:hAnsi="Times New Roman"/>
          <w:sz w:val="14"/>
          <w:szCs w:val="14"/>
          <w:color w:val="auto"/>
        </w:rPr>
        <w:t>The second tranche of up to $35.0 million in principal is available at the Company’s option at any time prior to September 30, 2025 provided that the trailing six-month worldwide net revenue of the Company is at least $80.0 million. As of June 30, 2025, the Company has not elected the option to draw on the second tranche.</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is required to sell the third tranche of notes in the amount of $30.0 million prior to March 31, 2026 as the Company has achieved the revenue and gross margin thresholds triggering this obligation during the first half of fiscal 2025. The thresholds triggering this tranche are trailing six-month revenue of at least $112.5 million and a trailing six-month gross margin of at least 45%. The terms of this tranche are identical to those of the first $50 million tranche.</w:t>
      </w:r>
    </w:p>
    <w:p>
      <w:pPr>
        <w:spacing w:after="0" w:line="139"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Gross Margin is defined as (I) net revenue minus cost of goods sold divided by (II) net revenue, expressed as a percentage. The fourth tranche of up to $25.0 million in principal will be made available to the Company at the mutual agreement of the parties at any time prior to March 31, 2026.</w:t>
      </w:r>
    </w:p>
    <w:p>
      <w:pPr>
        <w:spacing w:after="0" w:line="125" w:lineRule="exact"/>
        <w:rPr>
          <w:sz w:val="20"/>
          <w:szCs w:val="20"/>
          <w:color w:val="auto"/>
        </w:rPr>
      </w:pPr>
    </w:p>
    <w:p>
      <w:pPr>
        <w:ind w:left="1360" w:right="259"/>
        <w:spacing w:after="0" w:line="275" w:lineRule="auto"/>
        <w:rPr>
          <w:sz w:val="20"/>
          <w:szCs w:val="20"/>
          <w:color w:val="auto"/>
        </w:rPr>
      </w:pPr>
      <w:r>
        <w:rPr>
          <w:rFonts w:ascii="Times New Roman" w:cs="Times New Roman" w:eastAsia="Times New Roman" w:hAnsi="Times New Roman"/>
          <w:sz w:val="13"/>
          <w:szCs w:val="13"/>
          <w:color w:val="auto"/>
        </w:rPr>
        <w:t>The Company has the option at any time to prepay all of the then-outstanding notes, and Oberland Capital has the option to redeem the notes upon (i) a change in control of the Company, (ii) an event of default, or (iii) the maturity date. The redemption price of the note shall equal to the following: (1) 130% of principal amounts of notes if the payment is made within 24 months of issuance; (2)145% of principal amounts of notes if the payment is made within 36 months of issuance; (3) If the payment is made within 48 months, an amount that would generate an internal rate of return (“IRR”) of 12.25%;</w:t>
      </w:r>
    </w:p>
    <w:p>
      <w:pPr>
        <w:spacing w:after="0" w:line="1" w:lineRule="exact"/>
        <w:rPr>
          <w:sz w:val="20"/>
          <w:szCs w:val="20"/>
          <w:color w:val="auto"/>
        </w:rPr>
      </w:pPr>
    </w:p>
    <w:p>
      <w:pPr>
        <w:jc w:val="both"/>
        <w:ind w:left="1360" w:right="279" w:firstLine="3"/>
        <w:spacing w:after="0" w:line="255" w:lineRule="auto"/>
        <w:tabs>
          <w:tab w:leader="none" w:pos="155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payment is made within 60 months of the issuance, an amount that would generate an IRR of 11.75%; (5) if the payment is made thereafter but before maturity, an amount that would generate an IRR of 11.25%; and (6) if the payment is made at maturity, an amount that would generate an IRR of 10.0%.</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385"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The Company is required to maintain trailing six-month net revenue based on a schedule that gradually increases up to $120.0 million after the year ending December 31, 2026.</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9"/>
              </w:rPr>
              <w:t>Minimum Trailing</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00" w:type="dxa"/>
            <w:vAlign w:val="bottom"/>
            <w:gridSpan w:val="2"/>
          </w:tcPr>
          <w:p>
            <w:pPr>
              <w:jc w:val="center"/>
              <w:ind w:right="520"/>
              <w:spacing w:after="0" w:line="116" w:lineRule="exact"/>
              <w:rPr>
                <w:sz w:val="20"/>
                <w:szCs w:val="20"/>
                <w:color w:val="auto"/>
              </w:rPr>
            </w:pPr>
            <w:r>
              <w:rPr>
                <w:rFonts w:ascii="Times New Roman" w:cs="Times New Roman" w:eastAsia="Times New Roman" w:hAnsi="Times New Roman"/>
                <w:sz w:val="11"/>
                <w:szCs w:val="11"/>
                <w:b w:val="1"/>
                <w:bCs w:val="1"/>
                <w:color w:val="auto"/>
              </w:rPr>
              <w:t>Six-Month Net</w:t>
            </w:r>
          </w:p>
        </w:tc>
        <w:tc>
          <w:tcPr>
            <w:tcW w:w="0" w:type="dxa"/>
            <w:vAlign w:val="bottom"/>
          </w:tcPr>
          <w:p>
            <w:pPr>
              <w:spacing w:after="0"/>
              <w:rPr>
                <w:sz w:val="1"/>
                <w:szCs w:val="1"/>
                <w:color w:val="auto"/>
              </w:rPr>
            </w:pPr>
          </w:p>
        </w:tc>
      </w:tr>
      <w:tr>
        <w:trPr>
          <w:trHeight w:val="115"/>
        </w:trPr>
        <w:tc>
          <w:tcPr>
            <w:tcW w:w="3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0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1"/>
                <w:szCs w:val="11"/>
                <w:b w:val="1"/>
                <w:bCs w:val="1"/>
                <w:color w:val="auto"/>
              </w:rPr>
              <w:t>Revenue Threshold</w:t>
            </w:r>
          </w:p>
        </w:tc>
        <w:tc>
          <w:tcPr>
            <w:tcW w:w="0" w:type="dxa"/>
            <w:vAlign w:val="bottom"/>
          </w:tcPr>
          <w:p>
            <w:pPr>
              <w:spacing w:after="0"/>
              <w:rPr>
                <w:sz w:val="1"/>
                <w:szCs w:val="1"/>
                <w:color w:val="auto"/>
              </w:rPr>
            </w:pPr>
          </w:p>
        </w:tc>
      </w:tr>
      <w:tr>
        <w:trPr>
          <w:trHeight w:val="144"/>
        </w:trPr>
        <w:tc>
          <w:tcPr>
            <w:tcW w:w="340" w:type="dxa"/>
            <w:vAlign w:val="bottom"/>
            <w:tcBorders>
              <w:bottom w:val="single" w:sz="8" w:color="auto"/>
            </w:tcBorders>
            <w:vMerge w:val="continue"/>
          </w:tcPr>
          <w:p>
            <w:pPr>
              <w:spacing w:after="0"/>
              <w:rPr>
                <w:sz w:val="12"/>
                <w:szCs w:val="12"/>
                <w:color w:val="auto"/>
              </w:rPr>
            </w:pPr>
          </w:p>
        </w:tc>
        <w:tc>
          <w:tcPr>
            <w:tcW w:w="300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2"/>
          </w:tcPr>
          <w:p>
            <w:pPr>
              <w:jc w:val="center"/>
              <w:ind w:right="520"/>
              <w:spacing w:after="0" w:line="124"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49"/>
        </w:trPr>
        <w:tc>
          <w:tcPr>
            <w:tcW w:w="3340" w:type="dxa"/>
            <w:vAlign w:val="bottom"/>
            <w:tcBorders>
              <w:top w:val="single" w:sz="8" w:color="E5E5E5"/>
            </w:tcBorders>
            <w:gridSpan w:val="2"/>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Q1 2025</w:t>
            </w:r>
          </w:p>
        </w:tc>
        <w:tc>
          <w:tcPr>
            <w:tcW w:w="2740" w:type="dxa"/>
            <w:vAlign w:val="bottom"/>
            <w:tcBorders>
              <w:top w:val="single" w:sz="8" w:color="E5E5E5"/>
            </w:tcBorders>
            <w:shd w:val="clear" w:color="auto" w:fill="E5E5E5"/>
          </w:tcPr>
          <w:p>
            <w:pPr>
              <w:spacing w:after="0"/>
              <w:rPr>
                <w:sz w:val="12"/>
                <w:szCs w:val="12"/>
                <w:color w:val="auto"/>
              </w:rPr>
            </w:pPr>
          </w:p>
        </w:tc>
        <w:tc>
          <w:tcPr>
            <w:tcW w:w="400" w:type="dxa"/>
            <w:vAlign w:val="bottom"/>
            <w:tcBorders>
              <w:top w:val="single" w:sz="8" w:color="auto"/>
            </w:tcBorders>
            <w:shd w:val="clear" w:color="auto" w:fill="E5E5E5"/>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1980" w:type="dxa"/>
            <w:vAlign w:val="bottom"/>
            <w:tcBorders>
              <w:top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2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2025</w:t>
            </w:r>
          </w:p>
        </w:tc>
        <w:tc>
          <w:tcPr>
            <w:tcW w:w="31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Q3 2025</w:t>
            </w:r>
          </w:p>
        </w:tc>
        <w:tc>
          <w:tcPr>
            <w:tcW w:w="3140" w:type="dxa"/>
            <w:vAlign w:val="bottom"/>
            <w:gridSpan w:val="2"/>
            <w:shd w:val="clear" w:color="auto" w:fill="E5E5E5"/>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2025</w:t>
            </w:r>
          </w:p>
        </w:tc>
        <w:tc>
          <w:tcPr>
            <w:tcW w:w="31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Q1 2026</w:t>
            </w:r>
          </w:p>
        </w:tc>
        <w:tc>
          <w:tcPr>
            <w:tcW w:w="3140" w:type="dxa"/>
            <w:vAlign w:val="bottom"/>
            <w:gridSpan w:val="2"/>
            <w:shd w:val="clear" w:color="auto" w:fill="E5E5E5"/>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2026</w:t>
            </w:r>
          </w:p>
        </w:tc>
        <w:tc>
          <w:tcPr>
            <w:tcW w:w="31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Q3 2026</w:t>
            </w:r>
          </w:p>
        </w:tc>
        <w:tc>
          <w:tcPr>
            <w:tcW w:w="3140" w:type="dxa"/>
            <w:vAlign w:val="bottom"/>
            <w:gridSpan w:val="2"/>
            <w:shd w:val="clear" w:color="auto" w:fill="E5E5E5"/>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2026</w:t>
            </w:r>
          </w:p>
        </w:tc>
        <w:tc>
          <w:tcPr>
            <w:tcW w:w="31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4"/>
                <w:szCs w:val="14"/>
                <w:color w:val="auto"/>
              </w:rPr>
              <w:t>Thereafter</w:t>
            </w:r>
          </w:p>
        </w:tc>
        <w:tc>
          <w:tcPr>
            <w:tcW w:w="3140" w:type="dxa"/>
            <w:vAlign w:val="bottom"/>
            <w:gridSpan w:val="2"/>
            <w:shd w:val="clear" w:color="auto" w:fill="E5E5E5"/>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4"/>
                <w:szCs w:val="14"/>
                <w:color w:val="auto"/>
              </w:rPr>
              <w:t>      120.0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In addition, the Company is required to maintain a trailing six-month Gross Margin of not less than 30%.The agreement also contains a revenue participation agreement, under which, for any fiscal quarter, 0.01% of net revenue for such fiscal quarter (up to $100.0 million of net revenue for each fiscal year) per each $1.0 million principal amount of the notes will be payable to Oberland Capital. Amounts paid under the revenue participation agreement during the six months ended June 30, 2025 were interest payments on the debt. The revenue participation payments are additional financing costs of the loan and are included in the computation of the internal rate of return measures described above and do not reduce principal on the debt. As of June 30, 2025, we have made revenue participation payments of $0.5 million.</w:t>
      </w:r>
    </w:p>
    <w:p>
      <w:pPr>
        <w:spacing w:after="0" w:line="14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Company elected to account for the 2024 Notes using the fair value option and changes in fair value related to the 2024 Notes are recorded in change in fair value of term loan on the Company’s statements of operations and comprehensive loss. The Company also elected to present interest incurred on the 2024 Notes in the change in fair value of the term loan; interest expense under the Oberland Capital arrangement was $2.0 million for the six months ended June 30, 2025. Total debt outstanding as of December 31, 2024 and June 30, 2025 was $51.5 million and $52.1 million, respectively, and included within long-term debt on the Company’s balance sheets. Future principal payments of the Company’s long-term debt as of December 31, 2024 and June 30, 2025 $50.0 million, is due during the year ending December 31, 2031. The term loan advances are secured by a lien on the Company’s assets.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 Warrants</w:t>
      </w:r>
    </w:p>
    <w:p>
      <w:pPr>
        <w:spacing w:after="0" w:line="93" w:lineRule="exact"/>
        <w:rPr>
          <w:sz w:val="20"/>
          <w:szCs w:val="20"/>
          <w:color w:val="auto"/>
        </w:rPr>
      </w:pPr>
    </w:p>
    <w:p>
      <w:pPr>
        <w:jc w:val="both"/>
        <w:ind w:left="1360" w:right="359"/>
        <w:spacing w:after="0" w:line="266" w:lineRule="auto"/>
        <w:rPr>
          <w:sz w:val="20"/>
          <w:szCs w:val="20"/>
          <w:color w:val="auto"/>
        </w:rPr>
      </w:pPr>
      <w:r>
        <w:rPr>
          <w:rFonts w:ascii="Times New Roman" w:cs="Times New Roman" w:eastAsia="Times New Roman" w:hAnsi="Times New Roman"/>
          <w:sz w:val="14"/>
          <w:szCs w:val="14"/>
          <w:color w:val="auto"/>
        </w:rPr>
        <w:t>The Company has issued Comerica Bank a warrant to purchase 9,660 Series A-6 redeemable convertible preferred shares at an exercise price of $2.59 per share in connection with a former loan and security agreement entered into in March 2020. The warrants are exercisable until March 15, 2030. The warrants are classified as liabilities on the Company’s balance sheet.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 Warrants</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connection with the 2021 LSA, the Company issued to Western Alliance Bank (“WAB”) warrants to purchase shares of the Company’s common stock at an exercise price of $2.80 per share. The number of underlying shares of the warrants was initially 53,571 and was increased to 80,357 upon the funding of the loans in January 2022. The warrants will expire if unexercised on October 12, 2031.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10159"/>
          </w:cols>
          <w:pgMar w:left="300" w:top="385"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connection with the 2022 LSA Amendment, the Company issued up to 41,209 warrants for common stock at an exercise price of $10.92 per share to WAB. 30,907 warrants were exercisable upon execution of the agreement; the remaining warrants become exercisable as the Company makes additional draws on the 2022 LSA Amendment. As of December 31, 2023 all of the warrants were exercisable. The warrants will expire if unexercised on July 22, 2032. Upon the occurrence of an acquisition of the Company, if the acquiror shall not have assumed the warrants, WAB shall have the right to put the warrants back to the Company for cash equal to the greater of (x) $412,500 or (y) the value of the aggregate consideration payable to WAB had WAB exercised the warrants immediately prior to exercise such put right.</w:t>
      </w:r>
    </w:p>
    <w:p>
      <w:pPr>
        <w:spacing w:after="0" w:line="145" w:lineRule="exact"/>
        <w:rPr>
          <w:sz w:val="20"/>
          <w:szCs w:val="20"/>
          <w:color w:val="auto"/>
        </w:rPr>
      </w:pPr>
    </w:p>
    <w:p>
      <w:pPr>
        <w:ind w:left="1360" w:right="619"/>
        <w:spacing w:after="0" w:line="322" w:lineRule="auto"/>
        <w:rPr>
          <w:sz w:val="20"/>
          <w:szCs w:val="20"/>
          <w:color w:val="auto"/>
        </w:rPr>
      </w:pPr>
      <w:r>
        <w:rPr>
          <w:rFonts w:ascii="Times New Roman" w:cs="Times New Roman" w:eastAsia="Times New Roman" w:hAnsi="Times New Roman"/>
          <w:sz w:val="13"/>
          <w:szCs w:val="13"/>
          <w:color w:val="auto"/>
        </w:rPr>
        <w:t>All the warrants issued to WAB are puttable warrants and thus are liability classified. The warrants were initially recognized at fair value with any subsequent changes in fair value to be recorded in other income (expense) in the statements of operations and comprehensive loss (See Note 3).</w:t>
      </w:r>
    </w:p>
    <w:p>
      <w:pPr>
        <w:spacing w:after="0" w:line="103" w:lineRule="exact"/>
        <w:rPr>
          <w:sz w:val="20"/>
          <w:szCs w:val="20"/>
          <w:color w:val="auto"/>
        </w:rPr>
      </w:pPr>
    </w:p>
    <w:p>
      <w:pPr>
        <w:ind w:left="1360" w:right="379"/>
        <w:spacing w:after="0" w:line="282" w:lineRule="auto"/>
        <w:rPr>
          <w:sz w:val="20"/>
          <w:szCs w:val="20"/>
          <w:color w:val="auto"/>
        </w:rPr>
      </w:pPr>
      <w:r>
        <w:rPr>
          <w:rFonts w:ascii="Times New Roman" w:cs="Times New Roman" w:eastAsia="Times New Roman" w:hAnsi="Times New Roman"/>
          <w:sz w:val="14"/>
          <w:szCs w:val="14"/>
          <w:color w:val="auto"/>
        </w:rPr>
        <w:t>The fair value of the warrants as of their respective issuance dates were recorded as a debt discount that is being amortized to interest expense over the term of the loan.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As of December 31, 2024 and June 30, 2025, the Company’s Certificate of Incorporation, as amended, authorized the Company to issue 51,100,000 shares of common stock with a par value of $0.00001. Total common stock outstanding as of December 31, 2024 and June 30, 2025 was 10,925,950 and 11,085,044, respectively. Each share of common stock is entitled to one vote. The holders of common stock are also entitled to receive dividends whenever funds are legally available and when and if declared by the Board of Directors, subject to the prior rights of holders of all series of stock outstanding. No dividends have been declared or paid by the Company since inception.</w:t>
      </w:r>
    </w:p>
    <w:p>
      <w:pPr>
        <w:spacing w:after="0" w:line="142" w:lineRule="exact"/>
        <w:rPr>
          <w:sz w:val="20"/>
          <w:szCs w:val="20"/>
          <w:color w:val="auto"/>
        </w:rPr>
      </w:pPr>
    </w:p>
    <w:p>
      <w:pPr>
        <w:ind w:left="1360" w:right="339"/>
        <w:spacing w:after="0" w:line="266" w:lineRule="auto"/>
        <w:rPr>
          <w:sz w:val="20"/>
          <w:szCs w:val="20"/>
          <w:color w:val="auto"/>
        </w:rPr>
      </w:pPr>
      <w:r>
        <w:rPr>
          <w:rFonts w:ascii="Times New Roman" w:cs="Times New Roman" w:eastAsia="Times New Roman" w:hAnsi="Times New Roman"/>
          <w:sz w:val="14"/>
          <w:szCs w:val="14"/>
          <w:color w:val="auto"/>
        </w:rPr>
        <w:t>The Company is required to reserve and keep available out of its authorized but unissued shares of common stock such a number of shares sufficient to affect the conversion of all outstanding shares of redeemable convertible preferred stocks, preferred stock and common stock warrants, and options granted and available for grant under the Company’s stock option plan.</w:t>
      </w:r>
    </w:p>
    <w:p>
      <w:pPr>
        <w:sectPr>
          <w:pgSz w:w="11900" w:h="16838" w:orient="portrait"/>
          <w:cols w:equalWidth="0" w:num="1">
            <w:col w:w="10159"/>
          </w:cols>
          <w:pgMar w:left="300" w:top="385" w:right="1440" w:bottom="1440" w:gutter="0" w:footer="0" w:header="0"/>
        </w:sectPr>
      </w:pP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The amount of such shares of the Company’s common stock reserved for these purposes at June 30, 2025 is as follows: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A-1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-92075</wp:posOffset>
            </wp:positionV>
            <wp:extent cx="5436870" cy="1066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A-2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A-3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A-4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A-5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A-6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B-1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B-2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C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Series C-1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Series D Redeemable Convertible Preferred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Common stock warrants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4445</wp:posOffset>
            </wp:positionV>
            <wp:extent cx="5436870" cy="10668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43687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Stock options available for future grants</w:t>
      </w:r>
    </w:p>
    <w:p>
      <w:pPr>
        <w:spacing w:after="0" w:line="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Total common stock reserved</w:t>
      </w:r>
    </w:p>
    <w:p>
      <w:pPr>
        <w:spacing w:after="0" w:line="1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1,349,650</w:t>
      </w:r>
    </w:p>
    <w:p>
      <w:pPr>
        <w:spacing w:after="0" w:line="22"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1,137,210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899,730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25,761</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114,613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5,796,201</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5,182,287</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2,566,902</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5,628,825</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1,726,823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4,656,233</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9,660</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121,566</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8,933,419</w:t>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921,186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4445</wp:posOffset>
            </wp:positionV>
            <wp:extent cx="67945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7945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39,070,066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28575</wp:posOffset>
            </wp:positionV>
            <wp:extent cx="67945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79450" cy="635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41910</wp:posOffset>
            </wp:positionV>
            <wp:extent cx="67945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79450" cy="6350"/>
                    </a:xfrm>
                    <a:prstGeom prst="rect">
                      <a:avLst/>
                    </a:prstGeom>
                    <a:noFill/>
                  </pic:spPr>
                </pic:pic>
              </a:graphicData>
            </a:graphic>
          </wp:anchor>
        </w:drawing>
      </w:r>
    </w:p>
    <w:p>
      <w:pPr>
        <w:sectPr>
          <w:pgSz w:w="11900" w:h="16838" w:orient="portrait"/>
          <w:cols w:equalWidth="0" w:num="2">
            <w:col w:w="8320" w:space="720"/>
            <w:col w:w="1119"/>
          </w:cols>
          <w:pgMar w:left="300" w:top="385" w:right="1440" w:bottom="1440" w:gutter="0" w:footer="0" w:header="0"/>
          <w:type w:val="continuous"/>
        </w:sectPr>
      </w:pPr>
    </w:p>
    <w:bookmarkStart w:id="322" w:name="page323"/>
    <w:bookmarkEnd w:id="3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Plan</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spacing w:after="0" w:line="145" w:lineRule="exact"/>
        <w:rPr>
          <w:sz w:val="20"/>
          <w:szCs w:val="20"/>
          <w:color w:val="auto"/>
        </w:rPr>
      </w:pPr>
    </w:p>
    <w:p>
      <w:pPr>
        <w:ind w:left="1360" w:right="259"/>
        <w:spacing w:after="0" w:line="282" w:lineRule="auto"/>
        <w:rPr>
          <w:sz w:val="20"/>
          <w:szCs w:val="20"/>
          <w:color w:val="auto"/>
        </w:rPr>
      </w:pPr>
      <w:r>
        <w:rPr>
          <w:rFonts w:ascii="Times New Roman" w:cs="Times New Roman" w:eastAsia="Times New Roman" w:hAnsi="Times New Roman"/>
          <w:sz w:val="14"/>
          <w:szCs w:val="14"/>
          <w:color w:val="auto"/>
        </w:rPr>
        <w:t>Incentive and non-statutory stock options may be granted with exercise prices not less than 100% of the estimated fair value of the common stock on the date of grant, as determined by the Board of Directors.</w:t>
      </w:r>
    </w:p>
    <w:p>
      <w:pPr>
        <w:spacing w:after="0" w:line="125"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Subject to Board approval at the grant date, if an option includes an “early exercise” feature, then such option shall be exercisable at any time but any unvested option shares shall be subject to the Company’s right to repurchase them at the original exercise price in the event that the optionee’s service is terminated for any reason. If an option does not permit early exercise, then such option shall not be exercisable with respect to unvested shares. As of December 31, 2024 and June 30, 2025, the Company had authorized 10,904,372 and 12,409,025 shares of common stock reserved for issuance under the 2018 Plan, respectively.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3" w:lineRule="exact"/>
        <w:rPr>
          <w:sz w:val="20"/>
          <w:szCs w:val="20"/>
          <w:color w:val="auto"/>
        </w:rPr>
      </w:pPr>
    </w:p>
    <w:p>
      <w:pPr>
        <w:jc w:val="both"/>
        <w:ind w:left="1360" w:right="479"/>
        <w:spacing w:after="0" w:line="266" w:lineRule="auto"/>
        <w:rPr>
          <w:sz w:val="20"/>
          <w:szCs w:val="20"/>
          <w:color w:val="auto"/>
        </w:rPr>
      </w:pPr>
      <w:r>
        <w:rPr>
          <w:rFonts w:ascii="Times New Roman" w:cs="Times New Roman" w:eastAsia="Times New Roman" w:hAnsi="Times New Roman"/>
          <w:sz w:val="14"/>
          <w:szCs w:val="14"/>
          <w:color w:val="auto"/>
        </w:rPr>
        <w:t>The Company recognizes stock-based compensation expense for all stock-based payment awards based on the estimated fair value on the date of the grant. The Company recognizes the compensation cost on a straight-line basis over the requisite service period of the award. The fair value of stock options granted is estimated using the Black-Scholes Model utilizing the assumptions noted below:</w:t>
      </w:r>
    </w:p>
    <w:p>
      <w:pPr>
        <w:spacing w:after="0" w:line="61" w:lineRule="exact"/>
        <w:rPr>
          <w:sz w:val="20"/>
          <w:szCs w:val="20"/>
          <w:color w:val="auto"/>
        </w:rPr>
      </w:pPr>
    </w:p>
    <w:p>
      <w:pPr>
        <w:ind w:left="1700" w:right="339" w:hanging="253"/>
        <w:spacing w:after="0" w:line="257" w:lineRule="auto"/>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Fair value of common stock. </w:t>
      </w:r>
      <w:r>
        <w:rPr>
          <w:rFonts w:ascii="Times New Roman" w:cs="Times New Roman" w:eastAsia="Times New Roman" w:hAnsi="Times New Roman"/>
          <w:sz w:val="14"/>
          <w:szCs w:val="14"/>
          <w:color w:val="auto"/>
        </w:rPr>
        <w:t>The Board of Directors considers numerous objective and subjective factors to determine the fair value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common stock options at each meeting in which awards are approved. The factors considered include, but are not limited to: (i) the results of contemporaneous independent third 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and (vi) the likelihood of achieving a liquidity event, such as an initial public offering or sale of the Company, given prevailing market conditions.</w:t>
      </w:r>
    </w:p>
    <w:p>
      <w:pPr>
        <w:spacing w:after="0" w:line="67" w:lineRule="exact"/>
        <w:rPr>
          <w:rFonts w:ascii="Times New Roman" w:cs="Times New Roman" w:eastAsia="Times New Roman" w:hAnsi="Times New Roman"/>
          <w:sz w:val="14"/>
          <w:szCs w:val="14"/>
          <w:color w:val="auto"/>
        </w:rPr>
      </w:pPr>
    </w:p>
    <w:p>
      <w:pPr>
        <w:ind w:left="1700" w:right="359" w:hanging="253"/>
        <w:spacing w:after="0" w:line="267" w:lineRule="auto"/>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Expected volatility is a measure of the amount by which the stock price is expected to fluctuate. Since the Company does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sufficient trading history of its common stock, it estimates the expected volatility of its stock options at their grant date by taking the weighted average historical volatility of a group of comparable publicly traded companies over a period equal to the expected life of the options.</w:t>
      </w:r>
    </w:p>
    <w:p>
      <w:pPr>
        <w:spacing w:after="0" w:line="60" w:lineRule="exact"/>
        <w:rPr>
          <w:rFonts w:ascii="Times New Roman" w:cs="Times New Roman" w:eastAsia="Times New Roman" w:hAnsi="Times New Roman"/>
          <w:sz w:val="14"/>
          <w:szCs w:val="14"/>
          <w:color w:val="auto"/>
        </w:rPr>
      </w:pPr>
    </w:p>
    <w:p>
      <w:pPr>
        <w:ind w:left="1700" w:right="319" w:hanging="253"/>
        <w:spacing w:after="0" w:line="267" w:lineRule="auto"/>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Expected term represents the period over which the Company anticipates stock-based awards to be outstanding.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uses the simplified method to calculate the expected term estimate based on the options’ vesting term and contractual terms. Under the simplified method, the expected life is equal to the average of the stock-based award’s weighted average vesting period and its contractual term.</w:t>
      </w:r>
    </w:p>
    <w:p>
      <w:pPr>
        <w:spacing w:after="0" w:line="60" w:lineRule="exact"/>
        <w:rPr>
          <w:rFonts w:ascii="Times New Roman" w:cs="Times New Roman" w:eastAsia="Times New Roman" w:hAnsi="Times New Roman"/>
          <w:sz w:val="14"/>
          <w:szCs w:val="14"/>
          <w:color w:val="auto"/>
        </w:rPr>
      </w:pPr>
    </w:p>
    <w:p>
      <w:pPr>
        <w:ind w:left="1700" w:right="459" w:hanging="253"/>
        <w:spacing w:after="0" w:line="285" w:lineRule="auto"/>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Company uses the average of the published interest rates of U.S. Treasury zero-coupon issues with terms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expected term of the awards for its risk-free interest rate.</w:t>
      </w:r>
    </w:p>
    <w:p>
      <w:pPr>
        <w:spacing w:after="0" w:line="47" w:lineRule="exact"/>
        <w:rPr>
          <w:rFonts w:ascii="Times New Roman" w:cs="Times New Roman" w:eastAsia="Times New Roman" w:hAnsi="Times New Roman"/>
          <w:sz w:val="14"/>
          <w:szCs w:val="14"/>
          <w:color w:val="auto"/>
        </w:rPr>
      </w:pPr>
    </w:p>
    <w:p>
      <w:pPr>
        <w:ind w:left="1700" w:right="499" w:hanging="253"/>
        <w:spacing w:after="0" w:line="285" w:lineRule="auto"/>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dividends. </w:t>
      </w:r>
      <w:r>
        <w:rPr>
          <w:rFonts w:ascii="Times New Roman" w:cs="Times New Roman" w:eastAsia="Times New Roman" w:hAnsi="Times New Roman"/>
          <w:sz w:val="14"/>
          <w:szCs w:val="14"/>
          <w:color w:val="auto"/>
        </w:rPr>
        <w:t>The Company historically has not paid dividends on common stock and has no plans to issue dividends in the foreseeable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future.</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10159"/>
          </w:cols>
          <w:pgMar w:left="300" w:top="385"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The weighted average assumptions used to calculate the fair value of option grants issued under the 2018 Plan during the six months ended June 30, 2024 and 2025 were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Fair value of common stock</w:t>
            </w:r>
          </w:p>
        </w:tc>
        <w:tc>
          <w:tcPr>
            <w:tcW w:w="980" w:type="dxa"/>
            <w:vAlign w:val="bottom"/>
            <w:tcBorders>
              <w:top w:val="single" w:sz="8" w:color="E5E5E5"/>
            </w:tcBorders>
            <w:shd w:val="clear" w:color="auto" w:fill="E5E5E5"/>
          </w:tcPr>
          <w:p>
            <w:pPr>
              <w:spacing w:after="0"/>
              <w:rPr>
                <w:sz w:val="13"/>
                <w:szCs w:val="13"/>
                <w:color w:val="auto"/>
              </w:rPr>
            </w:pPr>
          </w:p>
        </w:tc>
        <w:tc>
          <w:tcPr>
            <w:tcW w:w="760" w:type="dxa"/>
            <w:vAlign w:val="bottom"/>
            <w:tcBorders>
              <w:top w:val="single" w:sz="8" w:color="E5E5E5"/>
            </w:tcBorders>
            <w:shd w:val="clear" w:color="auto" w:fill="E5E5E5"/>
          </w:tcPr>
          <w:p>
            <w:pPr>
              <w:spacing w:after="0"/>
              <w:rPr>
                <w:sz w:val="13"/>
                <w:szCs w:val="13"/>
                <w:color w:val="auto"/>
              </w:rPr>
            </w:pPr>
          </w:p>
        </w:tc>
        <w:tc>
          <w:tcPr>
            <w:tcW w:w="18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E5E5E5"/>
            </w:tcBorders>
            <w:shd w:val="clear" w:color="auto" w:fill="E5E5E5"/>
          </w:tcPr>
          <w:p>
            <w:pPr>
              <w:spacing w:after="0"/>
              <w:rPr>
                <w:sz w:val="13"/>
                <w:szCs w:val="13"/>
                <w:color w:val="auto"/>
              </w:rPr>
            </w:pPr>
          </w:p>
        </w:tc>
        <w:tc>
          <w:tcPr>
            <w:tcW w:w="640" w:type="dxa"/>
            <w:vAlign w:val="bottom"/>
            <w:tcBorders>
              <w:top w:val="single" w:sz="8" w:color="E5E5E5"/>
            </w:tcBorders>
            <w:shd w:val="clear" w:color="auto" w:fill="E5E5E5"/>
          </w:tcPr>
          <w:p>
            <w:pPr>
              <w:spacing w:after="0"/>
              <w:rPr>
                <w:sz w:val="13"/>
                <w:szCs w:val="13"/>
                <w:color w:val="auto"/>
              </w:rPr>
            </w:pPr>
          </w:p>
        </w:tc>
        <w:tc>
          <w:tcPr>
            <w:tcW w:w="200" w:type="dxa"/>
            <w:vAlign w:val="bottom"/>
            <w:tcBorders>
              <w:top w:val="single" w:sz="8" w:color="E5E5E5"/>
            </w:tcBorders>
            <w:shd w:val="clear" w:color="auto" w:fill="E5E5E5"/>
          </w:tcPr>
          <w:p>
            <w:pPr>
              <w:spacing w:after="0"/>
              <w:rPr>
                <w:sz w:val="13"/>
                <w:szCs w:val="13"/>
                <w:color w:val="auto"/>
              </w:rPr>
            </w:pPr>
          </w:p>
        </w:tc>
        <w:tc>
          <w:tcPr>
            <w:tcW w:w="680" w:type="dxa"/>
            <w:vAlign w:val="bottom"/>
            <w:tcBorders>
              <w:top w:val="single" w:sz="8" w:color="auto"/>
            </w:tcBorders>
            <w:gridSpan w:val="2"/>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15.43</w:t>
            </w:r>
          </w:p>
        </w:tc>
        <w:tc>
          <w:tcPr>
            <w:tcW w:w="200" w:type="dxa"/>
            <w:vAlign w:val="bottom"/>
            <w:tcBorders>
              <w:top w:val="single" w:sz="8" w:color="E5E5E5"/>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8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22.21</w:t>
            </w:r>
          </w:p>
        </w:tc>
        <w:tc>
          <w:tcPr>
            <w:tcW w:w="100" w:type="dxa"/>
            <w:vAlign w:val="bottom"/>
            <w:tcBorders>
              <w:top w:val="single" w:sz="8" w:color="E5E5E5"/>
            </w:tcBorders>
            <w:shd w:val="clear" w:color="auto" w:fill="E5E5E5"/>
          </w:tcPr>
          <w:p>
            <w:pPr>
              <w:spacing w:after="0"/>
              <w:rPr>
                <w:sz w:val="13"/>
                <w:szCs w:val="13"/>
                <w:color w:val="auto"/>
              </w:rPr>
            </w:pPr>
          </w:p>
        </w:tc>
        <w:tc>
          <w:tcPr>
            <w:tcW w:w="6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98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080" w:type="dxa"/>
            <w:vAlign w:val="bottom"/>
            <w:gridSpan w:val="4"/>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540" w:type="dxa"/>
            <w:vAlign w:val="bottom"/>
            <w:gridSpan w:val="3"/>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98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880" w:type="dxa"/>
            <w:vAlign w:val="bottom"/>
            <w:gridSpan w:val="3"/>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5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 summary of the Company’s stock option activity and related information is as follows: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5"/>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tcPr>
          <w:p>
            <w:pPr>
              <w:spacing w:after="0"/>
              <w:rPr>
                <w:sz w:val="10"/>
                <w:szCs w:val="10"/>
                <w:color w:val="auto"/>
              </w:rPr>
            </w:pPr>
          </w:p>
        </w:tc>
        <w:tc>
          <w:tcPr>
            <w:tcW w:w="7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4"/>
              </w:rPr>
              <w:t>Life</w:t>
            </w:r>
          </w:p>
        </w:tc>
        <w:tc>
          <w:tcPr>
            <w:tcW w:w="80" w:type="dxa"/>
            <w:vAlign w:val="bottom"/>
          </w:tcPr>
          <w:p>
            <w:pPr>
              <w:spacing w:after="0"/>
              <w:rPr>
                <w:sz w:val="10"/>
                <w:szCs w:val="10"/>
                <w:color w:val="auto"/>
              </w:rPr>
            </w:pPr>
          </w:p>
        </w:tc>
        <w:tc>
          <w:tcPr>
            <w:tcW w:w="960" w:type="dxa"/>
            <w:vAlign w:val="bottom"/>
            <w:gridSpan w:val="6"/>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Intrinsic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80" w:type="dxa"/>
            <w:vAlign w:val="bottom"/>
          </w:tcPr>
          <w:p>
            <w:pPr>
              <w:spacing w:after="0"/>
              <w:rPr>
                <w:sz w:val="11"/>
                <w:szCs w:val="11"/>
                <w:color w:val="auto"/>
              </w:rPr>
            </w:pPr>
          </w:p>
        </w:tc>
        <w:tc>
          <w:tcPr>
            <w:tcW w:w="9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tcBorders>
              <w:top w:val="single" w:sz="8" w:color="E5E5E5"/>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980" w:type="dxa"/>
            <w:vAlign w:val="bottom"/>
            <w:tcBorders>
              <w:top w:val="single" w:sz="8" w:color="E5E5E5"/>
            </w:tcBorders>
            <w:shd w:val="clear" w:color="auto" w:fill="E5E5E5"/>
          </w:tcPr>
          <w:p>
            <w:pPr>
              <w:spacing w:after="0"/>
              <w:rPr>
                <w:sz w:val="13"/>
                <w:szCs w:val="13"/>
                <w:color w:val="auto"/>
              </w:rPr>
            </w:pPr>
          </w:p>
        </w:tc>
        <w:tc>
          <w:tcPr>
            <w:tcW w:w="760" w:type="dxa"/>
            <w:vAlign w:val="bottom"/>
            <w:tcBorders>
              <w:top w:val="single" w:sz="8" w:color="auto"/>
              <w:bottom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6,849,412</w:t>
            </w:r>
          </w:p>
        </w:tc>
        <w:tc>
          <w:tcPr>
            <w:tcW w:w="180" w:type="dxa"/>
            <w:vAlign w:val="bottom"/>
            <w:tcBorders>
              <w:top w:val="single" w:sz="8" w:color="E5E5E5"/>
            </w:tcBorders>
            <w:shd w:val="clear" w:color="auto" w:fill="E5E5E5"/>
          </w:tcPr>
          <w:p>
            <w:pPr>
              <w:spacing w:after="0"/>
              <w:rPr>
                <w:sz w:val="13"/>
                <w:szCs w:val="13"/>
                <w:color w:val="auto"/>
              </w:rPr>
            </w:pPr>
          </w:p>
        </w:tc>
        <w:tc>
          <w:tcPr>
            <w:tcW w:w="140" w:type="dxa"/>
            <w:vAlign w:val="bottom"/>
            <w:tcBorders>
              <w:top w:val="single" w:sz="8" w:color="E5E5E5"/>
            </w:tcBorders>
            <w:shd w:val="clear" w:color="auto" w:fill="E5E5E5"/>
          </w:tcPr>
          <w:p>
            <w:pPr>
              <w:spacing w:after="0"/>
              <w:rPr>
                <w:sz w:val="13"/>
                <w:szCs w:val="13"/>
                <w:color w:val="auto"/>
              </w:rPr>
            </w:pPr>
          </w:p>
        </w:tc>
        <w:tc>
          <w:tcPr>
            <w:tcW w:w="120" w:type="dxa"/>
            <w:vAlign w:val="bottom"/>
            <w:tcBorders>
              <w:top w:val="single" w:sz="8" w:color="auto"/>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64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7.28</w:t>
            </w:r>
          </w:p>
        </w:tc>
        <w:tc>
          <w:tcPr>
            <w:tcW w:w="280" w:type="dxa"/>
            <w:vAlign w:val="bottom"/>
            <w:tcBorders>
              <w:top w:val="single" w:sz="8" w:color="E5E5E5"/>
            </w:tcBorders>
            <w:gridSpan w:val="2"/>
            <w:shd w:val="clear" w:color="auto" w:fill="E5E5E5"/>
          </w:tcPr>
          <w:p>
            <w:pPr>
              <w:spacing w:after="0"/>
              <w:rPr>
                <w:sz w:val="13"/>
                <w:szCs w:val="13"/>
                <w:color w:val="auto"/>
              </w:rPr>
            </w:pPr>
          </w:p>
        </w:tc>
        <w:tc>
          <w:tcPr>
            <w:tcW w:w="600" w:type="dxa"/>
            <w:vAlign w:val="bottom"/>
            <w:tcBorders>
              <w:top w:val="single" w:sz="8" w:color="auto"/>
            </w:tcBorders>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Borders>
              <w:top w:val="single" w:sz="8" w:color="E5E5E5"/>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220" w:type="dxa"/>
            <w:vAlign w:val="bottom"/>
            <w:tcBorders>
              <w:top w:val="single" w:sz="8" w:color="auto"/>
            </w:tcBorders>
            <w:gridSpan w:val="2"/>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auto"/>
            </w:tcBorders>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tcBorders>
              <w:top w:val="single" w:sz="8" w:color="auto"/>
            </w:tcBorders>
            <w:gridSpan w:val="2"/>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73,992</w:t>
            </w:r>
          </w:p>
        </w:tc>
        <w:tc>
          <w:tcPr>
            <w:tcW w:w="6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Granted</w:t>
            </w:r>
          </w:p>
        </w:tc>
        <w:tc>
          <w:tcPr>
            <w:tcW w:w="1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2,415,819</w:t>
            </w:r>
          </w:p>
        </w:tc>
        <w:tc>
          <w:tcPr>
            <w:tcW w:w="18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3"/>
                <w:szCs w:val="13"/>
                <w:color w:val="auto"/>
              </w:rPr>
              <w:t>Exercised</w:t>
            </w:r>
          </w:p>
        </w:tc>
        <w:tc>
          <w:tcPr>
            <w:tcW w:w="1920" w:type="dxa"/>
            <w:vAlign w:val="bottom"/>
            <w:gridSpan w:val="3"/>
            <w:shd w:val="clear" w:color="auto" w:fill="E5E5E5"/>
          </w:tcPr>
          <w:p>
            <w:pPr>
              <w:jc w:val="right"/>
              <w:ind w:right="160"/>
              <w:spacing w:after="0"/>
              <w:rPr>
                <w:sz w:val="20"/>
                <w:szCs w:val="20"/>
                <w:color w:val="auto"/>
              </w:rPr>
            </w:pPr>
            <w:r>
              <w:rPr>
                <w:rFonts w:ascii="Times New Roman" w:cs="Times New Roman" w:eastAsia="Times New Roman" w:hAnsi="Times New Roman"/>
                <w:sz w:val="13"/>
                <w:szCs w:val="13"/>
                <w:color w:val="auto"/>
              </w:rPr>
              <w:t>(159,094)</w:t>
            </w:r>
          </w:p>
        </w:tc>
        <w:tc>
          <w:tcPr>
            <w:tcW w:w="260" w:type="dxa"/>
            <w:vAlign w:val="bottom"/>
            <w:gridSpan w:val="2"/>
            <w:shd w:val="clear" w:color="auto" w:fill="E5E5E5"/>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2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 or expired</w:t>
            </w:r>
          </w:p>
        </w:tc>
        <w:tc>
          <w:tcPr>
            <w:tcW w:w="9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(172,718)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Outstanding as of June 30, 2025</w:t>
            </w:r>
          </w:p>
        </w:tc>
        <w:tc>
          <w:tcPr>
            <w:tcW w:w="980" w:type="dxa"/>
            <w:vAlign w:val="bottom"/>
            <w:shd w:val="clear" w:color="auto" w:fill="E5E5E5"/>
          </w:tcPr>
          <w:p>
            <w:pPr>
              <w:spacing w:after="0"/>
              <w:rPr>
                <w:sz w:val="14"/>
                <w:szCs w:val="14"/>
                <w:color w:val="auto"/>
              </w:rPr>
            </w:pPr>
          </w:p>
        </w:tc>
        <w:tc>
          <w:tcPr>
            <w:tcW w:w="7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8,933,419</w:t>
            </w:r>
          </w:p>
        </w:tc>
        <w:tc>
          <w:tcPr>
            <w:tcW w:w="180" w:type="dxa"/>
            <w:vAlign w:val="bottom"/>
            <w:shd w:val="clear" w:color="auto" w:fill="E5E5E5"/>
          </w:tcPr>
          <w:p>
            <w:pPr>
              <w:spacing w:after="0"/>
              <w:rPr>
                <w:sz w:val="14"/>
                <w:szCs w:val="14"/>
                <w:color w:val="auto"/>
              </w:rPr>
            </w:pPr>
          </w:p>
        </w:tc>
        <w:tc>
          <w:tcPr>
            <w:tcW w:w="260" w:type="dxa"/>
            <w:vAlign w:val="bottom"/>
            <w:gridSpan w:val="2"/>
            <w:shd w:val="clear" w:color="auto" w:fill="E5E5E5"/>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80" w:type="dxa"/>
            <w:vAlign w:val="bottom"/>
            <w:gridSpan w:val="3"/>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shd w:val="clear" w:color="auto" w:fill="E5E5E5"/>
          </w:tcPr>
          <w:p>
            <w:pPr>
              <w:spacing w:after="0"/>
              <w:rPr>
                <w:sz w:val="14"/>
                <w:szCs w:val="14"/>
                <w:color w:val="auto"/>
              </w:rPr>
            </w:pPr>
          </w:p>
        </w:tc>
        <w:tc>
          <w:tcPr>
            <w:tcW w:w="200" w:type="dxa"/>
            <w:vAlign w:val="bottom"/>
            <w:gridSpan w:val="2"/>
            <w:shd w:val="clear" w:color="auto" w:fill="E5E5E5"/>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4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112,216</w:t>
            </w: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Vested and exercisable as of June 30, 2025</w:t>
            </w:r>
          </w:p>
        </w:tc>
        <w:tc>
          <w:tcPr>
            <w:tcW w:w="1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line="20" w:lineRule="exact"/>
              <w:rPr>
                <w:sz w:val="1"/>
                <w:szCs w:val="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83,913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4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4,625,608</w:t>
            </w:r>
          </w:p>
        </w:tc>
        <w:tc>
          <w:tcPr>
            <w:tcW w:w="18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620" w:type="dxa"/>
            <w:vAlign w:val="bottom"/>
            <w:shd w:val="clear" w:color="auto" w:fill="E5E5E5"/>
          </w:tcPr>
          <w:p>
            <w:pPr>
              <w:spacing w:after="0" w:line="150" w:lineRule="exact"/>
              <w:rPr>
                <w:sz w:val="20"/>
                <w:szCs w:val="20"/>
                <w:color w:val="auto"/>
              </w:rPr>
            </w:pPr>
            <w:r>
              <w:rPr>
                <w:rFonts w:ascii="Times New Roman" w:cs="Times New Roman" w:eastAsia="Times New Roman" w:hAnsi="Times New Roman"/>
                <w:sz w:val="14"/>
                <w:szCs w:val="14"/>
                <w:color w:val="auto"/>
              </w:rPr>
              <w:t>Vested and expected to vest as of June 30, 2025</w:t>
            </w:r>
          </w:p>
        </w:tc>
        <w:tc>
          <w:tcPr>
            <w:tcW w:w="1920" w:type="dxa"/>
            <w:vAlign w:val="bottom"/>
            <w:gridSpan w:val="3"/>
            <w:shd w:val="clear" w:color="auto" w:fill="E5E5E5"/>
          </w:tcPr>
          <w:p>
            <w:pPr>
              <w:jc w:val="right"/>
              <w:ind w:right="200"/>
              <w:spacing w:after="0" w:line="150" w:lineRule="exact"/>
              <w:rPr>
                <w:sz w:val="20"/>
                <w:szCs w:val="20"/>
                <w:color w:val="auto"/>
              </w:rPr>
            </w:pPr>
            <w:r>
              <w:rPr>
                <w:rFonts w:ascii="Times New Roman" w:cs="Times New Roman" w:eastAsia="Times New Roman" w:hAnsi="Times New Roman"/>
                <w:sz w:val="14"/>
                <w:szCs w:val="14"/>
                <w:color w:val="auto"/>
              </w:rPr>
              <w:t>    8,933,419</w:t>
            </w:r>
          </w:p>
        </w:tc>
        <w:tc>
          <w:tcPr>
            <w:tcW w:w="260" w:type="dxa"/>
            <w:vAlign w:val="bottom"/>
            <w:gridSpan w:val="2"/>
            <w:shd w:val="clear" w:color="auto" w:fill="E5E5E5"/>
          </w:tcPr>
          <w:p>
            <w:pPr>
              <w:ind w:left="1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5E5E5"/>
          </w:tcPr>
          <w:p>
            <w:pPr>
              <w:jc w:val="right"/>
              <w:spacing w:after="0" w:line="150" w:lineRule="exact"/>
              <w:rPr>
                <w:sz w:val="20"/>
                <w:szCs w:val="20"/>
                <w:color w:val="auto"/>
              </w:rPr>
            </w:pPr>
            <w:r>
              <w:rPr>
                <w:rFonts w:ascii="Times New Roman" w:cs="Times New Roman" w:eastAsia="Times New Roman" w:hAnsi="Times New Roman"/>
                <w:sz w:val="14"/>
                <w:szCs w:val="14"/>
                <w:color w:val="auto"/>
              </w:rPr>
              <w:t>10.59</w:t>
            </w:r>
          </w:p>
        </w:tc>
        <w:tc>
          <w:tcPr>
            <w:tcW w:w="880" w:type="dxa"/>
            <w:vAlign w:val="bottom"/>
            <w:gridSpan w:val="3"/>
            <w:shd w:val="clear" w:color="auto" w:fill="E5E5E5"/>
          </w:tcPr>
          <w:p>
            <w:pPr>
              <w:jc w:val="right"/>
              <w:spacing w:after="0" w:line="150" w:lineRule="exact"/>
              <w:rPr>
                <w:sz w:val="20"/>
                <w:szCs w:val="20"/>
                <w:color w:val="auto"/>
              </w:rPr>
            </w:pPr>
            <w:r>
              <w:rPr>
                <w:rFonts w:ascii="Times New Roman" w:cs="Times New Roman" w:eastAsia="Times New Roman" w:hAnsi="Times New Roman"/>
                <w:sz w:val="14"/>
                <w:szCs w:val="14"/>
                <w:color w:val="auto"/>
              </w:rPr>
              <w:t>7.8</w:t>
            </w:r>
          </w:p>
        </w:tc>
        <w:tc>
          <w:tcPr>
            <w:tcW w:w="200" w:type="dxa"/>
            <w:vAlign w:val="bottom"/>
            <w:shd w:val="clear" w:color="auto" w:fill="E5E5E5"/>
          </w:tcPr>
          <w:p>
            <w:pPr>
              <w:spacing w:after="0"/>
              <w:rPr>
                <w:sz w:val="13"/>
                <w:szCs w:val="13"/>
                <w:color w:val="auto"/>
              </w:rPr>
            </w:pPr>
          </w:p>
        </w:tc>
        <w:tc>
          <w:tcPr>
            <w:tcW w:w="200" w:type="dxa"/>
            <w:vAlign w:val="bottom"/>
            <w:gridSpan w:val="2"/>
            <w:shd w:val="clear" w:color="auto" w:fill="E5E5E5"/>
          </w:tcPr>
          <w:p>
            <w:pPr>
              <w:ind w:left="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480" w:type="dxa"/>
            <w:vAlign w:val="bottom"/>
            <w:gridSpan w:val="2"/>
            <w:shd w:val="clear" w:color="auto" w:fill="E5E5E5"/>
          </w:tcPr>
          <w:p>
            <w:pPr>
              <w:jc w:val="right"/>
              <w:spacing w:after="0" w:line="150" w:lineRule="exact"/>
              <w:rPr>
                <w:sz w:val="20"/>
                <w:szCs w:val="20"/>
                <w:color w:val="auto"/>
              </w:rPr>
            </w:pPr>
            <w:r>
              <w:rPr>
                <w:rFonts w:ascii="Times New Roman" w:cs="Times New Roman" w:eastAsia="Times New Roman" w:hAnsi="Times New Roman"/>
                <w:sz w:val="14"/>
                <w:szCs w:val="14"/>
                <w:color w:val="auto"/>
              </w:rPr>
              <w:t>112,216</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519"/>
        <w:spacing w:after="0" w:line="266" w:lineRule="auto"/>
        <w:rPr>
          <w:sz w:val="20"/>
          <w:szCs w:val="20"/>
          <w:color w:val="auto"/>
        </w:rPr>
      </w:pPr>
      <w:r>
        <w:rPr>
          <w:rFonts w:ascii="Times New Roman" w:cs="Times New Roman" w:eastAsia="Times New Roman" w:hAnsi="Times New Roman"/>
          <w:sz w:val="14"/>
          <w:szCs w:val="14"/>
          <w:color w:val="auto"/>
        </w:rPr>
        <w:t>The intrinsic value is calculated as the difference between the exercise price of the underlying stock option award and the estimated fair value of the Company’s common stock. The total intrinsic values of options exercised during the six months ended June 30, 2024 and 2025 $2.7 million and $2.8 million, respectively.</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2024, the weighted average grant-date fair value of options granted was $10.27 per share, and the fair value of options vested during the period was $3.2 million. During the six months ended June 30, 2025, the weighted average grant-date fair value of options granted was $15.65 per share, and the fair value of options vested during the period was $4.7 million. The fair value is being expensed over the vesting period of the options, on a straight-line basis as the services are being provided.</w:t>
      </w:r>
    </w:p>
    <w:p>
      <w:pPr>
        <w:spacing w:after="0" w:line="139"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As of June 30, 2025, there was approximately $53.2 million of total unrecognized compensation cost related to unvested options, which is expected to be recognized over the weighted average period of 3.9 years. Also, in June 2025, the Board of Directors granted stock options of 1,003,102 shares to the Company’s CEO and Co-Founder and 501,551 shares to the Chief Technology Officer and Co-Founder at an exercise price of $20.04 per share. The vesting commencement date of the stock option is June 11, 2025 and the stock options vests monthly over six years.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10159"/>
          </w:cols>
          <w:pgMar w:left="300" w:top="385"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shows stock-based compensation expense included in the statements of operations and comprehensive loss for the six months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June 30, 2024 and 2025 (in thousands):</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68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E5E5E5"/>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E5E5E5"/>
            </w:tcBorders>
          </w:tcPr>
          <w:p>
            <w:pPr>
              <w:spacing w:after="0"/>
              <w:rPr>
                <w:sz w:val="11"/>
                <w:szCs w:val="11"/>
                <w:color w:val="auto"/>
              </w:rPr>
            </w:pPr>
          </w:p>
        </w:tc>
      </w:tr>
      <w:tr>
        <w:trPr>
          <w:trHeight w:val="158"/>
        </w:trPr>
        <w:tc>
          <w:tcPr>
            <w:tcW w:w="68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564</w:t>
            </w:r>
          </w:p>
        </w:tc>
        <w:tc>
          <w:tcPr>
            <w:tcW w:w="200" w:type="dxa"/>
            <w:vAlign w:val="bottom"/>
            <w:shd w:val="clear" w:color="auto" w:fill="E5E5E5"/>
          </w:tcPr>
          <w:p>
            <w:pPr>
              <w:spacing w:after="0"/>
              <w:rPr>
                <w:sz w:val="13"/>
                <w:szCs w:val="13"/>
                <w:color w:val="auto"/>
              </w:rPr>
            </w:pPr>
          </w:p>
        </w:tc>
        <w:tc>
          <w:tcPr>
            <w:tcW w:w="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738</w:t>
            </w:r>
          </w:p>
        </w:tc>
        <w:tc>
          <w:tcPr>
            <w:tcW w:w="60" w:type="dxa"/>
            <w:vAlign w:val="bottom"/>
            <w:shd w:val="clear" w:color="auto" w:fill="E5E5E5"/>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60" w:type="dxa"/>
            <w:vAlign w:val="bottom"/>
          </w:tcPr>
          <w:p>
            <w:pPr>
              <w:spacing w:after="0"/>
              <w:rPr>
                <w:sz w:val="14"/>
                <w:szCs w:val="14"/>
                <w:color w:val="auto"/>
              </w:rPr>
            </w:pPr>
          </w:p>
        </w:tc>
      </w:tr>
      <w:tr>
        <w:trPr>
          <w:trHeight w:val="168"/>
        </w:trPr>
        <w:tc>
          <w:tcPr>
            <w:tcW w:w="684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200" w:type="dxa"/>
            <w:vAlign w:val="bottom"/>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60" w:type="dxa"/>
            <w:vAlign w:val="bottom"/>
            <w:shd w:val="clear" w:color="auto" w:fill="E5E5E5"/>
          </w:tcPr>
          <w:p>
            <w:pPr>
              <w:spacing w:after="0"/>
              <w:rPr>
                <w:sz w:val="14"/>
                <w:szCs w:val="14"/>
                <w:color w:val="auto"/>
              </w:rPr>
            </w:pPr>
          </w:p>
        </w:tc>
      </w:tr>
      <w:tr>
        <w:trPr>
          <w:trHeight w:val="169"/>
        </w:trPr>
        <w:tc>
          <w:tcPr>
            <w:tcW w:w="6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3,905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      5,106</w:t>
            </w:r>
          </w:p>
        </w:tc>
        <w:tc>
          <w:tcPr>
            <w:tcW w:w="60" w:type="dxa"/>
            <w:vAlign w:val="bottom"/>
          </w:tcPr>
          <w:p>
            <w:pPr>
              <w:spacing w:after="0"/>
              <w:rPr>
                <w:sz w:val="14"/>
                <w:szCs w:val="14"/>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Secondary Sales of Common Stock</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During June 2024, investors of the Company acquired 52,750 shares of common stock at a price per share equal to $22.42 per share from employee stockholders. As a result, the Company recorded a total of $0.3 million for the six months ended June 30, 2024 in stock-based compensation expense for the difference between the price paid by these investors and the estimated fair value of the acquired common stock from stockholders on the date of the transactions.</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Repurchase of Common Stock</w:t>
      </w:r>
    </w:p>
    <w:p>
      <w:pPr>
        <w:spacing w:after="0" w:line="93"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In February 2024, the Company’s Board of Directors agreed to repurchase a total of 26,750 shares of common stock that were held by a former employee of the Company. The repurchase price paid by the Company was $20.3950 per share, resulting in a total repurchase cost of $0.5 million. As the repurchase price paid by the Company to the former employee represented an excess over the common stock’s estimated fair market value at the time, the Company accounted for this premium as stock-based compensation expense of $0.2 million during the six months ended June 30, 2024.</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93" w:lineRule="exact"/>
        <w:rPr>
          <w:sz w:val="20"/>
          <w:szCs w:val="20"/>
          <w:color w:val="auto"/>
        </w:rPr>
      </w:pPr>
    </w:p>
    <w:p>
      <w:pPr>
        <w:ind w:left="1360" w:right="659"/>
        <w:spacing w:after="0" w:line="282" w:lineRule="auto"/>
        <w:rPr>
          <w:sz w:val="20"/>
          <w:szCs w:val="20"/>
          <w:color w:val="auto"/>
        </w:rPr>
      </w:pPr>
      <w:r>
        <w:rPr>
          <w:rFonts w:ascii="Times New Roman" w:cs="Times New Roman" w:eastAsia="Times New Roman" w:hAnsi="Times New Roman"/>
          <w:sz w:val="14"/>
          <w:szCs w:val="14"/>
          <w:color w:val="auto"/>
        </w:rPr>
        <w:t>The Company has an effective tax rate of (0.03)% and (2.73)% for the six months ended June 30, 2024 and 2025, respectively. The Company has incurred U.S. operating losses and has minimal profits in its foreign jurisdictions.</w:t>
      </w:r>
    </w:p>
    <w:p>
      <w:pPr>
        <w:spacing w:after="0" w:line="125" w:lineRule="exact"/>
        <w:rPr>
          <w:sz w:val="20"/>
          <w:szCs w:val="20"/>
          <w:color w:val="auto"/>
        </w:rPr>
      </w:pPr>
    </w:p>
    <w:p>
      <w:pPr>
        <w:ind w:left="1360" w:right="459"/>
        <w:spacing w:after="0" w:line="258" w:lineRule="auto"/>
        <w:rPr>
          <w:sz w:val="20"/>
          <w:szCs w:val="20"/>
          <w:color w:val="auto"/>
        </w:rPr>
      </w:pPr>
      <w:r>
        <w:rPr>
          <w:rFonts w:ascii="Times New Roman" w:cs="Times New Roman" w:eastAsia="Times New Roman" w:hAnsi="Times New Roman"/>
          <w:sz w:val="14"/>
          <w:szCs w:val="14"/>
          <w:color w:val="auto"/>
        </w:rPr>
        <w:t>The Company updates its estimate of the annual effective tax rate each quarter and makes a cumulative adjustment in such period. The Company recorded income tax expense of less than $0.1 million and $0.1 million for the six months ended June 30, 2024 and 2025, respectively. Income tax expense consists primarily of income taxes for U.S. federal and the states in which the Company conducts business. Due to the Company’s history of losses in the United States, a full valuation allowance on substantially all of the Company’s deferred tax assets, including net operating loss carryforwards, research and development tax credits, and other book versus tax differences, was maintained.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Employee Benefit Plan</w:t>
      </w:r>
    </w:p>
    <w:p>
      <w:pPr>
        <w:spacing w:after="0" w:line="93" w:lineRule="exact"/>
        <w:rPr>
          <w:sz w:val="20"/>
          <w:szCs w:val="20"/>
          <w:color w:val="auto"/>
        </w:rPr>
      </w:pPr>
    </w:p>
    <w:p>
      <w:pPr>
        <w:jc w:val="both"/>
        <w:ind w:left="1360" w:right="379"/>
        <w:spacing w:after="0" w:line="266" w:lineRule="auto"/>
        <w:rPr>
          <w:sz w:val="20"/>
          <w:szCs w:val="20"/>
          <w:color w:val="auto"/>
        </w:rPr>
      </w:pPr>
      <w:r>
        <w:rPr>
          <w:rFonts w:ascii="Times New Roman" w:cs="Times New Roman" w:eastAsia="Times New Roman" w:hAnsi="Times New Roman"/>
          <w:sz w:val="14"/>
          <w:szCs w:val="14"/>
          <w:color w:val="auto"/>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six months ended June 30, 2024 and 2025, the Company contributed $1.1 million and $1.7 million to this plan, respectively.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0159"/>
          </w:cols>
          <w:pgMar w:left="300" w:top="385"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During the year ended December 31, 2023, the Company’s former CFO left the Company. Upon his departure, the Company’s Board of Directors approved the extension of the exercise period to ten years from the date of grant for all of his common stock options that were fully vested at the time of his departure. The impact on the financial statements resulting from the extension of the exercise term was not material. In February 2024, the Company also repurchased 26,750 shares of common stock that were held by the former CFO. Please refer to Note 10 for additional information on this transaction. There were no other material related party transactions during the six months ended June 30, 2024 and 2025.</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Net Loss Per Share Attributable to Shareholders</w:t>
      </w:r>
    </w:p>
    <w:p>
      <w:pPr>
        <w:spacing w:after="0" w:line="93"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shareholders when shares meet the definition of participating securities. The two-class method determines net income (loss) per share of common stock and participating securities according to dividends declared or accumulated and participation rights in undistributed earnings. The two-class method requires net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4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attributable to common stockholders by the weighted-average number of shares of common stock outstanding during the period, less shares subject to repurchase. Diluted net loss per share is computed by including all potentially dilutive securities outstanding for the period using the treasury stock method or the if-converted method, as applicable. For periods in which the Company reports net losses, diluted net loss per common share is the same as basic net loss per common share as all potentially dilutive securities are anti-dilutive.</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dilutive net loss per share attributable to common stockholders for the six months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June 30, 2024 and 2025 (in thousands, except per share amounts):</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20" w:type="dxa"/>
            <w:vAlign w:val="bottom"/>
          </w:tcPr>
          <w:p>
            <w:pPr>
              <w:spacing w:after="0"/>
              <w:rPr>
                <w:sz w:val="11"/>
                <w:szCs w:val="11"/>
                <w:color w:val="auto"/>
              </w:rPr>
            </w:pPr>
          </w:p>
        </w:tc>
        <w:tc>
          <w:tcPr>
            <w:tcW w:w="5420" w:type="dxa"/>
            <w:vAlign w:val="bottom"/>
            <w:tcBorders>
              <w:bottom w:val="single" w:sz="8" w:color="E5E5E5"/>
            </w:tcBorders>
          </w:tcPr>
          <w:p>
            <w:pPr>
              <w:spacing w:after="0"/>
              <w:rPr>
                <w:sz w:val="11"/>
                <w:szCs w:val="11"/>
                <w:color w:val="auto"/>
              </w:rPr>
            </w:pPr>
          </w:p>
        </w:tc>
        <w:tc>
          <w:tcPr>
            <w:tcW w:w="640" w:type="dxa"/>
            <w:vAlign w:val="bottom"/>
            <w:tcBorders>
              <w:bottom w:val="single" w:sz="8" w:color="E5E5E5"/>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E5E5E5"/>
            </w:tcBorders>
          </w:tcPr>
          <w:p>
            <w:pPr>
              <w:spacing w:after="0"/>
              <w:rPr>
                <w:sz w:val="11"/>
                <w:szCs w:val="11"/>
                <w:color w:val="auto"/>
              </w:rPr>
            </w:pPr>
          </w:p>
        </w:tc>
        <w:tc>
          <w:tcPr>
            <w:tcW w:w="120" w:type="dxa"/>
            <w:vAlign w:val="bottom"/>
            <w:tcBorders>
              <w:bottom w:val="single" w:sz="8" w:color="E5E5E5"/>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E5E5E5"/>
            </w:tcBorders>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E5E5E5"/>
          </w:tcPr>
          <w:p>
            <w:pPr>
              <w:spacing w:after="0" w:line="148" w:lineRule="exact"/>
              <w:rPr>
                <w:sz w:val="20"/>
                <w:szCs w:val="20"/>
                <w:color w:val="auto"/>
              </w:rPr>
            </w:pPr>
            <w:r>
              <w:rPr>
                <w:rFonts w:ascii="Times New Roman" w:cs="Times New Roman" w:eastAsia="Times New Roman" w:hAnsi="Times New Roman"/>
                <w:sz w:val="14"/>
                <w:szCs w:val="14"/>
                <w:color w:val="auto"/>
              </w:rPr>
              <w:t>Numerator:</w:t>
            </w:r>
          </w:p>
        </w:tc>
        <w:tc>
          <w:tcPr>
            <w:tcW w:w="64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(15,189)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(4,234)</w:t>
            </w:r>
          </w:p>
        </w:tc>
      </w:tr>
      <w:tr>
        <w:trPr>
          <w:trHeight w:val="168"/>
        </w:trPr>
        <w:tc>
          <w:tcPr>
            <w:tcW w:w="20" w:type="dxa"/>
            <w:vAlign w:val="bottom"/>
          </w:tcPr>
          <w:p>
            <w:pPr>
              <w:spacing w:after="0"/>
              <w:rPr>
                <w:sz w:val="14"/>
                <w:szCs w:val="14"/>
                <w:color w:val="auto"/>
              </w:rPr>
            </w:pPr>
          </w:p>
        </w:tc>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Denominator:</w:t>
            </w:r>
          </w:p>
        </w:tc>
        <w:tc>
          <w:tcPr>
            <w:tcW w:w="6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Weighted-average shares used in calculating net loss per share, basic and diluted</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78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4"/>
                <w:szCs w:val="14"/>
                <w:color w:val="auto"/>
              </w:rPr>
              <w:t>(0.41)</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79"/>
        <w:spacing w:after="0" w:line="282" w:lineRule="auto"/>
        <w:rPr>
          <w:sz w:val="20"/>
          <w:szCs w:val="20"/>
          <w:color w:val="auto"/>
        </w:rPr>
      </w:pPr>
      <w:r>
        <w:rPr>
          <w:rFonts w:ascii="Times New Roman" w:cs="Times New Roman" w:eastAsia="Times New Roman" w:hAnsi="Times New Roman"/>
          <w:sz w:val="14"/>
          <w:szCs w:val="14"/>
          <w:color w:val="auto"/>
        </w:rPr>
        <w:t>Since the Company was in a loss position for the period presented, basic net loss per share is the same as diluted net loss per share as the inclusion of all potential common shares outstanding would have been anti-dilutive.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10159"/>
          </w:cols>
          <w:pgMar w:left="300" w:top="385"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Unaudited Interim Financial Statements</w:t>
      </w:r>
    </w:p>
    <w:p>
      <w:pPr>
        <w:spacing w:after="0" w:line="181"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Potentially dilutive securities that were not included in the diluted per share calculations because they would be anti-dilutive were as follows for the six months ended June 30, 2024 and 2025:</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420" w:type="dxa"/>
            <w:vAlign w:val="bottom"/>
          </w:tcPr>
          <w:p>
            <w:pPr>
              <w:spacing w:after="0"/>
              <w:rPr>
                <w:sz w:val="11"/>
                <w:szCs w:val="11"/>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6420" w:type="dxa"/>
            <w:vAlign w:val="bottom"/>
            <w:tcBorders>
              <w:bottom w:val="single" w:sz="8" w:color="E5E5E5"/>
            </w:tcBorders>
          </w:tcPr>
          <w:p>
            <w:pPr>
              <w:spacing w:after="0"/>
              <w:rPr>
                <w:sz w:val="11"/>
                <w:szCs w:val="11"/>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E5E5E5"/>
            </w:tcBorders>
          </w:tcPr>
          <w:p>
            <w:pPr>
              <w:spacing w:after="0"/>
              <w:rPr>
                <w:sz w:val="11"/>
                <w:szCs w:val="11"/>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E5E5E5"/>
            </w:tcBorders>
          </w:tcPr>
          <w:p>
            <w:pPr>
              <w:spacing w:after="0"/>
              <w:rPr>
                <w:sz w:val="11"/>
                <w:szCs w:val="11"/>
                <w:color w:val="auto"/>
              </w:rPr>
            </w:pPr>
          </w:p>
        </w:tc>
      </w:tr>
      <w:tr>
        <w:trPr>
          <w:trHeight w:val="158"/>
        </w:trPr>
        <w:tc>
          <w:tcPr>
            <w:tcW w:w="6420" w:type="dxa"/>
            <w:vAlign w:val="bottom"/>
            <w:shd w:val="clear" w:color="auto" w:fill="E5E5E5"/>
          </w:tcPr>
          <w:p>
            <w:pPr>
              <w:spacing w:after="0" w:line="15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98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29,084,235</w:t>
            </w:r>
          </w:p>
        </w:tc>
        <w:tc>
          <w:tcPr>
            <w:tcW w:w="120" w:type="dxa"/>
            <w:vAlign w:val="bottom"/>
            <w:shd w:val="clear" w:color="auto" w:fill="E5E5E5"/>
          </w:tcPr>
          <w:p>
            <w:pPr>
              <w:spacing w:after="0"/>
              <w:rPr>
                <w:sz w:val="13"/>
                <w:szCs w:val="13"/>
                <w:color w:val="auto"/>
              </w:rPr>
            </w:pPr>
          </w:p>
        </w:tc>
        <w:tc>
          <w:tcPr>
            <w:tcW w:w="1000" w:type="dxa"/>
            <w:vAlign w:val="bottom"/>
            <w:shd w:val="clear" w:color="auto" w:fill="E5E5E5"/>
          </w:tcPr>
          <w:p>
            <w:pPr>
              <w:jc w:val="right"/>
              <w:spacing w:after="0" w:line="159" w:lineRule="exact"/>
              <w:rPr>
                <w:sz w:val="20"/>
                <w:szCs w:val="20"/>
                <w:color w:val="auto"/>
              </w:rPr>
            </w:pPr>
            <w:r>
              <w:rPr>
                <w:rFonts w:ascii="Times New Roman" w:cs="Times New Roman" w:eastAsia="Times New Roman" w:hAnsi="Times New Roman"/>
                <w:sz w:val="14"/>
                <w:szCs w:val="14"/>
                <w:color w:val="auto"/>
              </w:rPr>
              <w:t>   29,084,235</w:t>
            </w:r>
          </w:p>
        </w:tc>
        <w:tc>
          <w:tcPr>
            <w:tcW w:w="60" w:type="dxa"/>
            <w:vAlign w:val="bottom"/>
            <w:shd w:val="clear" w:color="auto" w:fill="E5E5E5"/>
          </w:tcPr>
          <w:p>
            <w:pPr>
              <w:spacing w:after="0"/>
              <w:rPr>
                <w:sz w:val="13"/>
                <w:szCs w:val="13"/>
                <w:color w:val="auto"/>
              </w:rPr>
            </w:pPr>
          </w:p>
        </w:tc>
      </w:tr>
      <w:tr>
        <w:trPr>
          <w:trHeight w:val="16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6,542,526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8,933,419</w:t>
            </w:r>
          </w:p>
        </w:tc>
        <w:tc>
          <w:tcPr>
            <w:tcW w:w="60" w:type="dxa"/>
            <w:vAlign w:val="bottom"/>
          </w:tcPr>
          <w:p>
            <w:pPr>
              <w:spacing w:after="0"/>
              <w:rPr>
                <w:sz w:val="14"/>
                <w:szCs w:val="14"/>
                <w:color w:val="auto"/>
              </w:rPr>
            </w:pPr>
          </w:p>
        </w:tc>
      </w:tr>
      <w:tr>
        <w:trPr>
          <w:trHeight w:val="168"/>
        </w:trPr>
        <w:tc>
          <w:tcPr>
            <w:tcW w:w="6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Restricted stock awards in exchange for non recourse note</w:t>
            </w: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60" w:type="dxa"/>
            <w:vAlign w:val="bottom"/>
            <w:shd w:val="clear" w:color="auto" w:fill="E5E5E5"/>
          </w:tcPr>
          <w:p>
            <w:pPr>
              <w:spacing w:after="0"/>
              <w:rPr>
                <w:sz w:val="14"/>
                <w:szCs w:val="14"/>
                <w:color w:val="auto"/>
              </w:rPr>
            </w:pPr>
          </w:p>
        </w:tc>
      </w:tr>
      <w:tr>
        <w:trPr>
          <w:trHeight w:val="16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121,566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121,566</w:t>
            </w:r>
          </w:p>
        </w:tc>
        <w:tc>
          <w:tcPr>
            <w:tcW w:w="60" w:type="dxa"/>
            <w:vAlign w:val="bottom"/>
          </w:tcPr>
          <w:p>
            <w:pPr>
              <w:spacing w:after="0"/>
              <w:rPr>
                <w:sz w:val="14"/>
                <w:szCs w:val="14"/>
                <w:color w:val="auto"/>
              </w:rPr>
            </w:pPr>
          </w:p>
        </w:tc>
      </w:tr>
      <w:tr>
        <w:trPr>
          <w:trHeight w:val="168"/>
        </w:trPr>
        <w:tc>
          <w:tcPr>
            <w:tcW w:w="6420" w:type="dxa"/>
            <w:vAlign w:val="bottom"/>
            <w:shd w:val="clear" w:color="auto" w:fill="E5E5E5"/>
          </w:tcPr>
          <w:p>
            <w:pPr>
              <w:spacing w:after="0"/>
              <w:rPr>
                <w:sz w:val="20"/>
                <w:szCs w:val="20"/>
                <w:color w:val="auto"/>
              </w:rPr>
            </w:pPr>
            <w:r>
              <w:rPr>
                <w:rFonts w:ascii="Times New Roman" w:cs="Times New Roman" w:eastAsia="Times New Roman" w:hAnsi="Times New Roman"/>
                <w:sz w:val="14"/>
                <w:szCs w:val="14"/>
                <w:color w:val="auto"/>
              </w:rPr>
              <w:t>Warrants to purchase redeemable convertible preferred stock</w:t>
            </w: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12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60" w:type="dxa"/>
            <w:vAlign w:val="bottom"/>
            <w:shd w:val="clear" w:color="auto" w:fill="E5E5E5"/>
          </w:tcPr>
          <w:p>
            <w:pPr>
              <w:spacing w:after="0"/>
              <w:rPr>
                <w:sz w:val="14"/>
                <w:szCs w:val="14"/>
                <w:color w:val="auto"/>
              </w:rPr>
            </w:pPr>
          </w:p>
        </w:tc>
      </w:tr>
      <w:tr>
        <w:trPr>
          <w:trHeight w:val="183"/>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Unvested early-exercised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bl>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Subsequent Events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Management evaluates events occurring subsequent to the date of the financial statements in determining the</w:t>
      </w:r>
    </w:p>
    <w:p>
      <w:pPr>
        <w:spacing w:after="0" w:line="22" w:lineRule="exact"/>
        <w:rPr>
          <w:sz w:val="20"/>
          <w:szCs w:val="20"/>
          <w:color w:val="auto"/>
        </w:rPr>
      </w:pPr>
    </w:p>
    <w:p>
      <w:pPr>
        <w:ind w:left="1360" w:right="339"/>
        <w:spacing w:after="0" w:line="260" w:lineRule="auto"/>
        <w:rPr>
          <w:sz w:val="20"/>
          <w:szCs w:val="20"/>
          <w:color w:val="auto"/>
        </w:rPr>
      </w:pPr>
      <w:r>
        <w:rPr>
          <w:rFonts w:ascii="Times New Roman" w:cs="Times New Roman" w:eastAsia="Times New Roman" w:hAnsi="Times New Roman"/>
          <w:sz w:val="14"/>
          <w:szCs w:val="14"/>
          <w:color w:val="auto"/>
        </w:rPr>
        <w:t>accounting for and disclosure of transactions and events that affect the financial statements. For its interim financial statements as of June 30, 2025, the Company evaluated subsequent events through September 17, 2025, the date on which the interim financial statements were available to be issued.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10159"/>
          </w:cols>
          <w:pgMar w:left="300" w:top="385"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622300</wp:posOffset>
            </wp:positionV>
            <wp:extent cx="2058670" cy="6330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058670"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33"/>
          <w:szCs w:val="33"/>
          <w:b w:val="1"/>
          <w:bCs w:val="1"/>
          <w:color w:val="auto"/>
        </w:rPr>
        <w:t>Preliminary prospectus</w:t>
      </w:r>
    </w:p>
    <w:p>
      <w:pPr>
        <w:sectPr>
          <w:pgSz w:w="11900" w:h="16838" w:orient="portrait"/>
          <w:cols w:equalWidth="0" w:num="1">
            <w:col w:w="11280"/>
          </w:cols>
          <w:pgMar w:left="300" w:top="38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Piper Sandler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William Blair</w:t>
      </w:r>
    </w:p>
    <w:p>
      <w:pPr>
        <w:spacing w:after="0" w:line="114" w:lineRule="exact"/>
        <w:rPr>
          <w:sz w:val="20"/>
          <w:szCs w:val="20"/>
          <w:color w:val="auto"/>
        </w:rPr>
      </w:pPr>
    </w:p>
    <w:p>
      <w:pPr>
        <w:sectPr>
          <w:pgSz w:w="11900" w:h="16838" w:orient="portrait"/>
          <w:cols w:equalWidth="0" w:num="4">
            <w:col w:w="3040" w:space="720"/>
            <w:col w:w="2360" w:space="720"/>
            <w:col w:w="2380" w:space="720"/>
            <w:col w:w="1340"/>
          </w:cols>
          <w:pgMar w:left="300" w:top="385" w:right="31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BTIG</w:t>
      </w:r>
    </w:p>
    <w:p>
      <w:pPr>
        <w:spacing w:after="0" w:line="200" w:lineRule="exact"/>
        <w:rPr>
          <w:sz w:val="20"/>
          <w:szCs w:val="20"/>
          <w:color w:val="auto"/>
        </w:rPr>
      </w:pPr>
    </w:p>
    <w:p>
      <w:pPr>
        <w:sectPr>
          <w:pgSz w:w="11900" w:h="16838" w:orient="portrait"/>
          <w:cols w:equalWidth="0" w:num="3">
            <w:col w:w="3960" w:space="720"/>
            <w:col w:w="5340" w:space="720"/>
            <w:col w:w="540"/>
          </w:cols>
          <w:pgMar w:left="300" w:top="385" w:right="319"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 2025</w:t>
      </w:r>
    </w:p>
    <w:p>
      <w:pPr>
        <w:sectPr>
          <w:pgSz w:w="11900" w:h="16838" w:orient="portrait"/>
          <w:cols w:equalWidth="0" w:num="1">
            <w:col w:w="11280"/>
          </w:cols>
          <w:pgMar w:left="300" w:top="385" w:right="319" w:bottom="1440" w:gutter="0" w:footer="0" w:header="0"/>
          <w:type w:val="continuous"/>
        </w:sectPr>
      </w:pPr>
    </w:p>
    <w:bookmarkStart w:id="328" w:name="page329"/>
    <w:bookmarkEnd w:id="3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5"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color w:val="auto"/>
        </w:rPr>
        <w:t>The following table sets forth all costs and expenses, other than underwriting discounts and commissions, payable by us in connection with the sale of the Class A common stock being registered. All amounts shown are estimates except for the Securities and Exchange Commission (SEC) registration fee, the Financial Industry Regulatory Authority (FINRA) filing fee and the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62800" cy="133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0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147"/>
        </w:trPr>
        <w:tc>
          <w:tcPr>
            <w:tcW w:w="38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7" w:lineRule="exact"/>
              <w:rPr>
                <w:sz w:val="20"/>
                <w:szCs w:val="20"/>
                <w:color w:val="auto"/>
              </w:rPr>
            </w:pPr>
            <w:r>
              <w:rPr>
                <w:rFonts w:ascii="Arial" w:cs="Arial" w:eastAsia="Arial" w:hAnsi="Arial"/>
                <w:sz w:val="13"/>
                <w:szCs w:val="13"/>
                <w:b w:val="1"/>
                <w:bCs w:val="1"/>
                <w:color w:val="auto"/>
              </w:rPr>
              <w:t>paid or</w:t>
            </w:r>
          </w:p>
        </w:tc>
      </w:tr>
      <w:tr>
        <w:trPr>
          <w:trHeight w:val="168"/>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Item</w:t>
            </w:r>
          </w:p>
        </w:tc>
        <w:tc>
          <w:tcPr>
            <w:tcW w:w="10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to be paid</w:t>
            </w:r>
          </w:p>
        </w:tc>
      </w:tr>
      <w:tr>
        <w:trPr>
          <w:trHeight w:val="148"/>
        </w:trPr>
        <w:tc>
          <w:tcPr>
            <w:tcW w:w="10380" w:type="dxa"/>
            <w:vAlign w:val="bottom"/>
            <w:gridSpan w:val="2"/>
            <w:shd w:val="clear" w:color="auto" w:fill="E5E5E5"/>
          </w:tcPr>
          <w:p>
            <w:pPr>
              <w:spacing w:after="0" w:line="148" w:lineRule="exact"/>
              <w:rPr>
                <w:sz w:val="20"/>
                <w:szCs w:val="20"/>
                <w:color w:val="auto"/>
              </w:rPr>
            </w:pPr>
            <w:r>
              <w:rPr>
                <w:rFonts w:ascii="Arial" w:cs="Arial" w:eastAsia="Arial" w:hAnsi="Arial"/>
                <w:sz w:val="14"/>
                <w:szCs w:val="14"/>
                <w:color w:val="auto"/>
              </w:rPr>
              <w:t>SEC registration fee</w:t>
            </w:r>
          </w:p>
        </w:tc>
        <w:tc>
          <w:tcPr>
            <w:tcW w:w="160" w:type="dxa"/>
            <w:vAlign w:val="bottom"/>
            <w:shd w:val="clear" w:color="auto" w:fill="E5E5E5"/>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E5E5E5"/>
          </w:tcPr>
          <w:p>
            <w:pPr>
              <w:jc w:val="right"/>
              <w:ind w:right="60"/>
              <w:spacing w:after="0" w:line="148" w:lineRule="exact"/>
              <w:rPr>
                <w:sz w:val="20"/>
                <w:szCs w:val="20"/>
                <w:color w:val="auto"/>
              </w:rPr>
            </w:pPr>
            <w:r>
              <w:rPr>
                <w:rFonts w:ascii="Arial" w:cs="Arial" w:eastAsia="Arial" w:hAnsi="Arial"/>
                <w:sz w:val="14"/>
                <w:szCs w:val="14"/>
                <w:color w:val="auto"/>
              </w:rPr>
              <w:t>13,810</w:t>
            </w:r>
          </w:p>
        </w:tc>
      </w:tr>
      <w:tr>
        <w:trPr>
          <w:trHeight w:val="157"/>
        </w:trPr>
        <w:tc>
          <w:tcPr>
            <w:tcW w:w="10380" w:type="dxa"/>
            <w:vAlign w:val="bottom"/>
            <w:gridSpan w:val="2"/>
          </w:tcPr>
          <w:p>
            <w:pPr>
              <w:spacing w:after="0" w:line="157" w:lineRule="exact"/>
              <w:rPr>
                <w:sz w:val="20"/>
                <w:szCs w:val="20"/>
                <w:color w:val="auto"/>
              </w:rPr>
            </w:pPr>
            <w:r>
              <w:rPr>
                <w:rFonts w:ascii="Arial" w:cs="Arial" w:eastAsia="Arial" w:hAnsi="Arial"/>
                <w:sz w:val="14"/>
                <w:szCs w:val="14"/>
                <w:color w:val="auto"/>
              </w:rPr>
              <w:t>FINRA filing fee</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15,500</w:t>
            </w:r>
          </w:p>
        </w:tc>
      </w:tr>
      <w:tr>
        <w:trPr>
          <w:trHeight w:val="157"/>
        </w:trPr>
        <w:tc>
          <w:tcPr>
            <w:tcW w:w="103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Nasdaq listing fee</w:t>
            </w:r>
          </w:p>
        </w:tc>
        <w:tc>
          <w:tcPr>
            <w:tcW w:w="160" w:type="dxa"/>
            <w:vAlign w:val="bottom"/>
            <w:shd w:val="clear" w:color="auto" w:fill="E5E5E5"/>
          </w:tcPr>
          <w:p>
            <w:pPr>
              <w:spacing w:after="0"/>
              <w:rPr>
                <w:sz w:val="13"/>
                <w:szCs w:val="13"/>
                <w:color w:val="auto"/>
              </w:rPr>
            </w:pPr>
          </w:p>
        </w:tc>
        <w:tc>
          <w:tcPr>
            <w:tcW w:w="74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tcPr>
          <w:p>
            <w:pPr>
              <w:spacing w:after="0" w:line="157" w:lineRule="exact"/>
              <w:rPr>
                <w:sz w:val="20"/>
                <w:szCs w:val="20"/>
                <w:color w:val="auto"/>
              </w:rPr>
            </w:pPr>
            <w:r>
              <w:rPr>
                <w:rFonts w:ascii="Arial" w:cs="Arial" w:eastAsia="Arial" w:hAnsi="Arial"/>
                <w:sz w:val="14"/>
                <w:szCs w:val="14"/>
                <w:color w:val="auto"/>
              </w:rPr>
              <w:t>Printing and engraving expenses</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Legal fees and expenses</w:t>
            </w:r>
          </w:p>
        </w:tc>
        <w:tc>
          <w:tcPr>
            <w:tcW w:w="160" w:type="dxa"/>
            <w:vAlign w:val="bottom"/>
            <w:shd w:val="clear" w:color="auto" w:fill="E5E5E5"/>
          </w:tcPr>
          <w:p>
            <w:pPr>
              <w:spacing w:after="0"/>
              <w:rPr>
                <w:sz w:val="13"/>
                <w:szCs w:val="13"/>
                <w:color w:val="auto"/>
              </w:rPr>
            </w:pPr>
          </w:p>
        </w:tc>
        <w:tc>
          <w:tcPr>
            <w:tcW w:w="74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tcPr>
          <w:p>
            <w:pPr>
              <w:spacing w:after="0" w:line="157" w:lineRule="exact"/>
              <w:rPr>
                <w:sz w:val="20"/>
                <w:szCs w:val="20"/>
                <w:color w:val="auto"/>
              </w:rPr>
            </w:pPr>
            <w:r>
              <w:rPr>
                <w:rFonts w:ascii="Arial" w:cs="Arial" w:eastAsia="Arial" w:hAnsi="Arial"/>
                <w:sz w:val="14"/>
                <w:szCs w:val="14"/>
                <w:color w:val="auto"/>
              </w:rPr>
              <w:t>Accounting fees and expenses</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Blue sky qualification fees and expenses</w:t>
            </w:r>
          </w:p>
        </w:tc>
        <w:tc>
          <w:tcPr>
            <w:tcW w:w="160" w:type="dxa"/>
            <w:vAlign w:val="bottom"/>
            <w:shd w:val="clear" w:color="auto" w:fill="E5E5E5"/>
          </w:tcPr>
          <w:p>
            <w:pPr>
              <w:spacing w:after="0"/>
              <w:rPr>
                <w:sz w:val="13"/>
                <w:szCs w:val="13"/>
                <w:color w:val="auto"/>
              </w:rPr>
            </w:pPr>
          </w:p>
        </w:tc>
        <w:tc>
          <w:tcPr>
            <w:tcW w:w="74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tcPr>
          <w:p>
            <w:pPr>
              <w:spacing w:after="0" w:line="157" w:lineRule="exact"/>
              <w:rPr>
                <w:sz w:val="20"/>
                <w:szCs w:val="20"/>
                <w:color w:val="auto"/>
              </w:rPr>
            </w:pPr>
            <w:r>
              <w:rPr>
                <w:rFonts w:ascii="Arial" w:cs="Arial" w:eastAsia="Arial" w:hAnsi="Arial"/>
                <w:sz w:val="14"/>
                <w:szCs w:val="14"/>
                <w:color w:val="auto"/>
              </w:rPr>
              <w:t>Transfer Agent fees and expenses</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57"/>
        </w:trPr>
        <w:tc>
          <w:tcPr>
            <w:tcW w:w="10380" w:type="dxa"/>
            <w:vAlign w:val="bottom"/>
            <w:gridSpan w:val="2"/>
            <w:shd w:val="clear" w:color="auto" w:fill="E5E5E5"/>
          </w:tcPr>
          <w:p>
            <w:pPr>
              <w:spacing w:after="0" w:line="157" w:lineRule="exact"/>
              <w:rPr>
                <w:sz w:val="20"/>
                <w:szCs w:val="20"/>
                <w:color w:val="auto"/>
              </w:rPr>
            </w:pPr>
            <w:r>
              <w:rPr>
                <w:rFonts w:ascii="Arial" w:cs="Arial" w:eastAsia="Arial" w:hAnsi="Arial"/>
                <w:sz w:val="14"/>
                <w:szCs w:val="14"/>
                <w:color w:val="auto"/>
              </w:rPr>
              <w:t>Miscellaneous expenses</w:t>
            </w:r>
          </w:p>
        </w:tc>
        <w:tc>
          <w:tcPr>
            <w:tcW w:w="160" w:type="dxa"/>
            <w:vAlign w:val="bottom"/>
            <w:shd w:val="clear" w:color="auto" w:fill="E5E5E5"/>
          </w:tcPr>
          <w:p>
            <w:pPr>
              <w:spacing w:after="0"/>
              <w:rPr>
                <w:sz w:val="13"/>
                <w:szCs w:val="13"/>
                <w:color w:val="auto"/>
              </w:rPr>
            </w:pPr>
          </w:p>
        </w:tc>
        <w:tc>
          <w:tcPr>
            <w:tcW w:w="740" w:type="dxa"/>
            <w:vAlign w:val="bottom"/>
            <w:gridSpan w:val="2"/>
            <w:shd w:val="clear" w:color="auto" w:fill="E5E5E5"/>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75"/>
        </w:trPr>
        <w:tc>
          <w:tcPr>
            <w:tcW w:w="380" w:type="dxa"/>
            <w:vAlign w:val="bottom"/>
          </w:tcPr>
          <w:p>
            <w:pPr>
              <w:spacing w:after="0"/>
              <w:rPr>
                <w:sz w:val="20"/>
                <w:szCs w:val="20"/>
                <w:color w:val="auto"/>
              </w:rPr>
            </w:pPr>
            <w:r>
              <w:rPr>
                <w:rFonts w:ascii="Arial" w:cs="Arial" w:eastAsia="Arial" w:hAnsi="Arial"/>
                <w:sz w:val="14"/>
                <w:szCs w:val="14"/>
                <w:color w:val="auto"/>
              </w:rPr>
              <w:t>Total</w:t>
            </w:r>
          </w:p>
        </w:tc>
        <w:tc>
          <w:tcPr>
            <w:tcW w:w="10000" w:type="dxa"/>
            <w:vAlign w:val="bottom"/>
          </w:tcPr>
          <w:p>
            <w:pPr>
              <w:spacing w:after="0"/>
              <w:rPr>
                <w:sz w:val="15"/>
                <w:szCs w:val="15"/>
                <w:color w:val="auto"/>
              </w:rPr>
            </w:pP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5"/>
                <w:szCs w:val="15"/>
                <w:color w:val="auto"/>
              </w:rPr>
            </w:pPr>
          </w:p>
        </w:tc>
      </w:tr>
      <w:tr>
        <w:trPr>
          <w:trHeight w:val="141"/>
        </w:trPr>
        <w:tc>
          <w:tcPr>
            <w:tcW w:w="380" w:type="dxa"/>
            <w:vAlign w:val="bottom"/>
            <w:tcBorders>
              <w:bottom w:val="single" w:sz="8" w:color="auto"/>
            </w:tcBorders>
          </w:tcPr>
          <w:p>
            <w:pPr>
              <w:spacing w:after="0"/>
              <w:rPr>
                <w:sz w:val="12"/>
                <w:szCs w:val="12"/>
                <w:color w:val="auto"/>
              </w:rPr>
            </w:pPr>
          </w:p>
        </w:tc>
        <w:tc>
          <w:tcPr>
            <w:tcW w:w="100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76"/>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10000" w:type="dxa"/>
            <w:vAlign w:val="bottom"/>
          </w:tcPr>
          <w:p>
            <w:pPr>
              <w:ind w:left="60"/>
              <w:spacing w:after="0"/>
              <w:rPr>
                <w:sz w:val="20"/>
                <w:szCs w:val="20"/>
                <w:color w:val="auto"/>
              </w:rPr>
            </w:pPr>
            <w:r>
              <w:rPr>
                <w:rFonts w:ascii="Arial" w:cs="Arial" w:eastAsia="Arial" w:hAnsi="Arial"/>
                <w:sz w:val="14"/>
                <w:szCs w:val="14"/>
                <w:color w:val="auto"/>
              </w:rPr>
              <w:t>To be completed by amendment</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05"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80" w:lineRule="exact"/>
        <w:rPr>
          <w:sz w:val="20"/>
          <w:szCs w:val="20"/>
          <w:color w:val="auto"/>
        </w:rPr>
      </w:pPr>
    </w:p>
    <w:p>
      <w:pPr>
        <w:jc w:val="both"/>
        <w:ind w:right="500"/>
        <w:spacing w:after="0" w:line="252" w:lineRule="auto"/>
        <w:rPr>
          <w:sz w:val="20"/>
          <w:szCs w:val="20"/>
          <w:color w:val="auto"/>
        </w:rPr>
      </w:pPr>
      <w:r>
        <w:rPr>
          <w:rFonts w:ascii="Arial" w:cs="Arial" w:eastAsia="Arial" w:hAnsi="Arial"/>
          <w:sz w:val="14"/>
          <w:szCs w:val="14"/>
          <w:color w:val="auto"/>
        </w:rPr>
        <w:t>As permitted by the DGCL, our Post-IPO Certificate of Incorporation and Post-IPO Bylaws, as each will be in effect immediately prior to the completion of this offering, contain provisions relating to the limitation of liability and indemnification of our directors and officers. The Post-IPO Certificate of Incorporation will provide that our directors will not be personally liable to us or our stockholders for monetary damages for any breach of fiduciary duty as a director, except for liability:</w:t>
      </w:r>
    </w:p>
    <w:p>
      <w:pPr>
        <w:spacing w:after="0" w:line="80" w:lineRule="exact"/>
        <w:rPr>
          <w:sz w:val="20"/>
          <w:szCs w:val="20"/>
          <w:color w:val="auto"/>
        </w:rPr>
      </w:pPr>
    </w:p>
    <w:p>
      <w:pPr>
        <w:ind w:left="220" w:hanging="216"/>
        <w:spacing w:after="0"/>
        <w:tabs>
          <w:tab w:leader="none" w:pos="2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for any breach of the director’s duty of loyalty to us or our stockholders;</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for acts or omissions not in good faith or that involve intentional misconduct or a knowing violation of law;</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 respect of unlawful payments of dividends or unlawful stock repurchases or redemptions as provided in Section 174 of the DGCL;</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an officer in any action by or in the right of the Company; or</w:t>
      </w:r>
    </w:p>
    <w:p>
      <w:pPr>
        <w:spacing w:after="0" w:line="111" w:lineRule="exact"/>
        <w:rPr>
          <w:rFonts w:ascii="Arial" w:cs="Arial" w:eastAsia="Arial" w:hAnsi="Arial"/>
          <w:sz w:val="14"/>
          <w:szCs w:val="14"/>
          <w:color w:val="auto"/>
        </w:rPr>
      </w:pPr>
    </w:p>
    <w:p>
      <w:pPr>
        <w:ind w:left="220" w:hanging="216"/>
        <w:spacing w:after="0"/>
        <w:tabs>
          <w:tab w:leader="none" w:pos="2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for any transaction from which the director derives any improper personal benefit.</w:t>
      </w:r>
    </w:p>
    <w:p>
      <w:pPr>
        <w:spacing w:after="0" w:line="112"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Our Post-IPO Certificate of Incorporation also will provide that if Delaware law is amended after the approval by our stockholders of the Post-IPO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80"/>
          </w:cols>
          <w:pgMar w:left="300" w:top="386"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Our Post-IPO Bylaws will provide that we will indemnify our directors and officers to the fullest extent permitted by Delaware law, as it now exists or may in the future be amended, against all expenses and liabilities reasonably incurred in connection with their service for or on our behalf. Our Post-IPO Bylaws will provide that we shall advance the expenses incurred by a director or officer in advance of the final disposition of an action or proceeding, and permit us to secure insurance on behalf of any director, officer, employee, or other agent for any liability arising out of his or her action in that capacity, whether or not Delaware law would otherwise permit indemnification.</w:t>
      </w:r>
    </w:p>
    <w:p>
      <w:pPr>
        <w:spacing w:after="0" w:line="7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have entered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Post-IPO Certificate of Incorporation and our Post-IPO Bylaws. In addition, the form agreement provides that, to the fullest extent permitted by Delaware law, we will advance all expenses incurred by our directors, executive officers and other key employees in connection with a legal proceeding.</w:t>
      </w:r>
    </w:p>
    <w:p>
      <w:pPr>
        <w:spacing w:after="0" w:line="87"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Reference is made to the underwriting agreement contained in Exhibit 1.1 to this registration statement, indemnifying our directors and officers against limited liabilities. In addition, Section 2.8 of our IRA contained in Exhibit 4.1 to this registration statement provides for indemnification of certain of our stockholders against liabilities described therein.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We currently carry and intend to continue to carry liability insurance for our directors and officers.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list sets forth information regarding all unregistered securities issued by us since January 1, 2022:</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promissory notes</w:t>
      </w:r>
    </w:p>
    <w:p>
      <w:pPr>
        <w:spacing w:after="0" w:line="110" w:lineRule="exact"/>
        <w:rPr>
          <w:sz w:val="20"/>
          <w:szCs w:val="20"/>
          <w:color w:val="auto"/>
        </w:rPr>
      </w:pPr>
    </w:p>
    <w:p>
      <w:pPr>
        <w:ind w:left="220" w:right="260" w:hanging="216"/>
        <w:spacing w:after="0" w:line="252" w:lineRule="auto"/>
        <w:tabs>
          <w:tab w:leader="none" w:pos="2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In September 2022, we issued convertible promissory notes with an approximate principal value of $30.0 million to seventeen accredited investors (the Convertible Promissory Notes). Each Convertible Promissory Note had an interest rate of 8% per annum. In May 2024, such Convertible Promissory Notes converted into an aggregate of 1,726,823 shares of Series C-1 redeemable convertible preferred stock at a conversion price of approximately $19.6143 per share.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Purchase Agreement</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We entered into a debt facility with availability of up to $140.0 million, issuable in four separate tranches, pursuant a Note Purchase Agreement, dated as of August 2, 2024, by and among us, the purchasers party thereto, and BWCB SA LLC (an entity affiliated with Oberland Capital), as purchaser’s agent (the Note Purchase Agreement). As of June 30, 2025, we have drawn $50 million under the debt facility. The advanced principal accrues interest at a rate of 8.0% per annum. Under the Note Purchase Agreement, subject to the terms and conditions set forth in such Agreement, we have the option, but not the obligation, to issue and sell an additional two separate tranches of notes in the amounts of $35.0 million and $25.0 million, and an obligation to sell a tranche of notes in the amount of $30.0 million prior to March 31, 2026 as we have crossed the thresholds triggering this obligation. The thresholds are trailing six-month revenue of at least $112.5 million and a trailing six-month gross margin (as defined in the Note Purchase Agreement) of at least 45%.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280"/>
          </w:cols>
          <w:pgMar w:left="300" w:top="385" w:right="3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w:t>
      </w:r>
    </w:p>
    <w:p>
      <w:pPr>
        <w:spacing w:after="0" w:line="110" w:lineRule="exact"/>
        <w:rPr>
          <w:sz w:val="20"/>
          <w:szCs w:val="20"/>
          <w:color w:val="auto"/>
        </w:rPr>
      </w:pPr>
    </w:p>
    <w:p>
      <w:pPr>
        <w:ind w:left="220" w:right="20" w:hanging="216"/>
        <w:spacing w:after="0" w:line="269" w:lineRule="auto"/>
        <w:tabs>
          <w:tab w:leader="none" w:pos="2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Between March 2022 and September 2022, we issued an aggregate of 5,628,825 shares of Series C redeemable convertible preferred stock at a cash purchase price of $25.4937 per share to for an aggregate purchase price of approximately $143.5 million to thirty-nine accredited investors.</w:t>
      </w:r>
    </w:p>
    <w:p>
      <w:pPr>
        <w:spacing w:after="0" w:line="69" w:lineRule="exact"/>
        <w:rPr>
          <w:rFonts w:ascii="Arial" w:cs="Arial" w:eastAsia="Arial" w:hAnsi="Arial"/>
          <w:sz w:val="14"/>
          <w:szCs w:val="14"/>
          <w:color w:val="auto"/>
        </w:rPr>
      </w:pPr>
    </w:p>
    <w:p>
      <w:pPr>
        <w:ind w:left="220" w:right="220" w:hanging="216"/>
        <w:spacing w:after="0" w:line="269" w:lineRule="auto"/>
        <w:tabs>
          <w:tab w:leader="none" w:pos="2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 May 2024, we issued an aggregate of 4,656,233 shares of Series D redeemable convertible preferred stock at a cash purchase price of $28.0204 per share for an aggregate purchase price of approximately $130.5 million to thirty-five accredited investors.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Options</w:t>
      </w:r>
    </w:p>
    <w:p>
      <w:pPr>
        <w:spacing w:after="0" w:line="110" w:lineRule="exact"/>
        <w:rPr>
          <w:sz w:val="20"/>
          <w:szCs w:val="20"/>
          <w:color w:val="auto"/>
        </w:rPr>
      </w:pPr>
    </w:p>
    <w:p>
      <w:pPr>
        <w:ind w:left="220" w:right="80" w:hanging="216"/>
        <w:spacing w:after="0" w:line="252" w:lineRule="auto"/>
        <w:tabs>
          <w:tab w:leader="none" w:pos="2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We have granted options to purchase 13,990,563 shares of common stock to employees, directors and other service providers pursuant to our 2018 Stock Plan, with per share exercise prices ranging from $0.06 to $30.78. Since January 1, 2022, 834,783 shares of common stock have been issued upon the exercise of stock options pursuant to the 2018 Stock Plan.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10" w:lineRule="exact"/>
        <w:rPr>
          <w:sz w:val="20"/>
          <w:szCs w:val="20"/>
          <w:color w:val="auto"/>
        </w:rPr>
      </w:pPr>
    </w:p>
    <w:p>
      <w:pPr>
        <w:jc w:val="both"/>
        <w:ind w:left="220" w:right="160" w:hanging="216"/>
        <w:spacing w:after="0" w:line="252" w:lineRule="auto"/>
        <w:tabs>
          <w:tab w:leader="none" w:pos="22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In July 2022, we issued a warrant to purchase up to 41,209 shares of common stock with an exercise price of $10.92 per share to one accredited investor; 30,907 warrants were exercisable upon execution of the agreement; the remaining warrants became exercisable as we made additional draws on the Western Alliance Bank debt. As of December 31, 2023 all of the warrants were exercisable.</w:t>
      </w:r>
    </w:p>
    <w:p>
      <w:pPr>
        <w:spacing w:after="0" w:line="80"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Exhibit</w:t>
            </w:r>
          </w:p>
        </w:tc>
        <w:tc>
          <w:tcPr>
            <w:tcW w:w="5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6000" w:type="dxa"/>
            <w:vAlign w:val="bottom"/>
            <w:gridSpan w:val="3"/>
            <w:vMerge w:val="restart"/>
          </w:tcPr>
          <w:p>
            <w:pPr>
              <w:ind w:left="62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No.</w:t>
            </w:r>
          </w:p>
        </w:tc>
        <w:tc>
          <w:tcPr>
            <w:tcW w:w="560" w:type="dxa"/>
            <w:vAlign w:val="bottom"/>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600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20"/>
                <w:szCs w:val="20"/>
                <w:color w:val="auto"/>
              </w:rPr>
            </w:pPr>
            <w:r>
              <w:rPr>
                <w:rFonts w:ascii="Arial" w:cs="Arial" w:eastAsia="Arial" w:hAnsi="Arial"/>
                <w:sz w:val="14"/>
                <w:szCs w:val="14"/>
                <w:color w:val="auto"/>
              </w:rPr>
              <w:t>    1.1**</w:t>
            </w:r>
          </w:p>
        </w:tc>
        <w:tc>
          <w:tcPr>
            <w:tcW w:w="56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4"/>
                <w:szCs w:val="14"/>
                <w:color w:val="auto"/>
              </w:rPr>
              <w:t>Form of Underwriting Agreement</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20"/>
                <w:szCs w:val="20"/>
                <w:color w:val="auto"/>
              </w:rPr>
            </w:pPr>
            <w:r>
              <w:rPr>
                <w:rFonts w:ascii="Arial" w:cs="Arial" w:eastAsia="Arial" w:hAnsi="Arial"/>
                <w:sz w:val="14"/>
                <w:szCs w:val="14"/>
                <w:color w:val="auto"/>
              </w:rPr>
              <w:t>    3.1</w:t>
            </w:r>
          </w:p>
        </w:tc>
        <w:tc>
          <w:tcPr>
            <w:tcW w:w="560" w:type="dxa"/>
            <w:vAlign w:val="bottom"/>
          </w:tcPr>
          <w:p>
            <w:pPr>
              <w:spacing w:after="0"/>
              <w:rPr>
                <w:sz w:val="15"/>
                <w:szCs w:val="15"/>
                <w:color w:val="auto"/>
              </w:rPr>
            </w:pPr>
          </w:p>
        </w:tc>
        <w:tc>
          <w:tcPr>
            <w:tcW w:w="558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9"/>
              </w:rPr>
              <w:t>Amended and Restated Certificate of Incorporation of the Registrant, as currently in effect.</w:t>
            </w: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4"/>
                <w:szCs w:val="14"/>
                <w:color w:val="auto"/>
              </w:rPr>
              <w:t>    3.2**</w:t>
            </w:r>
          </w:p>
        </w:tc>
        <w:tc>
          <w:tcPr>
            <w:tcW w:w="560" w:type="dxa"/>
            <w:vAlign w:val="bottom"/>
          </w:tcPr>
          <w:p>
            <w:pPr>
              <w:spacing w:after="0"/>
              <w:rPr>
                <w:sz w:val="19"/>
                <w:szCs w:val="19"/>
                <w:color w:val="auto"/>
              </w:rPr>
            </w:pPr>
          </w:p>
        </w:tc>
        <w:tc>
          <w:tcPr>
            <w:tcW w:w="10140" w:type="dxa"/>
            <w:vAlign w:val="bottom"/>
            <w:gridSpan w:val="4"/>
          </w:tcPr>
          <w:p>
            <w:pPr>
              <w:spacing w:after="0"/>
              <w:rPr>
                <w:sz w:val="20"/>
                <w:szCs w:val="20"/>
                <w:color w:val="auto"/>
              </w:rPr>
            </w:pPr>
            <w:r>
              <w:rPr>
                <w:rFonts w:ascii="Arial" w:cs="Arial" w:eastAsia="Arial" w:hAnsi="Arial"/>
                <w:sz w:val="14"/>
                <w:szCs w:val="14"/>
                <w:color w:val="auto"/>
              </w:rPr>
              <w:t>Form of Post-IPO Certificate of Incorporation of the Registrant, to be effective upon completion of this offering.</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20"/>
                <w:szCs w:val="20"/>
                <w:color w:val="auto"/>
              </w:rPr>
            </w:pPr>
            <w:r>
              <w:rPr>
                <w:rFonts w:ascii="Arial" w:cs="Arial" w:eastAsia="Arial" w:hAnsi="Arial"/>
                <w:sz w:val="14"/>
                <w:szCs w:val="14"/>
                <w:color w:val="auto"/>
              </w:rPr>
              <w:t>    3.3</w:t>
            </w:r>
          </w:p>
        </w:tc>
        <w:tc>
          <w:tcPr>
            <w:tcW w:w="560" w:type="dxa"/>
            <w:vAlign w:val="bottom"/>
          </w:tcPr>
          <w:p>
            <w:pPr>
              <w:spacing w:after="0"/>
              <w:rPr>
                <w:sz w:val="15"/>
                <w:szCs w:val="15"/>
                <w:color w:val="auto"/>
              </w:rPr>
            </w:pPr>
          </w:p>
        </w:tc>
        <w:tc>
          <w:tcPr>
            <w:tcW w:w="10140" w:type="dxa"/>
            <w:vAlign w:val="bottom"/>
            <w:gridSpan w:val="4"/>
          </w:tcPr>
          <w:p>
            <w:pPr>
              <w:spacing w:after="0"/>
              <w:rPr>
                <w:sz w:val="20"/>
                <w:szCs w:val="20"/>
                <w:color w:val="auto"/>
              </w:rPr>
            </w:pPr>
            <w:r>
              <w:rPr>
                <w:rFonts w:ascii="Arial" w:cs="Arial" w:eastAsia="Arial" w:hAnsi="Arial"/>
                <w:sz w:val="14"/>
                <w:szCs w:val="14"/>
                <w:color w:val="0000EE"/>
              </w:rPr>
              <w:t>Amended and Restated Bylaws of Registrant, as currently in effect.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rPr>
                <w:sz w:val="20"/>
                <w:szCs w:val="20"/>
                <w:color w:val="auto"/>
              </w:rPr>
            </w:pPr>
            <w:r>
              <w:rPr>
                <w:rFonts w:ascii="Arial" w:cs="Arial" w:eastAsia="Arial" w:hAnsi="Arial"/>
                <w:sz w:val="14"/>
                <w:szCs w:val="14"/>
                <w:color w:val="auto"/>
              </w:rPr>
              <w:t>    3.4</w:t>
            </w:r>
          </w:p>
        </w:tc>
        <w:tc>
          <w:tcPr>
            <w:tcW w:w="560" w:type="dxa"/>
            <w:vAlign w:val="bottom"/>
          </w:tcPr>
          <w:p>
            <w:pPr>
              <w:spacing w:after="0"/>
              <w:rPr>
                <w:sz w:val="16"/>
                <w:szCs w:val="16"/>
                <w:color w:val="auto"/>
              </w:rPr>
            </w:pPr>
          </w:p>
        </w:tc>
        <w:tc>
          <w:tcPr>
            <w:tcW w:w="10140" w:type="dxa"/>
            <w:vAlign w:val="bottom"/>
            <w:gridSpan w:val="4"/>
          </w:tcPr>
          <w:p>
            <w:pPr>
              <w:spacing w:after="0"/>
              <w:rPr>
                <w:sz w:val="20"/>
                <w:szCs w:val="20"/>
                <w:color w:val="auto"/>
              </w:rPr>
            </w:pPr>
            <w:r>
              <w:rPr>
                <w:rFonts w:ascii="Arial" w:cs="Arial" w:eastAsia="Arial" w:hAnsi="Arial"/>
                <w:sz w:val="14"/>
                <w:szCs w:val="14"/>
                <w:color w:val="0000EE"/>
              </w:rPr>
              <w:t>Form of Post-IPO Bylaws of Registrant, to be effective upon completion of this offering.</w:t>
            </w: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ind w:left="260"/>
              <w:spacing w:after="0"/>
              <w:rPr>
                <w:sz w:val="20"/>
                <w:szCs w:val="20"/>
                <w:color w:val="auto"/>
              </w:rPr>
            </w:pPr>
            <w:r>
              <w:rPr>
                <w:rFonts w:ascii="Arial" w:cs="Arial" w:eastAsia="Arial" w:hAnsi="Arial"/>
                <w:sz w:val="14"/>
                <w:szCs w:val="14"/>
                <w:color w:val="auto"/>
              </w:rPr>
              <w:t>II-3</w:t>
            </w:r>
          </w:p>
        </w:tc>
        <w:tc>
          <w:tcPr>
            <w:tcW w:w="4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85" w:right="3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ind w:left="220"/>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160" w:type="dxa"/>
            <w:vAlign w:val="bottom"/>
            <w:gridSpan w:val="16"/>
            <w:vMerge w:val="restart"/>
          </w:tcPr>
          <w:p>
            <w:pPr>
              <w:ind w:left="7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No.</w:t>
            </w:r>
          </w:p>
        </w:tc>
        <w:tc>
          <w:tcPr>
            <w:tcW w:w="3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20"/>
                <w:szCs w:val="20"/>
                <w:color w:val="auto"/>
              </w:rPr>
            </w:pPr>
            <w:r>
              <w:rPr>
                <w:rFonts w:ascii="Arial" w:cs="Arial" w:eastAsia="Arial" w:hAnsi="Arial"/>
                <w:sz w:val="14"/>
                <w:szCs w:val="14"/>
                <w:color w:val="auto"/>
              </w:rPr>
              <w:t>    4.1</w:t>
            </w:r>
          </w:p>
        </w:tc>
        <w:tc>
          <w:tcPr>
            <w:tcW w:w="340" w:type="dxa"/>
            <w:vAlign w:val="bottom"/>
          </w:tcPr>
          <w:p>
            <w:pPr>
              <w:spacing w:after="0"/>
              <w:rPr>
                <w:sz w:val="14"/>
                <w:szCs w:val="14"/>
                <w:color w:val="auto"/>
              </w:rPr>
            </w:pPr>
          </w:p>
        </w:tc>
        <w:tc>
          <w:tcPr>
            <w:tcW w:w="936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w w:val="99"/>
              </w:rPr>
              <w:t>Amended and Restated Investors’ Rights Agreement, dated May 14, 2024, by and among the Registrant and the investors listed on schedule A thereto.</w:t>
            </w: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4.2</w:t>
            </w:r>
          </w:p>
        </w:tc>
        <w:tc>
          <w:tcPr>
            <w:tcW w:w="340" w:type="dxa"/>
            <w:vAlign w:val="bottom"/>
          </w:tcPr>
          <w:p>
            <w:pPr>
              <w:spacing w:after="0"/>
              <w:rPr>
                <w:sz w:val="16"/>
                <w:szCs w:val="16"/>
                <w:color w:val="auto"/>
              </w:rPr>
            </w:pPr>
          </w:p>
        </w:tc>
        <w:tc>
          <w:tcPr>
            <w:tcW w:w="482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Warrant to Purchase Stock, issued to Comerica Bank, dated March 16, 2020.</w:t>
            </w:r>
          </w:p>
        </w:tc>
        <w:tc>
          <w:tcPr>
            <w:tcW w:w="53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4.3</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Warrant to Purchase Stock, issued to Western Alliance Bank, dated October 12, 2021.</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4.4</w:t>
            </w:r>
          </w:p>
        </w:tc>
        <w:tc>
          <w:tcPr>
            <w:tcW w:w="340" w:type="dxa"/>
            <w:vAlign w:val="bottom"/>
          </w:tcPr>
          <w:p>
            <w:pPr>
              <w:spacing w:after="0"/>
              <w:rPr>
                <w:sz w:val="16"/>
                <w:szCs w:val="16"/>
                <w:color w:val="auto"/>
              </w:rPr>
            </w:pPr>
          </w:p>
        </w:tc>
        <w:tc>
          <w:tcPr>
            <w:tcW w:w="5360" w:type="dxa"/>
            <w:vAlign w:val="bottom"/>
            <w:tcBorders>
              <w:top w:val="single" w:sz="8" w:color="0000EE"/>
            </w:tcBorders>
            <w:gridSpan w:val="13"/>
          </w:tcPr>
          <w:p>
            <w:pPr>
              <w:spacing w:after="0"/>
              <w:rPr>
                <w:sz w:val="20"/>
                <w:szCs w:val="20"/>
                <w:color w:val="auto"/>
              </w:rPr>
            </w:pPr>
            <w:r>
              <w:rPr>
                <w:rFonts w:ascii="Arial" w:cs="Arial" w:eastAsia="Arial" w:hAnsi="Arial"/>
                <w:sz w:val="14"/>
                <w:szCs w:val="14"/>
                <w:color w:val="0000EE"/>
              </w:rPr>
              <w:t>Warrant to Purchase Stock, issued to Western Alliance Bank, dated July 22, 2022.</w:t>
            </w:r>
          </w:p>
        </w:tc>
        <w:tc>
          <w:tcPr>
            <w:tcW w:w="478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4"/>
                <w:szCs w:val="14"/>
                <w:color w:val="auto"/>
              </w:rPr>
              <w:t>    5.1**</w:t>
            </w:r>
          </w:p>
        </w:tc>
        <w:tc>
          <w:tcPr>
            <w:tcW w:w="340" w:type="dxa"/>
            <w:vAlign w:val="bottom"/>
          </w:tcPr>
          <w:p>
            <w:pPr>
              <w:spacing w:after="0"/>
              <w:rPr>
                <w:sz w:val="19"/>
                <w:szCs w:val="19"/>
                <w:color w:val="auto"/>
              </w:rPr>
            </w:pPr>
          </w:p>
        </w:tc>
        <w:tc>
          <w:tcPr>
            <w:tcW w:w="5120" w:type="dxa"/>
            <w:vAlign w:val="bottom"/>
            <w:tcBorders>
              <w:top w:val="single" w:sz="8" w:color="0000EE"/>
            </w:tcBorders>
            <w:gridSpan w:val="10"/>
          </w:tcPr>
          <w:p>
            <w:pPr>
              <w:spacing w:after="0"/>
              <w:rPr>
                <w:sz w:val="20"/>
                <w:szCs w:val="20"/>
                <w:color w:val="auto"/>
              </w:rPr>
            </w:pPr>
            <w:r>
              <w:rPr>
                <w:rFonts w:ascii="Arial" w:cs="Arial" w:eastAsia="Arial" w:hAnsi="Arial"/>
                <w:sz w:val="14"/>
                <w:szCs w:val="14"/>
                <w:color w:val="auto"/>
              </w:rPr>
              <w:t>Opinion of Gunderson Dettmer Stough Villeneuve Franklin &amp; Hachigian, LLP.</w:t>
            </w:r>
          </w:p>
        </w:tc>
        <w:tc>
          <w:tcPr>
            <w:tcW w:w="50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20"/>
                <w:szCs w:val="20"/>
                <w:color w:val="auto"/>
              </w:rPr>
            </w:pPr>
            <w:r>
              <w:rPr>
                <w:rFonts w:ascii="Arial" w:cs="Arial" w:eastAsia="Arial" w:hAnsi="Arial"/>
                <w:sz w:val="14"/>
                <w:szCs w:val="14"/>
                <w:color w:val="auto"/>
              </w:rPr>
              <w:t>  10.1</w:t>
            </w:r>
          </w:p>
        </w:tc>
        <w:tc>
          <w:tcPr>
            <w:tcW w:w="340" w:type="dxa"/>
            <w:vAlign w:val="bottom"/>
          </w:tcPr>
          <w:p>
            <w:pPr>
              <w:spacing w:after="0"/>
              <w:rPr>
                <w:sz w:val="15"/>
                <w:szCs w:val="15"/>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Note Purchase Agreement, dated as of August 2, 2024, by and among the Registrant, the purchasers party thereto, and BWCB SA LLC (an entity affiliated with</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80" w:type="dxa"/>
            <w:vAlign w:val="bottom"/>
            <w:tcBorders>
              <w:top w:val="single" w:sz="8" w:color="0000EE"/>
            </w:tcBorders>
            <w:gridSpan w:val="22"/>
          </w:tcPr>
          <w:p>
            <w:pPr>
              <w:spacing w:after="0" w:line="137" w:lineRule="exact"/>
              <w:rPr>
                <w:sz w:val="20"/>
                <w:szCs w:val="20"/>
                <w:color w:val="auto"/>
              </w:rPr>
            </w:pPr>
            <w:r>
              <w:rPr>
                <w:rFonts w:ascii="Arial" w:cs="Arial" w:eastAsia="Arial" w:hAnsi="Arial"/>
                <w:sz w:val="14"/>
                <w:szCs w:val="14"/>
                <w:color w:val="0000EE"/>
              </w:rPr>
              <w:t>Oberland Capital Management, LLC), as purchaser’s agent.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10.2</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Amendment No. 1 to the Note Purchase Agreement, dated as September 4, 2025, by and among by and among the Registrant, the purchasers party thereto, and</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140" w:type="dxa"/>
            <w:vAlign w:val="bottom"/>
            <w:tcBorders>
              <w:top w:val="single" w:sz="8" w:color="0000EE"/>
              <w:bottom w:val="single" w:sz="8" w:color="0000EE"/>
            </w:tcBorders>
            <w:gridSpan w:val="16"/>
          </w:tcPr>
          <w:p>
            <w:pPr>
              <w:spacing w:after="0" w:line="137" w:lineRule="exact"/>
              <w:rPr>
                <w:sz w:val="20"/>
                <w:szCs w:val="20"/>
                <w:color w:val="auto"/>
              </w:rPr>
            </w:pPr>
            <w:r>
              <w:rPr>
                <w:rFonts w:ascii="Arial" w:cs="Arial" w:eastAsia="Arial" w:hAnsi="Arial"/>
                <w:sz w:val="14"/>
                <w:szCs w:val="14"/>
                <w:color w:val="0000EE"/>
                <w:w w:val="99"/>
              </w:rPr>
              <w:t>BWCB SA LLC (an entity affiliated with Oberland Capital Management, LLC), as purchaser’s agent.</w:t>
            </w:r>
          </w:p>
        </w:tc>
        <w:tc>
          <w:tcPr>
            <w:tcW w:w="3840" w:type="dxa"/>
            <w:vAlign w:val="bottom"/>
            <w:tcBorders>
              <w:top w:val="single" w:sz="8" w:color="0000EE"/>
            </w:tcBorders>
            <w:gridSpan w:val="7"/>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10.3</w:t>
            </w:r>
          </w:p>
        </w:tc>
        <w:tc>
          <w:tcPr>
            <w:tcW w:w="340" w:type="dxa"/>
            <w:vAlign w:val="bottom"/>
          </w:tcPr>
          <w:p>
            <w:pPr>
              <w:spacing w:after="0"/>
              <w:rPr>
                <w:sz w:val="16"/>
                <w:szCs w:val="16"/>
                <w:color w:val="auto"/>
              </w:rPr>
            </w:pPr>
          </w:p>
        </w:tc>
        <w:tc>
          <w:tcPr>
            <w:tcW w:w="378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9"/>
              </w:rPr>
              <w:t>Lease Agreement for Union City facility, dated April 10, 2022.</w:t>
            </w:r>
          </w:p>
        </w:tc>
        <w:tc>
          <w:tcPr>
            <w:tcW w:w="636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10.4</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Amendment No. 1 to Lease Agreement for Union City facility, dated October 11, 2023.</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10.5</w:t>
            </w:r>
          </w:p>
        </w:tc>
        <w:tc>
          <w:tcPr>
            <w:tcW w:w="340" w:type="dxa"/>
            <w:vAlign w:val="bottom"/>
          </w:tcPr>
          <w:p>
            <w:pPr>
              <w:spacing w:after="0"/>
              <w:rPr>
                <w:sz w:val="16"/>
                <w:szCs w:val="16"/>
                <w:color w:val="auto"/>
              </w:rPr>
            </w:pPr>
          </w:p>
        </w:tc>
        <w:tc>
          <w:tcPr>
            <w:tcW w:w="38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w w:val="99"/>
              </w:rPr>
              <w:t>Lease Agreement for Menlo Park facility, dated May 21, 2020.</w:t>
            </w:r>
          </w:p>
        </w:tc>
        <w:tc>
          <w:tcPr>
            <w:tcW w:w="1520" w:type="dxa"/>
            <w:vAlign w:val="bottom"/>
            <w:tcBorders>
              <w:top w:val="single" w:sz="8" w:color="0000EE"/>
            </w:tcBorders>
            <w:gridSpan w:val="6"/>
          </w:tcPr>
          <w:p>
            <w:pPr>
              <w:spacing w:after="0"/>
              <w:rPr>
                <w:sz w:val="16"/>
                <w:szCs w:val="16"/>
                <w:color w:val="auto"/>
              </w:rPr>
            </w:pPr>
          </w:p>
        </w:tc>
        <w:tc>
          <w:tcPr>
            <w:tcW w:w="480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10.6</w:t>
            </w:r>
          </w:p>
        </w:tc>
        <w:tc>
          <w:tcPr>
            <w:tcW w:w="340" w:type="dxa"/>
            <w:vAlign w:val="bottom"/>
          </w:tcPr>
          <w:p>
            <w:pPr>
              <w:spacing w:after="0"/>
              <w:rPr>
                <w:sz w:val="16"/>
                <w:szCs w:val="16"/>
                <w:color w:val="auto"/>
              </w:rPr>
            </w:pPr>
          </w:p>
        </w:tc>
        <w:tc>
          <w:tcPr>
            <w:tcW w:w="52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9"/>
              </w:rPr>
              <w:t>Amendment No. 1 to Lease Agreement for Menlo Park facility, dated August 7, 2021.</w:t>
            </w:r>
          </w:p>
        </w:tc>
        <w:tc>
          <w:tcPr>
            <w:tcW w:w="49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10.7†</w:t>
            </w:r>
          </w:p>
        </w:tc>
        <w:tc>
          <w:tcPr>
            <w:tcW w:w="340" w:type="dxa"/>
            <w:vAlign w:val="bottom"/>
          </w:tcPr>
          <w:p>
            <w:pPr>
              <w:spacing w:after="0"/>
              <w:rPr>
                <w:sz w:val="16"/>
                <w:szCs w:val="16"/>
                <w:color w:val="auto"/>
              </w:rPr>
            </w:pPr>
          </w:p>
        </w:tc>
        <w:tc>
          <w:tcPr>
            <w:tcW w:w="750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w w:val="99"/>
              </w:rPr>
              <w:t>Collaboration Agreement, by and between the Registrant and Janssen Research &amp; Development, dated January 6, 2023.</w:t>
            </w:r>
          </w:p>
        </w:tc>
        <w:tc>
          <w:tcPr>
            <w:tcW w:w="26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10.8†</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Amendment No. 1 to Collaboration Agreement with Janssen Research &amp; Development, dated July 14, 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10.9†</w:t>
            </w:r>
          </w:p>
        </w:tc>
        <w:tc>
          <w:tcPr>
            <w:tcW w:w="340" w:type="dxa"/>
            <w:vAlign w:val="bottom"/>
          </w:tcPr>
          <w:p>
            <w:pPr>
              <w:spacing w:after="0"/>
              <w:rPr>
                <w:sz w:val="16"/>
                <w:szCs w:val="16"/>
                <w:color w:val="auto"/>
              </w:rPr>
            </w:pPr>
          </w:p>
        </w:tc>
        <w:tc>
          <w:tcPr>
            <w:tcW w:w="686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w w:val="99"/>
              </w:rPr>
              <w:t>Amendment No. 2 to Collaboration Agreement with Janssen Research &amp; Development, dated August 11, 2023.</w:t>
            </w:r>
          </w:p>
        </w:tc>
        <w:tc>
          <w:tcPr>
            <w:tcW w:w="32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10.10†</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Development and Commercialization Agreement with Janssen Biotech, Inc., dated July 11, 2025.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10.11+</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Form of Indemnification Agreement by and between the Registrant and each of its directors and executive officers.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4"/>
                <w:szCs w:val="14"/>
                <w:color w:val="auto"/>
              </w:rPr>
              <w:t>  10.12+**</w:t>
            </w:r>
          </w:p>
        </w:tc>
        <w:tc>
          <w:tcPr>
            <w:tcW w:w="340" w:type="dxa"/>
            <w:vAlign w:val="bottom"/>
          </w:tcPr>
          <w:p>
            <w:pPr>
              <w:spacing w:after="0"/>
              <w:rPr>
                <w:sz w:val="19"/>
                <w:szCs w:val="19"/>
                <w:color w:val="auto"/>
              </w:rPr>
            </w:pPr>
          </w:p>
        </w:tc>
        <w:tc>
          <w:tcPr>
            <w:tcW w:w="706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auto"/>
              </w:rPr>
              <w:t>2018 Stock Plan, as amended, and forms of agreements thereunder.</w:t>
            </w:r>
          </w:p>
        </w:tc>
        <w:tc>
          <w:tcPr>
            <w:tcW w:w="30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4"/>
                <w:szCs w:val="14"/>
                <w:color w:val="auto"/>
              </w:rPr>
              <w:t>  10.13+**</w:t>
            </w:r>
          </w:p>
        </w:tc>
        <w:tc>
          <w:tcPr>
            <w:tcW w:w="34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auto"/>
              </w:rPr>
              <w:t>2025 Equity Incentive Plan, and forms of agreements thereunder.</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4"/>
                <w:szCs w:val="14"/>
                <w:color w:val="auto"/>
              </w:rPr>
              <w:t>  10.14+**</w:t>
            </w:r>
          </w:p>
        </w:tc>
        <w:tc>
          <w:tcPr>
            <w:tcW w:w="34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auto"/>
              </w:rPr>
              <w:t>2025 Employee Stock Purchase Plan.</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4"/>
                <w:szCs w:val="14"/>
                <w:color w:val="auto"/>
              </w:rPr>
              <w:t>  10.15+**</w:t>
            </w:r>
          </w:p>
        </w:tc>
        <w:tc>
          <w:tcPr>
            <w:tcW w:w="34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auto"/>
              </w:rPr>
              <w:t>Executive Severance Plan</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20"/>
                <w:szCs w:val="20"/>
                <w:color w:val="auto"/>
              </w:rPr>
            </w:pPr>
            <w:r>
              <w:rPr>
                <w:rFonts w:ascii="Arial" w:cs="Arial" w:eastAsia="Arial" w:hAnsi="Arial"/>
                <w:sz w:val="14"/>
                <w:szCs w:val="14"/>
                <w:color w:val="auto"/>
              </w:rPr>
              <w:t>  10.16+</w:t>
            </w:r>
          </w:p>
        </w:tc>
        <w:tc>
          <w:tcPr>
            <w:tcW w:w="340" w:type="dxa"/>
            <w:vAlign w:val="bottom"/>
          </w:tcPr>
          <w:p>
            <w:pPr>
              <w:spacing w:after="0"/>
              <w:rPr>
                <w:sz w:val="15"/>
                <w:szCs w:val="15"/>
                <w:color w:val="auto"/>
              </w:rPr>
            </w:pPr>
          </w:p>
        </w:tc>
        <w:tc>
          <w:tcPr>
            <w:tcW w:w="390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8"/>
              </w:rPr>
              <w:t>Offer Letter, by and between the Registrant and Oguzhan Atay.</w:t>
            </w:r>
          </w:p>
        </w:tc>
        <w:tc>
          <w:tcPr>
            <w:tcW w:w="624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10.17+</w:t>
            </w:r>
          </w:p>
        </w:tc>
        <w:tc>
          <w:tcPr>
            <w:tcW w:w="340" w:type="dxa"/>
            <w:vAlign w:val="bottom"/>
          </w:tcPr>
          <w:p>
            <w:pPr>
              <w:spacing w:after="0"/>
              <w:rPr>
                <w:sz w:val="16"/>
                <w:szCs w:val="16"/>
                <w:color w:val="auto"/>
              </w:rPr>
            </w:pPr>
          </w:p>
        </w:tc>
        <w:tc>
          <w:tcPr>
            <w:tcW w:w="37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8"/>
              </w:rPr>
              <w:t>Offer Letter, by and between the Registrant and David Tsao.</w:t>
            </w:r>
          </w:p>
        </w:tc>
        <w:tc>
          <w:tcPr>
            <w:tcW w:w="642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10.18+</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Offer Letter, by and between the Registrant and Ross Taylor.</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10.19+</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Offer Letter, by and between the Registrant and Nancy Johnson.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23.1</w:t>
            </w:r>
          </w:p>
        </w:tc>
        <w:tc>
          <w:tcPr>
            <w:tcW w:w="340" w:type="dxa"/>
            <w:vAlign w:val="bottom"/>
          </w:tcPr>
          <w:p>
            <w:pPr>
              <w:spacing w:after="0"/>
              <w:rPr>
                <w:sz w:val="16"/>
                <w:szCs w:val="16"/>
                <w:color w:val="auto"/>
              </w:rPr>
            </w:pPr>
          </w:p>
        </w:tc>
        <w:tc>
          <w:tcPr>
            <w:tcW w:w="550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9"/>
              </w:rPr>
              <w:t>Consent of PricewaterhouseCoopers LLP, independent registered public accounting firm.</w:t>
            </w:r>
          </w:p>
        </w:tc>
        <w:tc>
          <w:tcPr>
            <w:tcW w:w="46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4"/>
                <w:szCs w:val="14"/>
                <w:color w:val="auto"/>
              </w:rPr>
              <w:t>  23.2**</w:t>
            </w:r>
          </w:p>
        </w:tc>
        <w:tc>
          <w:tcPr>
            <w:tcW w:w="340" w:type="dxa"/>
            <w:vAlign w:val="bottom"/>
          </w:tcPr>
          <w:p>
            <w:pPr>
              <w:spacing w:after="0"/>
              <w:rPr>
                <w:sz w:val="19"/>
                <w:szCs w:val="19"/>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auto"/>
              </w:rPr>
              <w:t>Consent of Gunderson Dettmer Stough Villeneuve Franklin &amp; Hachigian, LLP (contained in Exhibit 5.1).</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20"/>
                <w:szCs w:val="20"/>
                <w:color w:val="auto"/>
              </w:rPr>
            </w:pPr>
            <w:r>
              <w:rPr>
                <w:rFonts w:ascii="Arial" w:cs="Arial" w:eastAsia="Arial" w:hAnsi="Arial"/>
                <w:sz w:val="14"/>
                <w:szCs w:val="14"/>
                <w:color w:val="auto"/>
              </w:rPr>
              <w:t>  24.1</w:t>
            </w:r>
          </w:p>
        </w:tc>
        <w:tc>
          <w:tcPr>
            <w:tcW w:w="340" w:type="dxa"/>
            <w:vAlign w:val="bottom"/>
          </w:tcPr>
          <w:p>
            <w:pPr>
              <w:spacing w:after="0"/>
              <w:rPr>
                <w:sz w:val="15"/>
                <w:szCs w:val="15"/>
                <w:color w:val="auto"/>
              </w:rPr>
            </w:pPr>
          </w:p>
        </w:tc>
        <w:tc>
          <w:tcPr>
            <w:tcW w:w="598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w w:val="99"/>
              </w:rPr>
              <w:t>Power of Attorney (included on signature page of the original filing of this registration statement).</w:t>
            </w:r>
          </w:p>
        </w:tc>
        <w:tc>
          <w:tcPr>
            <w:tcW w:w="41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20"/>
                <w:szCs w:val="20"/>
                <w:color w:val="auto"/>
              </w:rPr>
            </w:pPr>
            <w:r>
              <w:rPr>
                <w:rFonts w:ascii="Arial" w:cs="Arial" w:eastAsia="Arial" w:hAnsi="Arial"/>
                <w:sz w:val="14"/>
                <w:szCs w:val="14"/>
                <w:color w:val="auto"/>
              </w:rPr>
              <w:t>  107</w:t>
            </w:r>
          </w:p>
        </w:tc>
        <w:tc>
          <w:tcPr>
            <w:tcW w:w="340" w:type="dxa"/>
            <w:vAlign w:val="bottom"/>
          </w:tcPr>
          <w:p>
            <w:pPr>
              <w:spacing w:after="0"/>
              <w:rPr>
                <w:sz w:val="16"/>
                <w:szCs w:val="16"/>
                <w:color w:val="auto"/>
              </w:rPr>
            </w:pPr>
          </w:p>
        </w:tc>
        <w:tc>
          <w:tcPr>
            <w:tcW w:w="10140" w:type="dxa"/>
            <w:vAlign w:val="bottom"/>
            <w:gridSpan w:val="24"/>
          </w:tcPr>
          <w:p>
            <w:pPr>
              <w:spacing w:after="0"/>
              <w:rPr>
                <w:sz w:val="20"/>
                <w:szCs w:val="20"/>
                <w:color w:val="auto"/>
              </w:rPr>
            </w:pPr>
            <w:r>
              <w:rPr>
                <w:rFonts w:ascii="Arial" w:cs="Arial" w:eastAsia="Arial" w:hAnsi="Arial"/>
                <w:sz w:val="14"/>
                <w:szCs w:val="14"/>
                <w:color w:val="0000EE"/>
              </w:rPr>
              <w:t>Filing Fee Table.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16280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11" w:lineRule="exact"/>
        <w:rPr>
          <w:sz w:val="20"/>
          <w:szCs w:val="20"/>
          <w:color w:val="auto"/>
        </w:rPr>
      </w:pPr>
    </w:p>
    <w:p>
      <w:pPr>
        <w:ind w:left="320" w:hanging="316"/>
        <w:spacing w:after="0"/>
        <w:tabs>
          <w:tab w:leader="none" w:pos="320" w:val="left"/>
        </w:tabs>
        <w:numPr>
          <w:ilvl w:val="0"/>
          <w:numId w:val="179"/>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74" w:lineRule="exact"/>
        <w:rPr>
          <w:sz w:val="20"/>
          <w:szCs w:val="20"/>
          <w:color w:val="auto"/>
        </w:rPr>
      </w:pPr>
    </w:p>
    <w:p>
      <w:pPr>
        <w:ind w:left="320" w:hanging="316"/>
        <w:spacing w:after="0"/>
        <w:tabs>
          <w:tab w:leader="none" w:pos="320" w:val="left"/>
        </w:tabs>
        <w:numPr>
          <w:ilvl w:val="0"/>
          <w:numId w:val="180"/>
        </w:numPr>
        <w:rPr>
          <w:rFonts w:ascii="Arial" w:cs="Arial" w:eastAsia="Arial" w:hAnsi="Arial"/>
          <w:sz w:val="10"/>
          <w:szCs w:val="10"/>
          <w:color w:val="auto"/>
        </w:rPr>
      </w:pPr>
      <w:r>
        <w:rPr>
          <w:rFonts w:ascii="Arial" w:cs="Arial" w:eastAsia="Arial" w:hAnsi="Arial"/>
          <w:sz w:val="10"/>
          <w:szCs w:val="10"/>
          <w:color w:val="auto"/>
        </w:rPr>
        <w:t>Indicates management contract or compensatory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386" w:right="31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4" w:lineRule="exact"/>
        <w:rPr>
          <w:sz w:val="20"/>
          <w:szCs w:val="20"/>
          <w:color w:val="auto"/>
        </w:rPr>
      </w:pPr>
    </w:p>
    <w:p>
      <w:pPr>
        <w:ind w:left="320" w:right="340" w:hanging="316"/>
        <w:spacing w:after="0" w:line="286" w:lineRule="auto"/>
        <w:tabs>
          <w:tab w:leader="none" w:pos="320" w:val="left"/>
        </w:tabs>
        <w:numPr>
          <w:ilvl w:val="0"/>
          <w:numId w:val="181"/>
        </w:numPr>
        <w:rPr>
          <w:rFonts w:ascii="Arial" w:cs="Arial" w:eastAsia="Arial" w:hAnsi="Arial"/>
          <w:sz w:val="10"/>
          <w:szCs w:val="10"/>
          <w:color w:val="auto"/>
        </w:rPr>
      </w:pPr>
      <w:r>
        <w:rPr>
          <w:rFonts w:ascii="Arial" w:cs="Arial" w:eastAsia="Arial" w:hAnsi="Arial"/>
          <w:sz w:val="10"/>
          <w:szCs w:val="10"/>
          <w:color w:val="auto"/>
        </w:rPr>
        <w:t>The Registrant has omitted portions of the exhibit (indicated by “[*]”) as permitted under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No financial statement schedules are provided because the information called for is not required or is shown either in the financial statements or related notes, which are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 that:</w:t>
      </w:r>
    </w:p>
    <w:p>
      <w:pPr>
        <w:spacing w:after="0" w:line="112" w:lineRule="exact"/>
        <w:rPr>
          <w:sz w:val="20"/>
          <w:szCs w:val="20"/>
          <w:color w:val="auto"/>
        </w:rPr>
      </w:pPr>
    </w:p>
    <w:p>
      <w:pPr>
        <w:ind w:right="140" w:firstLine="4"/>
        <w:spacing w:after="0" w:line="252" w:lineRule="auto"/>
        <w:tabs>
          <w:tab w:leader="none" w:pos="21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9" w:lineRule="exact"/>
        <w:rPr>
          <w:rFonts w:ascii="Arial" w:cs="Arial" w:eastAsia="Arial" w:hAnsi="Arial"/>
          <w:sz w:val="14"/>
          <w:szCs w:val="14"/>
          <w:color w:val="auto"/>
        </w:rPr>
      </w:pPr>
    </w:p>
    <w:p>
      <w:pPr>
        <w:ind w:right="160" w:firstLine="4"/>
        <w:spacing w:after="0" w:line="269" w:lineRule="auto"/>
        <w:tabs>
          <w:tab w:leader="none" w:pos="21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1260"/>
          </w:cols>
          <w:pgMar w:left="300" w:top="385"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05"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to be signed on its behalf by the undersigned, thereunto duly authorized, in the City of Menlo Park, State of California, on October 7, 2025.</w:t>
      </w:r>
    </w:p>
    <w:p>
      <w:pPr>
        <w:spacing w:after="0" w:line="69" w:lineRule="exact"/>
        <w:rPr>
          <w:sz w:val="20"/>
          <w:szCs w:val="20"/>
          <w:color w:val="auto"/>
        </w:rPr>
      </w:pPr>
    </w:p>
    <w:tbl>
      <w:tblPr>
        <w:tblLayout w:type="fixed"/>
        <w:tblInd w:w="6780" w:type="dxa"/>
        <w:tblCellMar>
          <w:top w:w="0" w:type="dxa"/>
          <w:left w:w="0" w:type="dxa"/>
          <w:bottom w:w="0" w:type="dxa"/>
          <w:right w:w="0" w:type="dxa"/>
        </w:tblCellMar>
      </w:tblPr>
      <w:tr>
        <w:trPr>
          <w:trHeight w:val="193"/>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BillionToOne, Inc.</w:t>
            </w:r>
          </w:p>
        </w:tc>
        <w:tc>
          <w:tcPr>
            <w:tcW w:w="3000" w:type="dxa"/>
            <w:vAlign w:val="bottom"/>
          </w:tcPr>
          <w:p>
            <w:pPr>
              <w:spacing w:after="0"/>
              <w:rPr>
                <w:sz w:val="16"/>
                <w:szCs w:val="16"/>
                <w:color w:val="auto"/>
              </w:rPr>
            </w:pP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By:</w:t>
            </w:r>
          </w:p>
        </w:tc>
        <w:tc>
          <w:tcPr>
            <w:tcW w:w="3000" w:type="dxa"/>
            <w:vAlign w:val="bottom"/>
          </w:tcPr>
          <w:p>
            <w:pPr>
              <w:jc w:val="center"/>
              <w:ind w:right="850"/>
              <w:spacing w:after="0"/>
              <w:rPr>
                <w:sz w:val="20"/>
                <w:szCs w:val="20"/>
                <w:color w:val="auto"/>
              </w:rPr>
            </w:pPr>
            <w:r>
              <w:rPr>
                <w:rFonts w:ascii="Arial" w:cs="Arial" w:eastAsia="Arial" w:hAnsi="Arial"/>
                <w:sz w:val="14"/>
                <w:szCs w:val="14"/>
                <w:color w:val="auto"/>
              </w:rPr>
              <w:t>/s/ Oguzhan Atay</w:t>
            </w:r>
          </w:p>
        </w:tc>
      </w:tr>
      <w:tr>
        <w:trPr>
          <w:trHeight w:val="145"/>
        </w:trPr>
        <w:tc>
          <w:tcPr>
            <w:tcW w:w="540" w:type="dxa"/>
            <w:vAlign w:val="bottom"/>
          </w:tcPr>
          <w:p>
            <w:pPr>
              <w:spacing w:after="0" w:line="145" w:lineRule="exact"/>
              <w:rPr>
                <w:sz w:val="20"/>
                <w:szCs w:val="20"/>
                <w:color w:val="auto"/>
              </w:rPr>
            </w:pPr>
            <w:r>
              <w:rPr>
                <w:rFonts w:ascii="Arial" w:cs="Arial" w:eastAsia="Arial" w:hAnsi="Arial"/>
                <w:sz w:val="14"/>
                <w:szCs w:val="14"/>
                <w:color w:val="auto"/>
              </w:rPr>
              <w:t xml:space="preserve">       </w:t>
            </w:r>
          </w:p>
        </w:tc>
        <w:tc>
          <w:tcPr>
            <w:tcW w:w="9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tcPr>
          <w:p>
            <w:pPr>
              <w:jc w:val="center"/>
              <w:ind w:right="850"/>
              <w:spacing w:after="0" w:line="145" w:lineRule="exact"/>
              <w:rPr>
                <w:sz w:val="20"/>
                <w:szCs w:val="20"/>
                <w:color w:val="auto"/>
              </w:rPr>
            </w:pPr>
            <w:r>
              <w:rPr>
                <w:rFonts w:ascii="Arial" w:cs="Arial" w:eastAsia="Arial" w:hAnsi="Arial"/>
                <w:sz w:val="14"/>
                <w:szCs w:val="14"/>
                <w:color w:val="auto"/>
                <w:w w:val="99"/>
              </w:rPr>
              <w:t>Oguzhan Atay</w:t>
            </w:r>
          </w:p>
        </w:tc>
      </w:tr>
      <w:tr>
        <w:trPr>
          <w:trHeight w:val="183"/>
        </w:trPr>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0" w:type="dxa"/>
            <w:vAlign w:val="bottom"/>
          </w:tcPr>
          <w:p>
            <w:pPr>
              <w:jc w:val="center"/>
              <w:ind w:right="830"/>
              <w:spacing w:after="0"/>
              <w:rPr>
                <w:sz w:val="20"/>
                <w:szCs w:val="20"/>
                <w:color w:val="auto"/>
              </w:rPr>
            </w:pPr>
            <w:r>
              <w:rPr>
                <w:rFonts w:ascii="Arial" w:cs="Arial" w:eastAsia="Arial" w:hAnsi="Arial"/>
                <w:sz w:val="14"/>
                <w:szCs w:val="14"/>
                <w:i w:val="1"/>
                <w:iCs w:val="1"/>
                <w:color w:val="auto"/>
                <w:w w:val="99"/>
              </w:rPr>
              <w:t>Chief Executive Officer</w:t>
            </w:r>
          </w:p>
        </w:tc>
      </w:tr>
    </w:tbl>
    <w:p>
      <w:pPr>
        <w:spacing w:after="0" w:line="88" w:lineRule="exact"/>
        <w:rPr>
          <w:sz w:val="20"/>
          <w:szCs w:val="20"/>
          <w:color w:val="auto"/>
        </w:rPr>
      </w:pPr>
    </w:p>
    <w:p>
      <w:pPr>
        <w:ind w:right="120"/>
        <w:spacing w:after="0" w:line="263" w:lineRule="auto"/>
        <w:rPr>
          <w:sz w:val="20"/>
          <w:szCs w:val="20"/>
          <w:color w:val="auto"/>
        </w:rPr>
      </w:pPr>
      <w:r>
        <w:rPr>
          <w:rFonts w:ascii="Arial" w:cs="Arial" w:eastAsia="Arial" w:hAnsi="Arial"/>
          <w:sz w:val="13"/>
          <w:szCs w:val="13"/>
          <w:color w:val="auto"/>
        </w:rPr>
        <w:t>KNOW ALL BY THESE PRESENTS, that each person whose signature appears below hereby constitutes and appoints Oguzhan Atay and Ross Taylor, and each of them, his or her true and lawful agent, proxy, and attorney-in-fact, with full power of substitution and resubstitution, for him or her and in his or her name, place and stead, in any and all capacities, to</w:t>
      </w:r>
    </w:p>
    <w:p>
      <w:pPr>
        <w:spacing w:after="0" w:line="1" w:lineRule="exact"/>
        <w:rPr>
          <w:sz w:val="20"/>
          <w:szCs w:val="20"/>
          <w:color w:val="auto"/>
        </w:rPr>
      </w:pPr>
    </w:p>
    <w:p>
      <w:pPr>
        <w:ind w:right="20" w:firstLine="4"/>
        <w:spacing w:after="0" w:line="237" w:lineRule="auto"/>
        <w:tabs>
          <w:tab w:leader="none" w:pos="21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90" w:lineRule="exact"/>
        <w:rPr>
          <w:sz w:val="20"/>
          <w:szCs w:val="20"/>
          <w:color w:val="auto"/>
        </w:rPr>
      </w:pPr>
    </w:p>
    <w:p>
      <w:pPr>
        <w:ind w:right="360"/>
        <w:spacing w:after="0" w:line="26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Signature</w:t>
            </w:r>
          </w:p>
        </w:tc>
        <w:tc>
          <w:tcPr>
            <w:tcW w:w="220" w:type="dxa"/>
            <w:vAlign w:val="bottom"/>
          </w:tcPr>
          <w:p>
            <w:pPr>
              <w:spacing w:after="0"/>
              <w:rPr>
                <w:sz w:val="13"/>
                <w:szCs w:val="13"/>
                <w:color w:val="auto"/>
              </w:rPr>
            </w:pPr>
          </w:p>
        </w:tc>
        <w:tc>
          <w:tcPr>
            <w:tcW w:w="3980" w:type="dxa"/>
            <w:vAlign w:val="bottom"/>
            <w:tcBorders>
              <w:bottom w:val="single" w:sz="8" w:color="auto"/>
            </w:tcBorders>
          </w:tcPr>
          <w:p>
            <w:pPr>
              <w:jc w:val="center"/>
              <w:ind w:left="91"/>
              <w:spacing w:after="0"/>
              <w:rPr>
                <w:sz w:val="20"/>
                <w:szCs w:val="20"/>
                <w:color w:val="auto"/>
              </w:rPr>
            </w:pPr>
            <w:r>
              <w:rPr>
                <w:rFonts w:ascii="Arial" w:cs="Arial" w:eastAsia="Arial" w:hAnsi="Arial"/>
                <w:sz w:val="13"/>
                <w:szCs w:val="13"/>
                <w:b w:val="1"/>
                <w:bCs w:val="1"/>
                <w:color w:val="auto"/>
                <w:w w:val="97"/>
              </w:rPr>
              <w:t>Title</w:t>
            </w:r>
          </w:p>
        </w:tc>
        <w:tc>
          <w:tcPr>
            <w:tcW w:w="220" w:type="dxa"/>
            <w:vAlign w:val="bottom"/>
          </w:tcPr>
          <w:p>
            <w:pPr>
              <w:spacing w:after="0"/>
              <w:rPr>
                <w:sz w:val="13"/>
                <w:szCs w:val="13"/>
                <w:color w:val="auto"/>
              </w:rPr>
            </w:pPr>
          </w:p>
        </w:tc>
        <w:tc>
          <w:tcPr>
            <w:tcW w:w="246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99"/>
              </w:rPr>
              <w:t>Date</w:t>
            </w:r>
          </w:p>
        </w:tc>
      </w:tr>
      <w:tr>
        <w:trPr>
          <w:trHeight w:val="29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Oguzhan Atay</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Chief Executive Officer and 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85"/>
        </w:trPr>
        <w:tc>
          <w:tcPr>
            <w:tcW w:w="4400" w:type="dxa"/>
            <w:vAlign w:val="bottom"/>
          </w:tcPr>
          <w:p>
            <w:pPr>
              <w:jc w:val="center"/>
              <w:spacing w:after="0"/>
              <w:rPr>
                <w:sz w:val="20"/>
                <w:szCs w:val="20"/>
                <w:color w:val="auto"/>
              </w:rPr>
            </w:pPr>
            <w:r>
              <w:rPr>
                <w:rFonts w:ascii="Arial" w:cs="Arial" w:eastAsia="Arial" w:hAnsi="Arial"/>
                <w:sz w:val="14"/>
                <w:szCs w:val="14"/>
                <w:color w:val="auto"/>
                <w:w w:val="99"/>
              </w:rPr>
              <w:t>Oguzhan Atay</w:t>
            </w:r>
          </w:p>
        </w:tc>
        <w:tc>
          <w:tcPr>
            <w:tcW w:w="220" w:type="dxa"/>
            <w:vAlign w:val="bottom"/>
          </w:tcPr>
          <w:p>
            <w:pPr>
              <w:spacing w:after="0"/>
              <w:rPr>
                <w:sz w:val="16"/>
                <w:szCs w:val="16"/>
                <w:color w:val="auto"/>
              </w:rPr>
            </w:pPr>
          </w:p>
        </w:tc>
        <w:tc>
          <w:tcPr>
            <w:tcW w:w="42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99"/>
              </w:rPr>
              <w:t>(</w:t>
            </w:r>
            <w:r>
              <w:rPr>
                <w:rFonts w:ascii="Arial" w:cs="Arial" w:eastAsia="Arial" w:hAnsi="Arial"/>
                <w:sz w:val="14"/>
                <w:szCs w:val="14"/>
                <w:i w:val="1"/>
                <w:iCs w:val="1"/>
                <w:color w:val="auto"/>
                <w:w w:val="99"/>
              </w:rPr>
              <w:t>Principal Executive Officer</w:t>
            </w:r>
            <w:r>
              <w:rPr>
                <w:rFonts w:ascii="Arial" w:cs="Arial" w:eastAsia="Arial" w:hAnsi="Arial"/>
                <w:sz w:val="14"/>
                <w:szCs w:val="14"/>
                <w:color w:val="auto"/>
                <w:w w:val="99"/>
              </w:rPr>
              <w:t>)</w:t>
            </w:r>
          </w:p>
        </w:tc>
        <w:tc>
          <w:tcPr>
            <w:tcW w:w="2460" w:type="dxa"/>
            <w:vAlign w:val="bottom"/>
          </w:tcPr>
          <w:p>
            <w:pPr>
              <w:spacing w:after="0"/>
              <w:rPr>
                <w:sz w:val="16"/>
                <w:szCs w:val="16"/>
                <w:color w:val="auto"/>
              </w:rPr>
            </w:pPr>
          </w:p>
        </w:tc>
      </w:tr>
      <w:tr>
        <w:trPr>
          <w:trHeight w:val="29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Ross Taylor</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rPr>
              <w:t>Chief Financial Officer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85"/>
        </w:trPr>
        <w:tc>
          <w:tcPr>
            <w:tcW w:w="4400" w:type="dxa"/>
            <w:vAlign w:val="bottom"/>
          </w:tcPr>
          <w:p>
            <w:pPr>
              <w:jc w:val="center"/>
              <w:spacing w:after="0"/>
              <w:rPr>
                <w:sz w:val="20"/>
                <w:szCs w:val="20"/>
                <w:color w:val="auto"/>
              </w:rPr>
            </w:pPr>
            <w:r>
              <w:rPr>
                <w:rFonts w:ascii="Arial" w:cs="Arial" w:eastAsia="Arial" w:hAnsi="Arial"/>
                <w:sz w:val="14"/>
                <w:szCs w:val="14"/>
                <w:color w:val="auto"/>
                <w:w w:val="96"/>
              </w:rPr>
              <w:t>Ross Taylor</w:t>
            </w:r>
          </w:p>
        </w:tc>
        <w:tc>
          <w:tcPr>
            <w:tcW w:w="220" w:type="dxa"/>
            <w:vAlign w:val="bottom"/>
          </w:tcPr>
          <w:p>
            <w:pPr>
              <w:spacing w:after="0"/>
              <w:rPr>
                <w:sz w:val="16"/>
                <w:szCs w:val="16"/>
                <w:color w:val="auto"/>
              </w:rPr>
            </w:pPr>
          </w:p>
        </w:tc>
        <w:tc>
          <w:tcPr>
            <w:tcW w:w="42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99"/>
              </w:rPr>
              <w:t>(</w:t>
            </w:r>
            <w:r>
              <w:rPr>
                <w:rFonts w:ascii="Arial" w:cs="Arial" w:eastAsia="Arial" w:hAnsi="Arial"/>
                <w:sz w:val="14"/>
                <w:szCs w:val="14"/>
                <w:i w:val="1"/>
                <w:iCs w:val="1"/>
                <w:color w:val="auto"/>
                <w:w w:val="99"/>
              </w:rPr>
              <w:t>Principal Financial and Accounting Officer</w:t>
            </w:r>
            <w:r>
              <w:rPr>
                <w:rFonts w:ascii="Arial" w:cs="Arial" w:eastAsia="Arial" w:hAnsi="Arial"/>
                <w:sz w:val="14"/>
                <w:szCs w:val="14"/>
                <w:color w:val="auto"/>
                <w:w w:val="99"/>
              </w:rPr>
              <w:t>)</w:t>
            </w:r>
          </w:p>
        </w:tc>
        <w:tc>
          <w:tcPr>
            <w:tcW w:w="2460" w:type="dxa"/>
            <w:vAlign w:val="bottom"/>
          </w:tcPr>
          <w:p>
            <w:pPr>
              <w:spacing w:after="0"/>
              <w:rPr>
                <w:sz w:val="16"/>
                <w:szCs w:val="16"/>
                <w:color w:val="auto"/>
              </w:rPr>
            </w:pPr>
          </w:p>
        </w:tc>
      </w:tr>
      <w:tr>
        <w:trPr>
          <w:trHeight w:val="30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David Tsao</w:t>
            </w:r>
          </w:p>
        </w:tc>
        <w:tc>
          <w:tcPr>
            <w:tcW w:w="220" w:type="dxa"/>
            <w:vAlign w:val="bottom"/>
          </w:tcPr>
          <w:p>
            <w:pPr>
              <w:spacing w:after="0"/>
              <w:rPr>
                <w:sz w:val="24"/>
                <w:szCs w:val="24"/>
                <w:color w:val="auto"/>
              </w:rPr>
            </w:pPr>
          </w:p>
        </w:tc>
        <w:tc>
          <w:tcPr>
            <w:tcW w:w="42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Chief Technology Officer and 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75"/>
        </w:trPr>
        <w:tc>
          <w:tcPr>
            <w:tcW w:w="4400" w:type="dxa"/>
            <w:vAlign w:val="bottom"/>
          </w:tcPr>
          <w:p>
            <w:pPr>
              <w:jc w:val="center"/>
              <w:spacing w:after="0"/>
              <w:rPr>
                <w:sz w:val="20"/>
                <w:szCs w:val="20"/>
                <w:color w:val="auto"/>
              </w:rPr>
            </w:pPr>
            <w:r>
              <w:rPr>
                <w:rFonts w:ascii="Arial" w:cs="Arial" w:eastAsia="Arial" w:hAnsi="Arial"/>
                <w:sz w:val="14"/>
                <w:szCs w:val="14"/>
                <w:color w:val="auto"/>
                <w:w w:val="95"/>
              </w:rPr>
              <w:t>David Tsao</w:t>
            </w:r>
          </w:p>
        </w:tc>
        <w:tc>
          <w:tcPr>
            <w:tcW w:w="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0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Thomas Bremner</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rPr>
              <w:t>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75"/>
        </w:trPr>
        <w:tc>
          <w:tcPr>
            <w:tcW w:w="4400" w:type="dxa"/>
            <w:vAlign w:val="bottom"/>
          </w:tcPr>
          <w:p>
            <w:pPr>
              <w:jc w:val="center"/>
              <w:spacing w:after="0"/>
              <w:rPr>
                <w:sz w:val="20"/>
                <w:szCs w:val="20"/>
                <w:color w:val="auto"/>
              </w:rPr>
            </w:pPr>
            <w:r>
              <w:rPr>
                <w:rFonts w:ascii="Arial" w:cs="Arial" w:eastAsia="Arial" w:hAnsi="Arial"/>
                <w:sz w:val="14"/>
                <w:szCs w:val="14"/>
                <w:color w:val="auto"/>
                <w:w w:val="99"/>
              </w:rPr>
              <w:t>Thomas Bremner</w:t>
            </w:r>
          </w:p>
        </w:tc>
        <w:tc>
          <w:tcPr>
            <w:tcW w:w="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0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Firat Ileri</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rPr>
              <w:t>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75"/>
        </w:trPr>
        <w:tc>
          <w:tcPr>
            <w:tcW w:w="4400" w:type="dxa"/>
            <w:vAlign w:val="bottom"/>
          </w:tcPr>
          <w:p>
            <w:pPr>
              <w:jc w:val="center"/>
              <w:spacing w:after="0"/>
              <w:rPr>
                <w:sz w:val="20"/>
                <w:szCs w:val="20"/>
                <w:color w:val="auto"/>
              </w:rPr>
            </w:pPr>
            <w:r>
              <w:rPr>
                <w:rFonts w:ascii="Arial" w:cs="Arial" w:eastAsia="Arial" w:hAnsi="Arial"/>
                <w:sz w:val="14"/>
                <w:szCs w:val="14"/>
                <w:color w:val="auto"/>
                <w:w w:val="99"/>
              </w:rPr>
              <w:t>Firat Ileri</w:t>
            </w:r>
          </w:p>
        </w:tc>
        <w:tc>
          <w:tcPr>
            <w:tcW w:w="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0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Krishna Swaroop Kolluri</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rPr>
              <w:t>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75"/>
        </w:trPr>
        <w:tc>
          <w:tcPr>
            <w:tcW w:w="4400" w:type="dxa"/>
            <w:vAlign w:val="bottom"/>
          </w:tcPr>
          <w:p>
            <w:pPr>
              <w:jc w:val="center"/>
              <w:spacing w:after="0"/>
              <w:rPr>
                <w:sz w:val="20"/>
                <w:szCs w:val="20"/>
                <w:color w:val="auto"/>
              </w:rPr>
            </w:pPr>
            <w:r>
              <w:rPr>
                <w:rFonts w:ascii="Arial" w:cs="Arial" w:eastAsia="Arial" w:hAnsi="Arial"/>
                <w:sz w:val="14"/>
                <w:szCs w:val="14"/>
                <w:color w:val="auto"/>
                <w:w w:val="99"/>
              </w:rPr>
              <w:t>Krishna Swaroop Kolluri</w:t>
            </w:r>
          </w:p>
        </w:tc>
        <w:tc>
          <w:tcPr>
            <w:tcW w:w="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0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Akshay Rai</w:t>
            </w:r>
          </w:p>
        </w:tc>
        <w:tc>
          <w:tcPr>
            <w:tcW w:w="220" w:type="dxa"/>
            <w:vAlign w:val="bottom"/>
          </w:tcPr>
          <w:p>
            <w:pPr>
              <w:spacing w:after="0"/>
              <w:rPr>
                <w:sz w:val="24"/>
                <w:szCs w:val="24"/>
                <w:color w:val="auto"/>
              </w:rPr>
            </w:pPr>
          </w:p>
        </w:tc>
        <w:tc>
          <w:tcPr>
            <w:tcW w:w="4200" w:type="dxa"/>
            <w:vAlign w:val="bottom"/>
            <w:gridSpan w:val="2"/>
          </w:tcPr>
          <w:p>
            <w:pPr>
              <w:jc w:val="center"/>
              <w:ind w:right="60"/>
              <w:spacing w:after="0"/>
              <w:rPr>
                <w:sz w:val="20"/>
                <w:szCs w:val="20"/>
                <w:color w:val="auto"/>
              </w:rPr>
            </w:pPr>
            <w:r>
              <w:rPr>
                <w:rFonts w:ascii="Arial" w:cs="Arial" w:eastAsia="Arial" w:hAnsi="Arial"/>
                <w:sz w:val="14"/>
                <w:szCs w:val="14"/>
                <w:color w:val="auto"/>
              </w:rPr>
              <w:t>Director</w:t>
            </w:r>
          </w:p>
        </w:tc>
        <w:tc>
          <w:tcPr>
            <w:tcW w:w="2460" w:type="dxa"/>
            <w:vAlign w:val="bottom"/>
          </w:tcPr>
          <w:p>
            <w:pPr>
              <w:jc w:val="center"/>
              <w:ind w:left="31"/>
              <w:spacing w:after="0"/>
              <w:rPr>
                <w:sz w:val="20"/>
                <w:szCs w:val="20"/>
                <w:color w:val="auto"/>
              </w:rPr>
            </w:pPr>
            <w:r>
              <w:rPr>
                <w:rFonts w:ascii="Arial" w:cs="Arial" w:eastAsia="Arial" w:hAnsi="Arial"/>
                <w:sz w:val="14"/>
                <w:szCs w:val="14"/>
                <w:color w:val="auto"/>
                <w:w w:val="99"/>
              </w:rPr>
              <w:t>October 7, 2025</w:t>
            </w:r>
          </w:p>
        </w:tc>
      </w:tr>
      <w:tr>
        <w:trPr>
          <w:trHeight w:val="175"/>
        </w:trPr>
        <w:tc>
          <w:tcPr>
            <w:tcW w:w="4400" w:type="dxa"/>
            <w:vAlign w:val="bottom"/>
          </w:tcPr>
          <w:p>
            <w:pPr>
              <w:jc w:val="center"/>
              <w:spacing w:after="0"/>
              <w:rPr>
                <w:sz w:val="20"/>
                <w:szCs w:val="20"/>
                <w:color w:val="auto"/>
              </w:rPr>
            </w:pPr>
            <w:r>
              <w:rPr>
                <w:rFonts w:ascii="Arial" w:cs="Arial" w:eastAsia="Arial" w:hAnsi="Arial"/>
                <w:sz w:val="14"/>
                <w:szCs w:val="14"/>
                <w:color w:val="auto"/>
              </w:rPr>
              <w:t>Akshay Rai</w:t>
            </w:r>
          </w:p>
        </w:tc>
        <w:tc>
          <w:tcPr>
            <w:tcW w:w="2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69"/>
        </w:trPr>
        <w:tc>
          <w:tcPr>
            <w:tcW w:w="4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2"/>
          </w:tcPr>
          <w:p>
            <w:pPr>
              <w:ind w:left="920"/>
              <w:spacing w:after="0"/>
              <w:rPr>
                <w:sz w:val="20"/>
                <w:szCs w:val="20"/>
                <w:color w:val="auto"/>
              </w:rPr>
            </w:pPr>
            <w:r>
              <w:rPr>
                <w:rFonts w:ascii="Arial" w:cs="Arial" w:eastAsia="Arial" w:hAnsi="Arial"/>
                <w:sz w:val="14"/>
                <w:szCs w:val="14"/>
                <w:color w:val="auto"/>
              </w:rPr>
              <w:t>II-6</w:t>
            </w:r>
          </w:p>
        </w:tc>
        <w:tc>
          <w:tcPr>
            <w:tcW w:w="2460" w:type="dxa"/>
            <w:vAlign w:val="bottom"/>
          </w:tcPr>
          <w:p>
            <w:pPr>
              <w:spacing w:after="0"/>
              <w:rPr>
                <w:sz w:val="23"/>
                <w:szCs w:val="23"/>
                <w:color w:val="auto"/>
              </w:rPr>
            </w:pPr>
          </w:p>
        </w:tc>
      </w:tr>
    </w:tbl>
    <w:p>
      <w:pPr>
        <w:sectPr>
          <w:pgSz w:w="11900" w:h="16838" w:orient="portrait"/>
          <w:cols w:equalWidth="0" w:num="1">
            <w:col w:w="11280"/>
          </w:cols>
          <w:pgMar w:left="300" w:top="385" w:right="319" w:bottom="1440" w:gutter="0" w:footer="0" w:header="0"/>
        </w:sectPr>
      </w:pPr>
    </w:p>
    <w:bookmarkStart w:id="334" w:name="page335"/>
    <w:bookmarkEnd w:id="334"/>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17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RESTATED CERTIFICATE OF INCORPORATION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Sections 242 and 245 of the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Corporation Law of the State of Delaware)</w:t>
      </w:r>
    </w:p>
    <w:p>
      <w:pPr>
        <w:spacing w:after="0" w:line="158" w:lineRule="exact"/>
        <w:rPr>
          <w:sz w:val="20"/>
          <w:szCs w:val="20"/>
          <w:color w:val="auto"/>
        </w:rPr>
      </w:pPr>
    </w:p>
    <w:p>
      <w:pPr>
        <w:ind w:left="220" w:right="49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BillionToOne, Inc.</w:t>
      </w:r>
      <w:r>
        <w:rPr>
          <w:rFonts w:ascii="Times New Roman" w:cs="Times New Roman" w:eastAsia="Times New Roman" w:hAnsi="Times New Roman"/>
          <w:sz w:val="14"/>
          <w:szCs w:val="14"/>
          <w:color w:val="auto"/>
        </w:rPr>
        <w:t>, a corporation organized and existing under and by virtue of the provisions of the General Corporation Law of the State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Delaware (the “</w:t>
      </w:r>
      <w:r>
        <w:rPr>
          <w:rFonts w:ascii="Times New Roman" w:cs="Times New Roman" w:eastAsia="Times New Roman" w:hAnsi="Times New Roman"/>
          <w:sz w:val="14"/>
          <w:szCs w:val="14"/>
          <w:u w:val="single" w:color="auto"/>
          <w:color w:val="auto"/>
        </w:rPr>
        <w:t>General Corporation Law</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DOES HEREBY CERTIFY:</w:t>
      </w:r>
    </w:p>
    <w:p>
      <w:pPr>
        <w:spacing w:after="0" w:line="91" w:lineRule="exact"/>
        <w:rPr>
          <w:sz w:val="20"/>
          <w:szCs w:val="20"/>
          <w:color w:val="auto"/>
        </w:rPr>
      </w:pPr>
    </w:p>
    <w:p>
      <w:pPr>
        <w:ind w:left="220" w:right="5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That the name of this corporation is</w:t>
      </w:r>
      <w:r>
        <w:rPr>
          <w:rFonts w:ascii="Times New Roman" w:cs="Times New Roman" w:eastAsia="Times New Roman" w:hAnsi="Times New Roman"/>
          <w:sz w:val="14"/>
          <w:szCs w:val="14"/>
          <w:b w:val="1"/>
          <w:bCs w:val="1"/>
          <w:color w:val="auto"/>
        </w:rPr>
        <w:t xml:space="preserve"> BillionToOne, Inc. </w:t>
      </w:r>
      <w:r>
        <w:rPr>
          <w:rFonts w:ascii="Times New Roman" w:cs="Times New Roman" w:eastAsia="Times New Roman" w:hAnsi="Times New Roman"/>
          <w:sz w:val="14"/>
          <w:szCs w:val="14"/>
          <w:color w:val="auto"/>
        </w:rPr>
        <w:t>and that this corporation was originally incorporated pursuant to the General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Corporation Law on January 11, 2016 under the name </w:t>
      </w:r>
      <w:r>
        <w:rPr>
          <w:rFonts w:ascii="Times New Roman" w:cs="Times New Roman" w:eastAsia="Times New Roman" w:hAnsi="Times New Roman"/>
          <w:sz w:val="14"/>
          <w:szCs w:val="14"/>
          <w:b w:val="1"/>
          <w:bCs w:val="1"/>
          <w:color w:val="auto"/>
        </w:rPr>
        <w:t>BillionToOne, Inc.</w:t>
      </w:r>
    </w:p>
    <w:p>
      <w:pPr>
        <w:spacing w:after="0" w:line="121" w:lineRule="exact"/>
        <w:rPr>
          <w:sz w:val="20"/>
          <w:szCs w:val="20"/>
          <w:color w:val="auto"/>
        </w:rPr>
      </w:pPr>
    </w:p>
    <w:p>
      <w:pPr>
        <w:ind w:left="220" w:right="25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That the Board of Directors of this corporation duly adopted resolutions proposing to amend and restate the Certificate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RESOLVED</w:t>
      </w:r>
      <w:r>
        <w:rPr>
          <w:rFonts w:ascii="Times New Roman" w:cs="Times New Roman" w:eastAsia="Times New Roman" w:hAnsi="Times New Roman"/>
          <w:sz w:val="14"/>
          <w:szCs w:val="14"/>
          <w:color w:val="auto"/>
        </w:rPr>
        <w:t>, that the Certificate of Incorporation of this corporation be amended and restated in its entirety as follows: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name of this corporation is BillionToOne, Inc.</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7" w:lineRule="exact"/>
        <w:rPr>
          <w:sz w:val="20"/>
          <w:szCs w:val="20"/>
          <w:color w:val="auto"/>
        </w:rPr>
      </w:pPr>
    </w:p>
    <w:p>
      <w:pPr>
        <w:ind w:left="220" w:right="399" w:firstLine="342"/>
        <w:spacing w:after="0" w:line="282" w:lineRule="auto"/>
        <w:rPr>
          <w:sz w:val="20"/>
          <w:szCs w:val="20"/>
          <w:color w:val="auto"/>
        </w:rPr>
      </w:pPr>
      <w:r>
        <w:rPr>
          <w:rFonts w:ascii="Times New Roman" w:cs="Times New Roman" w:eastAsia="Times New Roman" w:hAnsi="Times New Roman"/>
          <w:sz w:val="14"/>
          <w:szCs w:val="14"/>
          <w:color w:val="auto"/>
        </w:rPr>
        <w:t>The address of the registered office of this corporation in the State of Delaware is 3500 South DuPont Highway, in the City of Dover, County of Kent, zip code 19901. The name of its registered agent at such address is Incorporating Services, Ltd.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7"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The nature of the business or purposes to be conducted or promoted is to engage in any lawful act or activity for which corporations may be organized under the General Corporation Law.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77" w:lineRule="exact"/>
        <w:rPr>
          <w:sz w:val="20"/>
          <w:szCs w:val="20"/>
          <w:color w:val="auto"/>
        </w:rPr>
      </w:pPr>
    </w:p>
    <w:p>
      <w:pPr>
        <w:jc w:val="both"/>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Authorization of Stock</w:t>
      </w:r>
      <w:r>
        <w:rPr>
          <w:rFonts w:ascii="Times New Roman" w:cs="Times New Roman" w:eastAsia="Times New Roman" w:hAnsi="Times New Roman"/>
          <w:sz w:val="14"/>
          <w:szCs w:val="14"/>
          <w:color w:val="auto"/>
        </w:rPr>
        <w:t>. This corporation is authorized to issue two classes of stock to be designated, respectively, common stock and preferred stock. The total number of shares that this corporation is authorized to issue is 80,644,989. The total number of shares of common stock authorized to be issued is 51,100,000, par value $0.00001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The</w:t>
      </w:r>
    </w:p>
    <w:p>
      <w:pPr>
        <w:sectPr>
          <w:pgSz w:w="11900" w:h="16838" w:orient="portrait"/>
          <w:cols w:equalWidth="0" w:num="1">
            <w:col w:w="9019"/>
          </w:cols>
          <w:pgMar w:left="1440" w:top="123" w:right="1440" w:bottom="1440" w:gutter="0" w:footer="0" w:header="0"/>
        </w:sectPr>
      </w:pPr>
    </w:p>
    <w:bookmarkStart w:id="335" w:name="page336"/>
    <w:bookmarkEnd w:id="335"/>
    <w:p>
      <w:pPr>
        <w:ind w:left="220" w:right="2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total number of shares of preferred stock authorized to be issued is 29,544,989, par value $0.00001 per share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The Preferred Stock is divided into eleven series: 1,349,650 shares of Preferred Stock are designated as “</w:t>
      </w:r>
      <w:r>
        <w:rPr>
          <w:rFonts w:ascii="Times New Roman" w:cs="Times New Roman" w:eastAsia="Times New Roman" w:hAnsi="Times New Roman"/>
          <w:sz w:val="14"/>
          <w:szCs w:val="14"/>
          <w:u w:val="single" w:color="auto"/>
          <w:color w:val="auto"/>
        </w:rPr>
        <w:t>Series A-1 Preferred Stock</w:t>
      </w:r>
      <w:r>
        <w:rPr>
          <w:rFonts w:ascii="Times New Roman" w:cs="Times New Roman" w:eastAsia="Times New Roman" w:hAnsi="Times New Roman"/>
          <w:sz w:val="14"/>
          <w:szCs w:val="14"/>
          <w:color w:val="auto"/>
        </w:rPr>
        <w:t>,” 1,137,210 shares of Preferred Stock are designated as “</w:t>
      </w:r>
      <w:r>
        <w:rPr>
          <w:rFonts w:ascii="Times New Roman" w:cs="Times New Roman" w:eastAsia="Times New Roman" w:hAnsi="Times New Roman"/>
          <w:sz w:val="14"/>
          <w:szCs w:val="14"/>
          <w:u w:val="single" w:color="auto"/>
          <w:color w:val="auto"/>
        </w:rPr>
        <w:t>Series A-2 Preferred Stock</w:t>
      </w:r>
      <w:r>
        <w:rPr>
          <w:rFonts w:ascii="Times New Roman" w:cs="Times New Roman" w:eastAsia="Times New Roman" w:hAnsi="Times New Roman"/>
          <w:sz w:val="14"/>
          <w:szCs w:val="14"/>
          <w:color w:val="auto"/>
        </w:rPr>
        <w:t>,” 899,730 shares of Preferred Stock are designated as “</w:t>
      </w:r>
      <w:r>
        <w:rPr>
          <w:rFonts w:ascii="Times New Roman" w:cs="Times New Roman" w:eastAsia="Times New Roman" w:hAnsi="Times New Roman"/>
          <w:sz w:val="14"/>
          <w:szCs w:val="14"/>
          <w:u w:val="single" w:color="auto"/>
          <w:color w:val="auto"/>
        </w:rPr>
        <w:t>Series A-3 Preferred Stock</w:t>
      </w:r>
      <w:r>
        <w:rPr>
          <w:rFonts w:ascii="Times New Roman" w:cs="Times New Roman" w:eastAsia="Times New Roman" w:hAnsi="Times New Roman"/>
          <w:sz w:val="14"/>
          <w:szCs w:val="14"/>
          <w:color w:val="auto"/>
        </w:rPr>
        <w:t>,” 25,761 shares of Preferred Stock are designated as “</w:t>
      </w:r>
      <w:r>
        <w:rPr>
          <w:rFonts w:ascii="Times New Roman" w:cs="Times New Roman" w:eastAsia="Times New Roman" w:hAnsi="Times New Roman"/>
          <w:sz w:val="14"/>
          <w:szCs w:val="14"/>
          <w:u w:val="single" w:color="auto"/>
          <w:color w:val="auto"/>
        </w:rPr>
        <w:t>Series A-4 Preferred Stock</w:t>
      </w:r>
      <w:r>
        <w:rPr>
          <w:rFonts w:ascii="Times New Roman" w:cs="Times New Roman" w:eastAsia="Times New Roman" w:hAnsi="Times New Roman"/>
          <w:sz w:val="14"/>
          <w:szCs w:val="14"/>
          <w:color w:val="auto"/>
        </w:rPr>
        <w:t>,” 114,613 shares of Preferred Stock are designated as “</w:t>
      </w:r>
      <w:r>
        <w:rPr>
          <w:rFonts w:ascii="Times New Roman" w:cs="Times New Roman" w:eastAsia="Times New Roman" w:hAnsi="Times New Roman"/>
          <w:sz w:val="14"/>
          <w:szCs w:val="14"/>
          <w:u w:val="single" w:color="auto"/>
          <w:color w:val="auto"/>
        </w:rPr>
        <w:t>Series A-5 Preferred Stock</w:t>
      </w:r>
      <w:r>
        <w:rPr>
          <w:rFonts w:ascii="Times New Roman" w:cs="Times New Roman" w:eastAsia="Times New Roman" w:hAnsi="Times New Roman"/>
          <w:sz w:val="14"/>
          <w:szCs w:val="14"/>
          <w:color w:val="auto"/>
        </w:rPr>
        <w:t>,” 5,805,861 shares of Preferred Stock are designated as “</w:t>
      </w:r>
      <w:r>
        <w:rPr>
          <w:rFonts w:ascii="Times New Roman" w:cs="Times New Roman" w:eastAsia="Times New Roman" w:hAnsi="Times New Roman"/>
          <w:sz w:val="14"/>
          <w:szCs w:val="14"/>
          <w:u w:val="single" w:color="auto"/>
          <w:color w:val="auto"/>
        </w:rPr>
        <w:t>Series A-6 Preferred Stock</w:t>
      </w:r>
      <w:r>
        <w:rPr>
          <w:rFonts w:ascii="Times New Roman" w:cs="Times New Roman" w:eastAsia="Times New Roman" w:hAnsi="Times New Roman"/>
          <w:sz w:val="14"/>
          <w:szCs w:val="14"/>
          <w:color w:val="auto"/>
        </w:rPr>
        <w:t>,” 5,182,287 shares of Preferred Stock are designated as “</w:t>
      </w:r>
      <w:r>
        <w:rPr>
          <w:rFonts w:ascii="Times New Roman" w:cs="Times New Roman" w:eastAsia="Times New Roman" w:hAnsi="Times New Roman"/>
          <w:sz w:val="14"/>
          <w:szCs w:val="14"/>
          <w:u w:val="single" w:color="auto"/>
          <w:color w:val="auto"/>
        </w:rPr>
        <w:t>Series B-1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2,566,902 shares of Preferred Stock are designated as “</w:t>
      </w:r>
      <w:r>
        <w:rPr>
          <w:rFonts w:ascii="Times New Roman" w:cs="Times New Roman" w:eastAsia="Times New Roman" w:hAnsi="Times New Roman"/>
          <w:sz w:val="14"/>
          <w:szCs w:val="14"/>
          <w:u w:val="single" w:color="auto"/>
          <w:color w:val="auto"/>
        </w:rPr>
        <w:t>Series B-2 Preferred Stock</w:t>
      </w:r>
      <w:r>
        <w:rPr>
          <w:rFonts w:ascii="Times New Roman" w:cs="Times New Roman" w:eastAsia="Times New Roman" w:hAnsi="Times New Roman"/>
          <w:sz w:val="14"/>
          <w:szCs w:val="14"/>
          <w:color w:val="auto"/>
        </w:rPr>
        <w:t>,” 6,079,919 shares of Preferred Stock are designated as “</w:t>
      </w:r>
      <w:r>
        <w:rPr>
          <w:rFonts w:ascii="Times New Roman" w:cs="Times New Roman" w:eastAsia="Times New Roman" w:hAnsi="Times New Roman"/>
          <w:sz w:val="14"/>
          <w:szCs w:val="14"/>
          <w:u w:val="single" w:color="auto"/>
          <w:color w:val="auto"/>
        </w:rPr>
        <w:t>Series C Preferred Stock</w:t>
      </w:r>
      <w:r>
        <w:rPr>
          <w:rFonts w:ascii="Times New Roman" w:cs="Times New Roman" w:eastAsia="Times New Roman" w:hAnsi="Times New Roman"/>
          <w:sz w:val="14"/>
          <w:szCs w:val="14"/>
          <w:color w:val="auto"/>
        </w:rPr>
        <w:t>,” 1,726,823 shares of Preferred Stock are designated as “</w:t>
      </w:r>
      <w:r>
        <w:rPr>
          <w:rFonts w:ascii="Times New Roman" w:cs="Times New Roman" w:eastAsia="Times New Roman" w:hAnsi="Times New Roman"/>
          <w:sz w:val="14"/>
          <w:szCs w:val="14"/>
          <w:u w:val="single" w:color="auto"/>
          <w:color w:val="auto"/>
        </w:rPr>
        <w:t>Series C-1 Preferred Stock</w:t>
      </w:r>
      <w:r>
        <w:rPr>
          <w:rFonts w:ascii="Times New Roman" w:cs="Times New Roman" w:eastAsia="Times New Roman" w:hAnsi="Times New Roman"/>
          <w:sz w:val="14"/>
          <w:szCs w:val="14"/>
          <w:color w:val="auto"/>
        </w:rPr>
        <w:t>” and 4,656,233 shares of Preferred Stock are designated as “</w:t>
      </w:r>
      <w:r>
        <w:rPr>
          <w:rFonts w:ascii="Times New Roman" w:cs="Times New Roman" w:eastAsia="Times New Roman" w:hAnsi="Times New Roman"/>
          <w:sz w:val="14"/>
          <w:szCs w:val="14"/>
          <w:u w:val="single" w:color="auto"/>
          <w:color w:val="auto"/>
        </w:rPr>
        <w:t>Series D Preferred Stock</w:t>
      </w:r>
      <w:r>
        <w:rPr>
          <w:rFonts w:ascii="Times New Roman" w:cs="Times New Roman" w:eastAsia="Times New Roman" w:hAnsi="Times New Roman"/>
          <w:sz w:val="14"/>
          <w:szCs w:val="14"/>
          <w:color w:val="auto"/>
        </w:rPr>
        <w:t>.” The Series C Preferred Stock and the Series C-1 Preferred Stock shall be referred to herein together as the “</w:t>
      </w:r>
      <w:r>
        <w:rPr>
          <w:rFonts w:ascii="Times New Roman" w:cs="Times New Roman" w:eastAsia="Times New Roman" w:hAnsi="Times New Roman"/>
          <w:sz w:val="14"/>
          <w:szCs w:val="14"/>
          <w:u w:val="single" w:color="auto"/>
          <w:color w:val="auto"/>
        </w:rPr>
        <w:t>Series C Stock</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220" w:right="599" w:firstLine="342"/>
        <w:spacing w:after="0" w:line="282"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Rights, Preferences and Restrictions of Preferred Stock</w:t>
      </w:r>
      <w:r>
        <w:rPr>
          <w:rFonts w:ascii="Times New Roman" w:cs="Times New Roman" w:eastAsia="Times New Roman" w:hAnsi="Times New Roman"/>
          <w:sz w:val="14"/>
          <w:szCs w:val="14"/>
          <w:color w:val="auto"/>
        </w:rPr>
        <w:t>. The rights, preferences, privileges and restrictions granted to and imposed on the Preferred Stock are as set forth below in this Article IV(B).</w:t>
      </w:r>
    </w:p>
    <w:p>
      <w:pPr>
        <w:spacing w:after="0" w:line="125" w:lineRule="exact"/>
        <w:rPr>
          <w:sz w:val="20"/>
          <w:szCs w:val="20"/>
          <w:color w:val="auto"/>
        </w:rPr>
      </w:pPr>
    </w:p>
    <w:p>
      <w:pPr>
        <w:ind w:left="1140" w:hanging="147"/>
        <w:spacing w:after="0"/>
        <w:tabs>
          <w:tab w:leader="none" w:pos="114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Provisions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39" w:firstLine="1116"/>
        <w:spacing w:after="0" w:line="255" w:lineRule="auto"/>
        <w:tabs>
          <w:tab w:leader="none" w:pos="1523"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payable when, as and if declared by this corporation’s board of directors (the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w:t>
      </w:r>
    </w:p>
    <w:p>
      <w:pPr>
        <w:spacing w:after="0" w:line="145" w:lineRule="exact"/>
        <w:rPr>
          <w:rFonts w:ascii="Times New Roman" w:cs="Times New Roman" w:eastAsia="Times New Roman" w:hAnsi="Times New Roman"/>
          <w:sz w:val="14"/>
          <w:szCs w:val="14"/>
          <w:color w:val="auto"/>
        </w:rPr>
      </w:pPr>
    </w:p>
    <w:p>
      <w:pPr>
        <w:ind w:left="220" w:right="479" w:firstLine="1116"/>
        <w:spacing w:after="0" w:line="266" w:lineRule="auto"/>
        <w:tabs>
          <w:tab w:leader="none" w:pos="1531"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 (as defined below).</w:t>
      </w:r>
    </w:p>
    <w:p>
      <w:pPr>
        <w:spacing w:after="0" w:line="136" w:lineRule="exact"/>
        <w:rPr>
          <w:rFonts w:ascii="Times New Roman" w:cs="Times New Roman" w:eastAsia="Times New Roman" w:hAnsi="Times New Roman"/>
          <w:sz w:val="14"/>
          <w:szCs w:val="14"/>
          <w:color w:val="auto"/>
        </w:rPr>
      </w:pPr>
    </w:p>
    <w:p>
      <w:pPr>
        <w:ind w:left="1140" w:hanging="147"/>
        <w:spacing w:after="0"/>
        <w:tabs>
          <w:tab w:leader="none" w:pos="114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Liquidation Preference</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79" w:firstLine="1116"/>
        <w:spacing w:after="0" w:line="258" w:lineRule="auto"/>
        <w:tabs>
          <w:tab w:leader="none" w:pos="1523"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Liquidation Event (as defined below), either voluntary or involuntary, (i) the holders of Series D Preferred Stock shall be entitled to receive out of the proceeds or assets of this corporation available for distribution to its stockholders (the “</w:t>
      </w:r>
      <w:r>
        <w:rPr>
          <w:rFonts w:ascii="Times New Roman" w:cs="Times New Roman" w:eastAsia="Times New Roman" w:hAnsi="Times New Roman"/>
          <w:sz w:val="14"/>
          <w:szCs w:val="14"/>
          <w:u w:val="single" w:color="auto"/>
          <w:color w:val="auto"/>
        </w:rPr>
        <w:t>Proceeds</w:t>
      </w:r>
      <w:r>
        <w:rPr>
          <w:rFonts w:ascii="Times New Roman" w:cs="Times New Roman" w:eastAsia="Times New Roman" w:hAnsi="Times New Roman"/>
          <w:sz w:val="14"/>
          <w:szCs w:val="14"/>
          <w:color w:val="auto"/>
        </w:rPr>
        <w:t xml:space="preserve">”), prior and in preference to any distribution of the Proceeds of such Liquidation Event to the holders of Common Stock by reason of their ownership thereof and </w:t>
      </w: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with any distributions to the holders of the other series of Preferred Stock, an amount per share equal the sum of 1.2 times the Original Issue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(as defined below) for Series D Preferred Stock plus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336" w:name="page337"/>
    <w:bookmarkEnd w:id="336"/>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declared but unpaid dividends on such shares and (ii) the holders of each series of Preferred Stock (other than the Series D Preferred Stock) shall be entitled to receive out of the Proceeds, prior and in preference to any distribution of the Proceeds of such Liquidation Event to the holders of Common Stock by reason of their ownership thereof and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any distributions to the holders of Series D Preferred Stock, an amount per share equal to the sum of the applicable Original Issue Price for such series of Preferred Stock, plus declared but unpaid dividends on such share.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w:t>
      </w:r>
    </w:p>
    <w:p>
      <w:pPr>
        <w:spacing w:after="0" w:line="2" w:lineRule="exact"/>
        <w:rPr>
          <w:sz w:val="20"/>
          <w:szCs w:val="20"/>
          <w:color w:val="auto"/>
        </w:rPr>
      </w:pPr>
    </w:p>
    <w:p>
      <w:pPr>
        <w:ind w:left="220" w:right="259" w:firstLine="3"/>
        <w:spacing w:after="0" w:line="252" w:lineRule="auto"/>
        <w:tabs>
          <w:tab w:leader="none" w:pos="41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Section 2. For purposes of this Restated Certificate of Incorporation, “</w:t>
      </w:r>
      <w:r>
        <w:rPr>
          <w:rFonts w:ascii="Times New Roman" w:cs="Times New Roman" w:eastAsia="Times New Roman" w:hAnsi="Times New Roman"/>
          <w:sz w:val="14"/>
          <w:szCs w:val="14"/>
          <w:u w:val="single" w:color="auto"/>
          <w:color w:val="auto"/>
        </w:rPr>
        <w:t>Original Issue Price</w:t>
      </w:r>
      <w:r>
        <w:rPr>
          <w:rFonts w:ascii="Times New Roman" w:cs="Times New Roman" w:eastAsia="Times New Roman" w:hAnsi="Times New Roman"/>
          <w:sz w:val="14"/>
          <w:szCs w:val="14"/>
          <w:color w:val="auto"/>
        </w:rPr>
        <w:t>” shall mean $0.4001 per share for each share of the Series A-1 Preferred Stock, $0.8002 per share for each share of the Series A-2 Preferred Stock, $1.0003 per share for each share of the Series A-3 Preferred Stock, $1.9409 per share for each share of the Series A-4 Preferred Stock, $0.8725 per share for each share of the Series A-5 Preferred Stock, $2.5879 per share for each share of the Series A-6 Preferred Stock, $10.6130 per share for each share of the Series B-1 Preferred Stock, $6.2429 per share for each share of the Series B-2 Preferred Stock, $25.4937 per share for each share of the Series C Preferred Stock, $19.6143 per share for each share of the Series C-1 Preferred Stock and $28.0204 per share for each share of the Series D Preferred Stock (each as adjusted for any stock splits, stock dividends, combinations, subdivisions, recapitalizations or the like with respect to such series of Preferred Stock).</w:t>
      </w:r>
    </w:p>
    <w:p>
      <w:pPr>
        <w:spacing w:after="0" w:line="145" w:lineRule="exact"/>
        <w:rPr>
          <w:rFonts w:ascii="Times New Roman" w:cs="Times New Roman" w:eastAsia="Times New Roman" w:hAnsi="Times New Roman"/>
          <w:sz w:val="14"/>
          <w:szCs w:val="14"/>
          <w:color w:val="auto"/>
        </w:rPr>
      </w:pPr>
    </w:p>
    <w:p>
      <w:pPr>
        <w:ind w:left="220" w:right="319" w:firstLine="1116"/>
        <w:spacing w:after="0" w:line="266" w:lineRule="auto"/>
        <w:tabs>
          <w:tab w:leader="none" w:pos="1531"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distribution required by subsection (a) of this Section 2, all of the remaining Proceeds available for distribution to stockholders shall be distributed among the holders of Common Stock pro rata based on the number of shares of Common Stock held by each.</w:t>
      </w:r>
    </w:p>
    <w:p>
      <w:pPr>
        <w:spacing w:after="0" w:line="136" w:lineRule="exact"/>
        <w:rPr>
          <w:rFonts w:ascii="Times New Roman" w:cs="Times New Roman" w:eastAsia="Times New Roman" w:hAnsi="Times New Roman"/>
          <w:sz w:val="14"/>
          <w:szCs w:val="14"/>
          <w:color w:val="auto"/>
        </w:rPr>
      </w:pPr>
    </w:p>
    <w:p>
      <w:pPr>
        <w:ind w:left="220" w:right="259" w:firstLine="1116"/>
        <w:spacing w:after="0" w:line="255" w:lineRule="auto"/>
        <w:tabs>
          <w:tab w:leader="none" w:pos="1523"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45" w:lineRule="exact"/>
        <w:rPr>
          <w:rFonts w:ascii="Times New Roman" w:cs="Times New Roman" w:eastAsia="Times New Roman" w:hAnsi="Times New Roman"/>
          <w:sz w:val="14"/>
          <w:szCs w:val="14"/>
          <w:color w:val="auto"/>
        </w:rPr>
      </w:pPr>
    </w:p>
    <w:p>
      <w:pPr>
        <w:ind w:left="220" w:right="299" w:firstLine="1116"/>
        <w:spacing w:after="0" w:line="258" w:lineRule="auto"/>
        <w:tabs>
          <w:tab w:leader="none" w:pos="1531"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For the purposes of this Restated Certificate of Incorporation, a “</w:t>
      </w:r>
      <w:r>
        <w:rPr>
          <w:rFonts w:ascii="Times New Roman" w:cs="Times New Roman" w:eastAsia="Times New Roman" w:hAnsi="Times New Roman"/>
          <w:sz w:val="14"/>
          <w:szCs w:val="14"/>
          <w:u w:val="single" w:color="auto"/>
          <w:color w:val="auto"/>
        </w:rPr>
        <w:t>Liquidation Event</w:t>
      </w:r>
      <w:r>
        <w:rPr>
          <w:rFonts w:ascii="Times New Roman" w:cs="Times New Roman" w:eastAsia="Times New Roman" w:hAnsi="Times New Roman"/>
          <w:sz w:val="14"/>
          <w:szCs w:val="14"/>
          <w:color w:val="auto"/>
        </w:rPr>
        <w:t>” shall mean (A) the closing of the sale, lease, transfer, exclusive license or other disposition of all or substantially all of this corporation’s assets, (B) the consummation of the merger, consolidation or statutory conversion, transfer, domestication, or continuance of this corporation with or into another entity (except a merger, consolidation or statutory conversion, transfer, domestication, or continuance in which the holders of capital stock of this corporation immediately prior to such merger, consolidation or statutory conversion,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37" w:name="page338"/>
    <w:bookmarkEnd w:id="337"/>
    <w:p>
      <w:pPr>
        <w:ind w:left="220" w:right="23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transfer, domestication, or continuance continue to hold at least fifty percent (50%) of the voting power of the capital stock of this corporation or the surviving or acquiring entity immediately following such merger or consolidation in substantially the same proportions, and with substantially the same terms, as held immediately prior to such merger or consolidation), (C) the closing of the transfer (whether by merger, consolidation, statutory conversion, transfer, domestication, or continuance or otherwise), in one transaction or a series of related transactions, to a person or group of affiliated persons (other than an underwriter of this corporation’s securities), of this corporation’s securities if, after such closing, such person or group of affiliated persons would hold fifty percent (50%) or more of the then outstanding voting stock of this corporation (or the surviving or acquiring entity) or</w:t>
      </w:r>
    </w:p>
    <w:p>
      <w:pPr>
        <w:spacing w:after="0" w:line="2" w:lineRule="exact"/>
        <w:rPr>
          <w:sz w:val="20"/>
          <w:szCs w:val="20"/>
          <w:color w:val="auto"/>
        </w:rPr>
      </w:pPr>
    </w:p>
    <w:p>
      <w:pPr>
        <w:ind w:left="220" w:right="259" w:firstLine="3"/>
        <w:spacing w:after="0" w:line="251" w:lineRule="auto"/>
        <w:tabs>
          <w:tab w:leader="none" w:pos="44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Notwithstanding the prior sentence, the sale by this corporation of its equity securities in a bona fide financing transaction conducted in accordance with Section 6 of this Article IV(B) shall not be deemed a “Liquidation Event.” The treatment of any particular transaction or series of related transactions as a Liquidation Event may be waived by the vote or written consent of the holders of (A) a majority of the then outstanding shares of Preferred Stock (voting together as a single class and not as separate series, and on an as-converted basis), (B) solely with respect to the shares of Series C Stock, a majority of the then outstanding shares of Series C Stock (voting together as a single class and not as a separate series, on an as-converted basis), and (C) solely with respect to the shares of Series D Preferred Stock, at least sixty percent (60%) of the then outstanding shares of Series D Preferred Stock (voting together as a single class and not as separate series, on an as-converted basis).</w:t>
      </w:r>
    </w:p>
    <w:p>
      <w:pPr>
        <w:spacing w:after="0" w:line="148" w:lineRule="exact"/>
        <w:rPr>
          <w:rFonts w:ascii="Times New Roman" w:cs="Times New Roman" w:eastAsia="Times New Roman" w:hAnsi="Times New Roman"/>
          <w:sz w:val="14"/>
          <w:szCs w:val="14"/>
          <w:color w:val="auto"/>
        </w:rPr>
      </w:pPr>
    </w:p>
    <w:p>
      <w:pPr>
        <w:ind w:left="220" w:right="319" w:firstLine="1544"/>
        <w:spacing w:after="0" w:line="282" w:lineRule="auto"/>
        <w:tabs>
          <w:tab w:leader="none" w:pos="1967" w:val="left"/>
        </w:tabs>
        <w:numPr>
          <w:ilvl w:val="1"/>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Liquidation Event, if Proceeds received by this corporation or its stockholders is other than cash, its value will be deemed its fair market value. Any securities shall be valued as follows:</w:t>
      </w:r>
    </w:p>
    <w:p>
      <w:pPr>
        <w:spacing w:after="0" w:line="41" w:lineRule="exact"/>
        <w:rPr>
          <w:rFonts w:ascii="Times New Roman" w:cs="Times New Roman" w:eastAsia="Times New Roman" w:hAnsi="Times New Roman"/>
          <w:sz w:val="14"/>
          <w:szCs w:val="14"/>
          <w:color w:val="auto"/>
        </w:rPr>
      </w:pPr>
    </w:p>
    <w:p>
      <w:pPr>
        <w:ind w:left="2340" w:hanging="234"/>
        <w:spacing w:after="0"/>
        <w:tabs>
          <w:tab w:leader="none" w:pos="2340" w:val="left"/>
        </w:tabs>
        <w:numPr>
          <w:ilvl w:val="2"/>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not subject to investment letter or other similar restrictions on free marketability covered by (B) below:</w:t>
      </w:r>
    </w:p>
    <w:p>
      <w:pPr>
        <w:spacing w:after="0" w:line="90" w:lineRule="exact"/>
        <w:rPr>
          <w:rFonts w:ascii="Times New Roman" w:cs="Times New Roman" w:eastAsia="Times New Roman" w:hAnsi="Times New Roman"/>
          <w:sz w:val="14"/>
          <w:szCs w:val="14"/>
          <w:color w:val="auto"/>
        </w:rPr>
      </w:pPr>
    </w:p>
    <w:p>
      <w:pPr>
        <w:ind w:left="220" w:right="479" w:firstLine="2229"/>
        <w:spacing w:after="0" w:line="282" w:lineRule="auto"/>
        <w:tabs>
          <w:tab w:leader="none" w:pos="2644" w:val="left"/>
        </w:tabs>
        <w:numPr>
          <w:ilvl w:val="3"/>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traded on a securities exchange, the value shall be deemed to be the average of the closing prices of the securities on such exchange over the twenty (20) trading-day period ending three (3) trading days prior to the closing of the Liquidation Event;</w:t>
      </w:r>
    </w:p>
    <w:p>
      <w:pPr>
        <w:spacing w:after="0" w:line="125" w:lineRule="exact"/>
        <w:rPr>
          <w:rFonts w:ascii="Times New Roman" w:cs="Times New Roman" w:eastAsia="Times New Roman" w:hAnsi="Times New Roman"/>
          <w:sz w:val="14"/>
          <w:szCs w:val="14"/>
          <w:color w:val="auto"/>
        </w:rPr>
      </w:pPr>
    </w:p>
    <w:p>
      <w:pPr>
        <w:ind w:left="220" w:right="339" w:firstLine="2229"/>
        <w:spacing w:after="0" w:line="322" w:lineRule="auto"/>
        <w:tabs>
          <w:tab w:leader="none" w:pos="2644" w:val="left"/>
        </w:tabs>
        <w:numPr>
          <w:ilvl w:val="3"/>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02" w:lineRule="exact"/>
        <w:rPr>
          <w:rFonts w:ascii="Times New Roman" w:cs="Times New Roman" w:eastAsia="Times New Roman" w:hAnsi="Times New Roman"/>
          <w:sz w:val="13"/>
          <w:szCs w:val="13"/>
          <w:color w:val="auto"/>
        </w:rPr>
      </w:pPr>
    </w:p>
    <w:p>
      <w:pPr>
        <w:ind w:left="220" w:right="579" w:firstLine="2229"/>
        <w:spacing w:after="0" w:line="282" w:lineRule="auto"/>
        <w:tabs>
          <w:tab w:leader="none" w:pos="2644" w:val="left"/>
        </w:tabs>
        <w:numPr>
          <w:ilvl w:val="3"/>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active public market, the value shall be the fair market value thereof, as determined by the Board of Directors, including the affirmative approval of at least one Preferred Director.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38" w:name="page339"/>
    <w:bookmarkEnd w:id="338"/>
    <w:p>
      <w:pPr>
        <w:ind w:left="220" w:right="339" w:firstLine="1886"/>
        <w:spacing w:after="0" w:line="261" w:lineRule="auto"/>
        <w:tabs>
          <w:tab w:leader="none" w:pos="2325" w:val="left"/>
        </w:tabs>
        <w:numPr>
          <w:ilvl w:val="2"/>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by the Board of Directors, including the affirmative approval of at least one Preferred Director.</w:t>
      </w:r>
    </w:p>
    <w:p>
      <w:pPr>
        <w:spacing w:after="0" w:line="139" w:lineRule="exact"/>
        <w:rPr>
          <w:rFonts w:ascii="Times New Roman" w:cs="Times New Roman" w:eastAsia="Times New Roman" w:hAnsi="Times New Roman"/>
          <w:sz w:val="14"/>
          <w:szCs w:val="14"/>
          <w:color w:val="auto"/>
        </w:rPr>
      </w:pPr>
    </w:p>
    <w:p>
      <w:pPr>
        <w:ind w:left="220" w:right="239" w:firstLine="1886"/>
        <w:spacing w:after="0" w:line="261" w:lineRule="auto"/>
        <w:tabs>
          <w:tab w:leader="none" w:pos="2325" w:val="left"/>
        </w:tabs>
        <w:numPr>
          <w:ilvl w:val="2"/>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methods for valuing non-cash consideration to be distributed in connection with a Liquidation Event shall, with the appropriate approval of the definitive agreements governing such Liquidation Event by the stockholders under the General Corporation Law and Section 6 of this Article IV(B), be superseded by the determination of such value set forth in the definitive agreements governing such Liquidation Event.</w:t>
      </w:r>
    </w:p>
    <w:p>
      <w:pPr>
        <w:spacing w:after="0" w:line="139"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requirements of this Section 2 are not complied with, this corporation shall forthwith either:</w:t>
      </w:r>
    </w:p>
    <w:p>
      <w:pPr>
        <w:spacing w:after="0" w:line="90" w:lineRule="exact"/>
        <w:rPr>
          <w:rFonts w:ascii="Times New Roman" w:cs="Times New Roman" w:eastAsia="Times New Roman" w:hAnsi="Times New Roman"/>
          <w:sz w:val="14"/>
          <w:szCs w:val="14"/>
          <w:color w:val="auto"/>
        </w:rPr>
      </w:pPr>
    </w:p>
    <w:p>
      <w:pPr>
        <w:ind w:left="2340" w:hanging="234"/>
        <w:spacing w:after="0"/>
        <w:tabs>
          <w:tab w:leader="none" w:pos="2340" w:val="left"/>
        </w:tabs>
        <w:numPr>
          <w:ilvl w:val="2"/>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closing of such Liquidation Event to be postponed until such time as the requirements of this Section 2</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complied with; or</w:t>
      </w:r>
    </w:p>
    <w:p>
      <w:pPr>
        <w:spacing w:after="0" w:line="160" w:lineRule="exact"/>
        <w:rPr>
          <w:rFonts w:ascii="Times New Roman" w:cs="Times New Roman" w:eastAsia="Times New Roman" w:hAnsi="Times New Roman"/>
          <w:sz w:val="14"/>
          <w:szCs w:val="14"/>
          <w:color w:val="auto"/>
        </w:rPr>
      </w:pPr>
    </w:p>
    <w:p>
      <w:pPr>
        <w:ind w:left="220" w:right="339" w:firstLine="1886"/>
        <w:spacing w:after="0" w:line="266" w:lineRule="auto"/>
        <w:tabs>
          <w:tab w:leader="none" w:pos="2325" w:val="left"/>
        </w:tabs>
        <w:numPr>
          <w:ilvl w:val="2"/>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36" w:lineRule="exact"/>
        <w:rPr>
          <w:rFonts w:ascii="Times New Roman" w:cs="Times New Roman" w:eastAsia="Times New Roman" w:hAnsi="Times New Roman"/>
          <w:sz w:val="14"/>
          <w:szCs w:val="14"/>
          <w:color w:val="auto"/>
        </w:rPr>
      </w:pPr>
    </w:p>
    <w:p>
      <w:pPr>
        <w:ind w:left="220" w:right="259" w:firstLine="1544"/>
        <w:spacing w:after="0" w:line="254" w:lineRule="auto"/>
        <w:tabs>
          <w:tab w:leader="none" w:pos="199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 majority of the then outstanding shares of such Preferred Stock (voting together as a single class and not as separate series, and on an as-converted basis).</w:t>
      </w:r>
    </w:p>
    <w:p>
      <w:pPr>
        <w:spacing w:after="0" w:line="145" w:lineRule="exact"/>
        <w:rPr>
          <w:rFonts w:ascii="Times New Roman" w:cs="Times New Roman" w:eastAsia="Times New Roman" w:hAnsi="Times New Roman"/>
          <w:sz w:val="14"/>
          <w:szCs w:val="14"/>
          <w:color w:val="auto"/>
        </w:rPr>
      </w:pPr>
    </w:p>
    <w:p>
      <w:pPr>
        <w:ind w:left="1140" w:hanging="147"/>
        <w:spacing w:after="0"/>
        <w:tabs>
          <w:tab w:leader="none" w:pos="114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 The Preferred Stock is not redeemable at the option of the holder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39" w:name="page340"/>
    <w:bookmarkEnd w:id="339"/>
    <w:p>
      <w:pPr>
        <w:ind w:left="1140" w:hanging="147"/>
        <w:spacing w:after="0"/>
        <w:tabs>
          <w:tab w:leader="none" w:pos="11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Conversion</w:t>
      </w:r>
      <w:r>
        <w:rPr>
          <w:rFonts w:ascii="Times New Roman" w:cs="Times New Roman" w:eastAsia="Times New Roman" w:hAnsi="Times New Roman"/>
          <w:sz w:val="14"/>
          <w:szCs w:val="14"/>
          <w:color w:val="auto"/>
        </w:rPr>
        <w:t>. The holders of the Preferred Stock shall have conversion rights as follows (the “</w:t>
      </w:r>
      <w:r>
        <w:rPr>
          <w:rFonts w:ascii="Times New Roman" w:cs="Times New Roman" w:eastAsia="Times New Roman" w:hAnsi="Times New Roman"/>
          <w:sz w:val="14"/>
          <w:szCs w:val="14"/>
          <w:u w:val="single" w:color="auto"/>
          <w:color w:val="auto"/>
        </w:rPr>
        <w:t>Conversion Rights</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79" w:firstLine="1116"/>
        <w:spacing w:after="0" w:line="253" w:lineRule="auto"/>
        <w:tabs>
          <w:tab w:leader="none" w:pos="1523"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Convert</w:t>
      </w:r>
      <w:r>
        <w:rPr>
          <w:rFonts w:ascii="Times New Roman" w:cs="Times New Roman" w:eastAsia="Times New Roman" w:hAnsi="Times New Roman"/>
          <w:sz w:val="14"/>
          <w:szCs w:val="14"/>
          <w:color w:val="auto"/>
        </w:rPr>
        <w:t>. Each share of Preferred Stock shall be convertible, at the option of the holder thereof, at any time after the date of issuance of such share, and without the payment of additional consideration by the holder thereof, at the office of this corporation or any transfer agent for such stock, into such number of fully paid and nonassessable shares of Common Stock as is determined by dividing (i) the applicable Original Issue Price for such series by (ii) the applicable Conversion Price (as defined below) for such series (the conversion rate for a series of Preferred Stock into Common Stock is referred to herein as the “</w:t>
      </w:r>
      <w:r>
        <w:rPr>
          <w:rFonts w:ascii="Times New Roman" w:cs="Times New Roman" w:eastAsia="Times New Roman" w:hAnsi="Times New Roman"/>
          <w:sz w:val="14"/>
          <w:szCs w:val="14"/>
          <w:u w:val="single" w:color="auto"/>
          <w:color w:val="auto"/>
        </w:rPr>
        <w:t>Conversion Rate</w:t>
      </w:r>
      <w:r>
        <w:rPr>
          <w:rFonts w:ascii="Times New Roman" w:cs="Times New Roman" w:eastAsia="Times New Roman" w:hAnsi="Times New Roman"/>
          <w:sz w:val="14"/>
          <w:szCs w:val="14"/>
          <w:color w:val="auto"/>
        </w:rPr>
        <w:t>” for such series), determined as hereafter provided, in effect on the date the certificate is surrendered for conversion; provided that, in the event of an adjustment to the Conversion Price for the Series D Preferred Stock pursuant to subsection 4(h), then for purposes of determining the Conversion Rate for such series, preceding clause (i) of this subsection 4(a) shall be deemed to equal 1.2 times the Original Issue Price for the Series D Preferred Stock (calculated to the nearest one-thousandth of a cent) and preceding clause (ii) of this subsection 4(a) shall be as determined pursuant to subsection 4(h). The initial “</w:t>
      </w:r>
      <w:r>
        <w:rPr>
          <w:rFonts w:ascii="Times New Roman" w:cs="Times New Roman" w:eastAsia="Times New Roman" w:hAnsi="Times New Roman"/>
          <w:sz w:val="14"/>
          <w:szCs w:val="14"/>
          <w:u w:val="single" w:color="auto"/>
          <w:color w:val="auto"/>
        </w:rPr>
        <w:t>Conversion Price</w:t>
      </w:r>
      <w:r>
        <w:rPr>
          <w:rFonts w:ascii="Times New Roman" w:cs="Times New Roman" w:eastAsia="Times New Roman" w:hAnsi="Times New Roman"/>
          <w:sz w:val="14"/>
          <w:szCs w:val="14"/>
          <w:color w:val="auto"/>
        </w:rPr>
        <w:t>” per share for each series of Preferred Stock shall be the Original Issue Price applicable to such series; provided, however, that the Conversion Price for the Preferred Stock shall be subject to adjustment as set forth in subsection 4(d) and, solely with respect to the Series D Preferred Stock, as set forth in subsection 4(h).</w:t>
      </w:r>
    </w:p>
    <w:p>
      <w:pPr>
        <w:spacing w:after="0" w:line="147" w:lineRule="exact"/>
        <w:rPr>
          <w:rFonts w:ascii="Times New Roman" w:cs="Times New Roman" w:eastAsia="Times New Roman" w:hAnsi="Times New Roman"/>
          <w:sz w:val="14"/>
          <w:szCs w:val="14"/>
          <w:color w:val="auto"/>
        </w:rPr>
      </w:pPr>
    </w:p>
    <w:p>
      <w:pPr>
        <w:ind w:left="220" w:right="239" w:firstLine="1116"/>
        <w:spacing w:after="0" w:line="252" w:lineRule="auto"/>
        <w:tabs>
          <w:tab w:leader="none" w:pos="1531"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Automatic Conversion</w:t>
      </w:r>
      <w:r>
        <w:rPr>
          <w:rFonts w:ascii="Times New Roman" w:cs="Times New Roman" w:eastAsia="Times New Roman" w:hAnsi="Times New Roman"/>
          <w:sz w:val="14"/>
          <w:szCs w:val="14"/>
          <w:color w:val="auto"/>
        </w:rPr>
        <w:t>. Subject to subsection 4(h), each share of Preferred Stock shall automatically be converted into shares of Common Stock at the Conversion Rate at the time in effect (which, for the avoidance of doubt, shall take into account any adjustments made pursuant to Section 4 of this Article IV(B)) for such series of Preferred Stock immediately upon the earliest to occur of (i) the closing of this corporation’s sale of its Common Stock in a firm commitment underwritten public offering pursuant to a registration statement on Form S-1 under the Securities Act of 1933, as amended, that results in at least $100,000,000 of gross proceeds to this corporation (a “</w:t>
      </w:r>
      <w:r>
        <w:rPr>
          <w:rFonts w:ascii="Times New Roman" w:cs="Times New Roman" w:eastAsia="Times New Roman" w:hAnsi="Times New Roman"/>
          <w:sz w:val="14"/>
          <w:szCs w:val="14"/>
          <w:u w:val="single" w:color="auto"/>
          <w:color w:val="auto"/>
        </w:rPr>
        <w:t>Qualified Public Offering</w:t>
      </w:r>
      <w:r>
        <w:rPr>
          <w:rFonts w:ascii="Times New Roman" w:cs="Times New Roman" w:eastAsia="Times New Roman" w:hAnsi="Times New Roman"/>
          <w:sz w:val="14"/>
          <w:szCs w:val="14"/>
          <w:color w:val="auto"/>
        </w:rPr>
        <w:t>”), (ii) this corporation’s direct listing of its Common Stock on the New York Stock Exchange or the Nasdaq Stock Market by means of an effective registration statement under the Securities Act of 1933, as amended, that registers at least $100 million worth of shares of existing Common Stock for resale not pursuant to an underwritten offering where either (A) the midpoint between the low and high sales price per share of private sales of Common Stock in the most recently reported period set forth on the cover page of the prospectus shall be equal to or greater than the Original Issue Price of the Series D Preferred Stock (as adjusted for any stock splits, stock dividends, combinations, subdivisions, recapitalizations or the like), or (B) if no such private sales occurred in the most recently reported period, the Board of Directors must reasonably determine that the reference price in the effective registration statement filed by the Corporation with the Securities and Exchange Commission will exceed the Original Issue Price of the Series D Preferred Stock (as adjusted for any stock splits, stock dividends, combinations, subdivisions, recapitalizations or the like) at any time on the first day of trading (a “</w:t>
      </w:r>
      <w:r>
        <w:rPr>
          <w:rFonts w:ascii="Times New Roman" w:cs="Times New Roman" w:eastAsia="Times New Roman" w:hAnsi="Times New Roman"/>
          <w:sz w:val="14"/>
          <w:szCs w:val="14"/>
          <w:u w:val="single" w:color="auto"/>
          <w:color w:val="auto"/>
        </w:rPr>
        <w:t>Qualified Direct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Listing</w:t>
      </w:r>
      <w:r>
        <w:rPr>
          <w:rFonts w:ascii="Times New Roman" w:cs="Times New Roman" w:eastAsia="Times New Roman" w:hAnsi="Times New Roman"/>
          <w:sz w:val="14"/>
          <w:szCs w:val="14"/>
          <w:color w:val="auto"/>
        </w:rPr>
        <w:t>”), or (iii) the date, or the occurrence of an event, specified by vote or written consent or agreement of the holders of (A) a majority of the then outstanding shares of Preferred Stock (voting together as a single class and not as separate series, and on an as-converted basis), (B) solely with respect to the shares of Series C Stock, a majority of the then outstanding shares of Series C Stock (voting together as a single class and not as a separate series, on an as-converted basis), and (C) solely with respect to the Series D Preferred Stock, at least sixty percent (60%) of the then outstanding shares of Series D Preferred Stock (voting together as a single class and not as separate series, on an as-converted basis).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40" w:name="page341"/>
    <w:bookmarkEnd w:id="340"/>
    <w:p>
      <w:pPr>
        <w:ind w:left="220" w:right="279" w:firstLine="1116"/>
        <w:spacing w:after="0" w:line="252" w:lineRule="auto"/>
        <w:tabs>
          <w:tab w:leader="none" w:pos="1523"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Mechanics of Conversion</w:t>
      </w:r>
      <w:r>
        <w:rPr>
          <w:rFonts w:ascii="Times New Roman" w:cs="Times New Roman" w:eastAsia="Times New Roman" w:hAnsi="Times New Roman"/>
          <w:sz w:val="14"/>
          <w:szCs w:val="14"/>
          <w:color w:val="auto"/>
        </w:rPr>
        <w:t>. Before any holder of Preferred Stock shall be entitled to voluntarily convert the same into shares of Common Stock, if such holder’s shares are certificated,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shares of Common Stock are to be issued. This corporation shall, as soon as practicable thereafter, issue and deliver at such office to such holder of Preferred Stock, or to the nominee or nominees of such holder, a certificate, certificates or a notice of issuance of uncertificated shares for the number of shares of Common Stock to which such holder shall be entitled as aforesaid.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Automatic Conversion provisions of subsection 4(b)(iv) above, such conversion shall be deemed to have been made on the conversion date described in the stockholder consent approving such conversion, and the persons entitled to receive shares of Common Stock issuable upon such conversion shall be treated for all purposes as the record holders of such shares of Common Stock as of such date.</w:t>
      </w:r>
    </w:p>
    <w:p>
      <w:pPr>
        <w:spacing w:after="0" w:line="149" w:lineRule="exact"/>
        <w:rPr>
          <w:rFonts w:ascii="Times New Roman" w:cs="Times New Roman" w:eastAsia="Times New Roman" w:hAnsi="Times New Roman"/>
          <w:sz w:val="14"/>
          <w:szCs w:val="14"/>
          <w:color w:val="auto"/>
        </w:rPr>
      </w:pPr>
    </w:p>
    <w:p>
      <w:pPr>
        <w:ind w:left="220" w:right="279" w:firstLine="1116"/>
        <w:spacing w:after="0" w:line="282" w:lineRule="auto"/>
        <w:tabs>
          <w:tab w:leader="none" w:pos="1531"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Conversion Price Adjustments of Preferred Stock for Certain Dilutive Issuances, Splits and Combinations</w:t>
      </w:r>
      <w:r>
        <w:rPr>
          <w:rFonts w:ascii="Times New Roman" w:cs="Times New Roman" w:eastAsia="Times New Roman" w:hAnsi="Times New Roman"/>
          <w:sz w:val="14"/>
          <w:szCs w:val="14"/>
          <w:color w:val="auto"/>
        </w:rPr>
        <w:t>. The Conversion Price of each series of Preferred Stock shall be subject to adjustment from time to time as follows:</w:t>
      </w:r>
    </w:p>
    <w:p>
      <w:pPr>
        <w:spacing w:after="0" w:line="41" w:lineRule="exact"/>
        <w:rPr>
          <w:rFonts w:ascii="Times New Roman" w:cs="Times New Roman" w:eastAsia="Times New Roman" w:hAnsi="Times New Roman"/>
          <w:sz w:val="14"/>
          <w:szCs w:val="14"/>
          <w:color w:val="auto"/>
        </w:rPr>
      </w:pPr>
    </w:p>
    <w:p>
      <w:pPr>
        <w:ind w:left="220" w:right="239" w:firstLine="1544"/>
        <w:spacing w:after="0" w:line="252" w:lineRule="auto"/>
        <w:tabs>
          <w:tab w:leader="none" w:pos="1928"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this corporation shall issue, on or after the date upon which this Restated Certificate of Incorporation is accepted for filing by the Secretary of State of the State of Delaware (the “</w:t>
      </w:r>
      <w:r>
        <w:rPr>
          <w:rFonts w:ascii="Times New Roman" w:cs="Times New Roman" w:eastAsia="Times New Roman" w:hAnsi="Times New Roman"/>
          <w:sz w:val="14"/>
          <w:szCs w:val="14"/>
          <w:u w:val="single" w:color="auto"/>
          <w:color w:val="auto"/>
        </w:rPr>
        <w:t>Filing Date</w:t>
      </w:r>
      <w:r>
        <w:rPr>
          <w:rFonts w:ascii="Times New Roman" w:cs="Times New Roman" w:eastAsia="Times New Roman" w:hAnsi="Times New Roman"/>
          <w:sz w:val="14"/>
          <w:szCs w:val="14"/>
          <w:color w:val="auto"/>
        </w:rPr>
        <w:t>”), any Additional Stock (as defined below) without consideration or for a consideration per share that is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immediately prior to such issuance plus the number of shares of such Additional Stock. For purposes of this subsection 4(d)(i)(A), the term “</w:t>
      </w:r>
      <w:r>
        <w:rPr>
          <w:rFonts w:ascii="Times New Roman" w:cs="Times New Roman" w:eastAsia="Times New Roman" w:hAnsi="Times New Roman"/>
          <w:sz w:val="14"/>
          <w:szCs w:val="14"/>
          <w:u w:val="single" w:color="auto"/>
          <w:color w:val="auto"/>
        </w:rPr>
        <w:t>Common Stock Outstanding</w:t>
      </w:r>
      <w:r>
        <w:rPr>
          <w:rFonts w:ascii="Times New Roman" w:cs="Times New Roman" w:eastAsia="Times New Roman" w:hAnsi="Times New Roman"/>
          <w:sz w:val="14"/>
          <w:szCs w:val="14"/>
          <w:color w:val="auto"/>
        </w:rPr>
        <w:t>” shall mean and include the following: (1) outstanding Common Stock, (2) Common Stock issuable upon conversion of outstanding Preferred Stock, (3) Common Stock issuable upon exercise of outstanding stock options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341" w:name="page342"/>
    <w:bookmarkEnd w:id="341"/>
    <w:p>
      <w:pPr>
        <w:jc w:val="both"/>
        <w:ind w:left="220" w:right="359" w:firstLine="1886"/>
        <w:spacing w:after="0" w:line="231" w:lineRule="auto"/>
        <w:tabs>
          <w:tab w:leader="none" w:pos="2325"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adjustment of the Conversion Price for the Preferred Stock shall be made in an amount less than one-tenth (1/10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of one cent per share ($0.001).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153" w:lineRule="exact"/>
        <w:rPr>
          <w:rFonts w:ascii="Times New Roman" w:cs="Times New Roman" w:eastAsia="Times New Roman" w:hAnsi="Times New Roman"/>
          <w:sz w:val="14"/>
          <w:szCs w:val="14"/>
          <w:color w:val="auto"/>
        </w:rPr>
      </w:pPr>
    </w:p>
    <w:p>
      <w:pPr>
        <w:ind w:left="220" w:right="239" w:firstLine="1886"/>
        <w:spacing w:after="0" w:line="266" w:lineRule="auto"/>
        <w:tabs>
          <w:tab w:leader="none" w:pos="2325"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36" w:lineRule="exact"/>
        <w:rPr>
          <w:rFonts w:ascii="Times New Roman" w:cs="Times New Roman" w:eastAsia="Times New Roman" w:hAnsi="Times New Roman"/>
          <w:sz w:val="14"/>
          <w:szCs w:val="14"/>
          <w:color w:val="auto"/>
        </w:rPr>
      </w:pPr>
    </w:p>
    <w:p>
      <w:pPr>
        <w:ind w:left="220" w:right="279" w:firstLine="1886"/>
        <w:spacing w:after="0" w:line="266" w:lineRule="auto"/>
        <w:tabs>
          <w:tab w:leader="none" w:pos="2333"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36" w:lineRule="exact"/>
        <w:rPr>
          <w:rFonts w:ascii="Times New Roman" w:cs="Times New Roman" w:eastAsia="Times New Roman" w:hAnsi="Times New Roman"/>
          <w:sz w:val="14"/>
          <w:szCs w:val="14"/>
          <w:color w:val="auto"/>
        </w:rPr>
      </w:pPr>
    </w:p>
    <w:p>
      <w:pPr>
        <w:ind w:left="220" w:right="339" w:firstLine="1886"/>
        <w:spacing w:after="0" w:line="296" w:lineRule="auto"/>
        <w:tabs>
          <w:tab w:leader="none" w:pos="2317"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34" w:lineRule="exact"/>
        <w:rPr>
          <w:rFonts w:ascii="Times New Roman" w:cs="Times New Roman" w:eastAsia="Times New Roman" w:hAnsi="Times New Roman"/>
          <w:sz w:val="13"/>
          <w:szCs w:val="13"/>
          <w:color w:val="auto"/>
        </w:rPr>
      </w:pPr>
    </w:p>
    <w:p>
      <w:pPr>
        <w:ind w:left="220" w:right="259" w:firstLine="2229"/>
        <w:spacing w:after="0" w:line="256" w:lineRule="auto"/>
        <w:tabs>
          <w:tab w:leader="none" w:pos="2644"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for in such options or rights (without taking into account potential antidilution adjustments) for the Common Stock covered thereby.</w:t>
      </w:r>
    </w:p>
    <w:p>
      <w:pPr>
        <w:spacing w:after="0" w:line="144" w:lineRule="exact"/>
        <w:rPr>
          <w:rFonts w:ascii="Times New Roman" w:cs="Times New Roman" w:eastAsia="Times New Roman" w:hAnsi="Times New Roman"/>
          <w:sz w:val="14"/>
          <w:szCs w:val="14"/>
          <w:color w:val="auto"/>
        </w:rPr>
      </w:pPr>
    </w:p>
    <w:p>
      <w:pPr>
        <w:ind w:left="220" w:right="239" w:firstLine="2229"/>
        <w:spacing w:after="0" w:line="254" w:lineRule="auto"/>
        <w:tabs>
          <w:tab w:leader="none" w:pos="2644"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42" w:name="page343"/>
    <w:bookmarkEnd w:id="342"/>
    <w:p>
      <w:pPr>
        <w:ind w:left="220" w:right="279" w:firstLine="2229"/>
        <w:spacing w:after="0" w:line="258" w:lineRule="auto"/>
        <w:tabs>
          <w:tab w:leader="none" w:pos="2644" w:val="left"/>
        </w:tabs>
        <w:numPr>
          <w:ilvl w:val="2"/>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each applicable series of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42" w:lineRule="exact"/>
        <w:rPr>
          <w:rFonts w:ascii="Times New Roman" w:cs="Times New Roman" w:eastAsia="Times New Roman" w:hAnsi="Times New Roman"/>
          <w:sz w:val="14"/>
          <w:szCs w:val="14"/>
          <w:color w:val="auto"/>
        </w:rPr>
      </w:pPr>
    </w:p>
    <w:p>
      <w:pPr>
        <w:ind w:left="220" w:right="279" w:firstLine="2229"/>
        <w:spacing w:after="0" w:line="256" w:lineRule="auto"/>
        <w:tabs>
          <w:tab w:leader="none" w:pos="2644" w:val="left"/>
        </w:tabs>
        <w:numPr>
          <w:ilvl w:val="2"/>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any such options or rights, the termination of any such rights to convert or exchange or the expiration of any options or rights related to such convertible or exchangeable securities, the Conversion Price of each applicable series of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44" w:lineRule="exact"/>
        <w:rPr>
          <w:rFonts w:ascii="Times New Roman" w:cs="Times New Roman" w:eastAsia="Times New Roman" w:hAnsi="Times New Roman"/>
          <w:sz w:val="14"/>
          <w:szCs w:val="14"/>
          <w:color w:val="auto"/>
        </w:rPr>
      </w:pPr>
    </w:p>
    <w:p>
      <w:pPr>
        <w:ind w:left="220" w:right="539" w:firstLine="2229"/>
        <w:spacing w:after="0" w:line="266" w:lineRule="auto"/>
        <w:tabs>
          <w:tab w:leader="none" w:pos="2644" w:val="left"/>
        </w:tabs>
        <w:numPr>
          <w:ilvl w:val="2"/>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36" w:lineRule="exact"/>
        <w:rPr>
          <w:rFonts w:ascii="Times New Roman" w:cs="Times New Roman" w:eastAsia="Times New Roman" w:hAnsi="Times New Roman"/>
          <w:sz w:val="14"/>
          <w:szCs w:val="14"/>
          <w:color w:val="auto"/>
        </w:rPr>
      </w:pPr>
    </w:p>
    <w:p>
      <w:pPr>
        <w:ind w:left="220" w:right="819" w:firstLine="1544"/>
        <w:spacing w:after="0" w:line="282" w:lineRule="auto"/>
        <w:tabs>
          <w:tab w:leader="none" w:pos="1967"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Stock</w:t>
      </w:r>
      <w:r>
        <w:rPr>
          <w:rFonts w:ascii="Times New Roman" w:cs="Times New Roman" w:eastAsia="Times New Roman" w:hAnsi="Times New Roman"/>
          <w:sz w:val="14"/>
          <w:szCs w:val="14"/>
          <w:color w:val="auto"/>
        </w:rPr>
        <w:t>” shall mean any shares of Common Stock issued (or deemed to have been issued pursuant to subsection 4(d)(i)(E)) by this corporation on or after the Filing Date other than:</w:t>
      </w:r>
    </w:p>
    <w:p>
      <w:pPr>
        <w:spacing w:after="0" w:line="41" w:lineRule="exact"/>
        <w:rPr>
          <w:rFonts w:ascii="Times New Roman" w:cs="Times New Roman" w:eastAsia="Times New Roman" w:hAnsi="Times New Roman"/>
          <w:sz w:val="14"/>
          <w:szCs w:val="14"/>
          <w:color w:val="auto"/>
        </w:rPr>
      </w:pPr>
    </w:p>
    <w:p>
      <w:pPr>
        <w:ind w:left="2340" w:hanging="234"/>
        <w:spacing w:after="0"/>
        <w:tabs>
          <w:tab w:leader="none" w:pos="234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pursuant to a transaction described in subsection 4(d)(iii) hereof;</w:t>
      </w:r>
    </w:p>
    <w:p>
      <w:pPr>
        <w:spacing w:after="0" w:line="174" w:lineRule="exact"/>
        <w:rPr>
          <w:rFonts w:ascii="Times New Roman" w:cs="Times New Roman" w:eastAsia="Times New Roman" w:hAnsi="Times New Roman"/>
          <w:sz w:val="14"/>
          <w:szCs w:val="14"/>
          <w:color w:val="auto"/>
        </w:rPr>
      </w:pPr>
    </w:p>
    <w:p>
      <w:pPr>
        <w:ind w:left="220" w:right="339" w:firstLine="1886"/>
        <w:spacing w:after="0" w:line="266" w:lineRule="auto"/>
        <w:tabs>
          <w:tab w:leader="none" w:pos="2325"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to employees, directors, consultants and other service providers for the primary purpose of soliciting or retaining their services pursuant to plans or agreements approved by the Board of Directors, including, in the case of plans approved after the date of the filing of this Restated Certificate of Incorporation, the affirmative approval of at least one Preferred Director;</w:t>
      </w:r>
    </w:p>
    <w:p>
      <w:pPr>
        <w:spacing w:after="0" w:line="136" w:lineRule="exact"/>
        <w:rPr>
          <w:rFonts w:ascii="Times New Roman" w:cs="Times New Roman" w:eastAsia="Times New Roman" w:hAnsi="Times New Roman"/>
          <w:sz w:val="14"/>
          <w:szCs w:val="14"/>
          <w:color w:val="auto"/>
        </w:rPr>
      </w:pPr>
    </w:p>
    <w:p>
      <w:pPr>
        <w:ind w:left="2320" w:hanging="214"/>
        <w:spacing w:after="0"/>
        <w:tabs>
          <w:tab w:leader="none" w:pos="232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pursuant to an underwritten public offering;</w:t>
      </w:r>
    </w:p>
    <w:p>
      <w:pPr>
        <w:spacing w:after="0" w:line="174" w:lineRule="exact"/>
        <w:rPr>
          <w:rFonts w:ascii="Times New Roman" w:cs="Times New Roman" w:eastAsia="Times New Roman" w:hAnsi="Times New Roman"/>
          <w:sz w:val="14"/>
          <w:szCs w:val="14"/>
          <w:color w:val="auto"/>
        </w:rPr>
      </w:pPr>
    </w:p>
    <w:p>
      <w:pPr>
        <w:ind w:left="2340" w:hanging="234"/>
        <w:spacing w:after="0"/>
        <w:tabs>
          <w:tab w:leader="none" w:pos="234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pursuant to the conversion or exercise of convertible or exercisable securities outstanding</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Filing Date;</w:t>
      </w:r>
    </w:p>
    <w:p>
      <w:pPr>
        <w:spacing w:after="0" w:line="160" w:lineRule="exact"/>
        <w:rPr>
          <w:rFonts w:ascii="Times New Roman" w:cs="Times New Roman" w:eastAsia="Times New Roman" w:hAnsi="Times New Roman"/>
          <w:sz w:val="14"/>
          <w:szCs w:val="14"/>
          <w:color w:val="auto"/>
        </w:rPr>
      </w:pPr>
    </w:p>
    <w:p>
      <w:pPr>
        <w:ind w:left="2320" w:hanging="214"/>
        <w:spacing w:after="0"/>
        <w:tabs>
          <w:tab w:leader="none" w:pos="232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pursuant to a Direct Listing;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43" w:name="page344"/>
    <w:bookmarkEnd w:id="343"/>
    <w:p>
      <w:pPr>
        <w:ind w:left="220" w:right="319" w:firstLine="1886"/>
        <w:spacing w:after="0" w:line="266" w:lineRule="auto"/>
        <w:tabs>
          <w:tab w:leader="none" w:pos="231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Common Stock issued in connection with a bona fide business acquisition by this corporation, whether by merger, consolidation, sale of assets, sale or exchange of stock or otherwise provided that such issuances are approved by the Board of Directors, including the affirmative approval of at least one Preferred Director;</w:t>
      </w:r>
    </w:p>
    <w:p>
      <w:pPr>
        <w:spacing w:after="0" w:line="136" w:lineRule="exact"/>
        <w:rPr>
          <w:rFonts w:ascii="Times New Roman" w:cs="Times New Roman" w:eastAsia="Times New Roman" w:hAnsi="Times New Roman"/>
          <w:sz w:val="14"/>
          <w:szCs w:val="14"/>
          <w:color w:val="auto"/>
        </w:rPr>
      </w:pPr>
    </w:p>
    <w:p>
      <w:pPr>
        <w:ind w:left="220" w:right="839" w:firstLine="1886"/>
        <w:spacing w:after="0" w:line="282" w:lineRule="auto"/>
        <w:tabs>
          <w:tab w:leader="none" w:pos="2333"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or deemed issued pursuant to subsection 4(d)(i)(E) as a result of a decrease in the Conversion Price of any series of Preferred Stock resulting from the operation of Section 4(d);</w:t>
      </w:r>
    </w:p>
    <w:p>
      <w:pPr>
        <w:spacing w:after="0" w:line="125" w:lineRule="exact"/>
        <w:rPr>
          <w:rFonts w:ascii="Times New Roman" w:cs="Times New Roman" w:eastAsia="Times New Roman" w:hAnsi="Times New Roman"/>
          <w:sz w:val="14"/>
          <w:szCs w:val="14"/>
          <w:color w:val="auto"/>
        </w:rPr>
      </w:pPr>
    </w:p>
    <w:p>
      <w:pPr>
        <w:ind w:left="2340" w:hanging="234"/>
        <w:spacing w:after="0"/>
        <w:tabs>
          <w:tab w:leader="none" w:pos="234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upon conversion of the Preferred Stock;</w:t>
      </w:r>
    </w:p>
    <w:p>
      <w:pPr>
        <w:spacing w:after="0" w:line="174" w:lineRule="exact"/>
        <w:rPr>
          <w:rFonts w:ascii="Times New Roman" w:cs="Times New Roman" w:eastAsia="Times New Roman" w:hAnsi="Times New Roman"/>
          <w:sz w:val="14"/>
          <w:szCs w:val="14"/>
          <w:color w:val="auto"/>
        </w:rPr>
      </w:pPr>
    </w:p>
    <w:p>
      <w:pPr>
        <w:ind w:left="220" w:right="299" w:firstLine="1886"/>
        <w:spacing w:after="0" w:line="266" w:lineRule="auto"/>
        <w:tabs>
          <w:tab w:leader="none" w:pos="2278"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pursuant to any equipment leasing arrangement or debt financing arrangement, which arrangement is approved by the Board of Directors, including the affirmative approval of at least one Preferred Director, and is primarily for non-equity financing purposes;</w:t>
      </w:r>
    </w:p>
    <w:p>
      <w:pPr>
        <w:spacing w:after="0" w:line="136" w:lineRule="exact"/>
        <w:rPr>
          <w:rFonts w:ascii="Times New Roman" w:cs="Times New Roman" w:eastAsia="Times New Roman" w:hAnsi="Times New Roman"/>
          <w:sz w:val="14"/>
          <w:szCs w:val="14"/>
          <w:color w:val="auto"/>
        </w:rPr>
      </w:pPr>
    </w:p>
    <w:p>
      <w:pPr>
        <w:ind w:left="220" w:right="359" w:firstLine="1886"/>
        <w:spacing w:after="0" w:line="282" w:lineRule="auto"/>
        <w:tabs>
          <w:tab w:leader="none" w:pos="2286"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to persons or entities with which this corporation has business relationships, provided such issuances are approved by the Board of Directors, including the affirmative approval of at least one Preferred Director;</w:t>
      </w:r>
    </w:p>
    <w:p>
      <w:pPr>
        <w:spacing w:after="0" w:line="125" w:lineRule="exact"/>
        <w:rPr>
          <w:rFonts w:ascii="Times New Roman" w:cs="Times New Roman" w:eastAsia="Times New Roman" w:hAnsi="Times New Roman"/>
          <w:sz w:val="14"/>
          <w:szCs w:val="14"/>
          <w:color w:val="auto"/>
        </w:rPr>
      </w:pPr>
    </w:p>
    <w:p>
      <w:pPr>
        <w:ind w:left="220" w:right="299" w:firstLine="1886"/>
        <w:spacing w:after="0" w:line="277" w:lineRule="auto"/>
        <w:tabs>
          <w:tab w:leader="none" w:pos="2333"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Stock that is issued with the unanimous approval of the Board of Directors and the Board of Directors specifically states in such approval that it shall not be Additional Stock; provided that, (i) solely with respect to issuances (or deemed issuances) of Common Stock that would otherwise cause an adjustment to the Conversion Price of the Series C Preferred Stock or Series C-1 Preferred Stock, such issuances (or deemed issuances) of Common Stock are specifically excluded from the definition of Additional Stock by the holders of a majority of the Series C Stock (voting together as a single class and not as a separate series, on an as-converted basis); and (ii) solely with respect to issuances (or deemed issuances) of Common Stock that would otherwise cause an adjustment to the Conversion Price of the Series D Preferred Stock, such issuances (or deemed issuances) of Common Stock are specifically excluded from the definition of Additional Stock by the holders of at least sixty percent (60%) of the then outstanding shares of Series D Preferred Stock (voting together as a single class and not as separate series, on an as-converted basis); or</w:t>
      </w:r>
    </w:p>
    <w:p>
      <w:pPr>
        <w:spacing w:after="0" w:line="130" w:lineRule="exact"/>
        <w:rPr>
          <w:rFonts w:ascii="Times New Roman" w:cs="Times New Roman" w:eastAsia="Times New Roman" w:hAnsi="Times New Roman"/>
          <w:sz w:val="13"/>
          <w:szCs w:val="13"/>
          <w:color w:val="auto"/>
        </w:rPr>
      </w:pPr>
    </w:p>
    <w:p>
      <w:pPr>
        <w:ind w:left="2320" w:hanging="214"/>
        <w:spacing w:after="0"/>
        <w:tabs>
          <w:tab w:leader="none" w:pos="232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or deemed issued pursuant to subsection 4(h).</w:t>
      </w:r>
    </w:p>
    <w:p>
      <w:pPr>
        <w:spacing w:after="0" w:line="174" w:lineRule="exact"/>
        <w:rPr>
          <w:rFonts w:ascii="Times New Roman" w:cs="Times New Roman" w:eastAsia="Times New Roman" w:hAnsi="Times New Roman"/>
          <w:sz w:val="14"/>
          <w:szCs w:val="14"/>
          <w:color w:val="auto"/>
        </w:rPr>
      </w:pPr>
    </w:p>
    <w:p>
      <w:pPr>
        <w:ind w:left="220" w:right="279" w:firstLine="1544"/>
        <w:spacing w:after="0" w:line="256" w:lineRule="auto"/>
        <w:tabs>
          <w:tab w:leader="none" w:pos="200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this corporation should at any time or from time to time after the </w:t>
      </w:r>
      <w:r>
        <w:rPr>
          <w:rFonts w:ascii="Times New Roman" w:cs="Times New Roman" w:eastAsia="Times New Roman" w:hAnsi="Times New Roman"/>
          <w:sz w:val="14"/>
          <w:szCs w:val="14"/>
          <w:u w:val="single" w:color="auto"/>
          <w:color w:val="auto"/>
        </w:rPr>
        <w:t>Filing Date</w:t>
      </w:r>
      <w:r>
        <w:rPr>
          <w:rFonts w:ascii="Times New Roman" w:cs="Times New Roman" w:eastAsia="Times New Roman" w:hAnsi="Times New Roman"/>
          <w:sz w:val="14"/>
          <w:szCs w:val="14"/>
          <w:color w:val="auto"/>
        </w:rPr>
        <w:t xml:space="preserv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cs="Times New Roman" w:eastAsia="Times New Roman" w:hAnsi="Times New Roman"/>
          <w:sz w:val="14"/>
          <w:szCs w:val="14"/>
          <w:u w:val="single" w:color="auto"/>
          <w:color w:val="auto"/>
        </w:rPr>
        <w:t>Common Stock Equivalents</w:t>
      </w:r>
      <w:r>
        <w:rPr>
          <w:rFonts w:ascii="Times New Roman" w:cs="Times New Roman" w:eastAsia="Times New Roman" w:hAnsi="Times New Roman"/>
          <w:sz w:val="14"/>
          <w:szCs w:val="14"/>
          <w:color w:val="auto"/>
        </w:rPr>
        <w:t>”) without payment of any consideration by such holder for the additional shares of Common Stock or the Common Stock Equivalents (including the additional shares of Common Stock issuable upon conversion or exercise thereof), then, as of such record date (or the date of such dividend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44" w:name="page345"/>
    <w:bookmarkEnd w:id="344"/>
    <w:p>
      <w:pPr>
        <w:ind w:left="220" w:right="259"/>
        <w:spacing w:after="0" w:line="28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24" w:lineRule="exact"/>
        <w:rPr>
          <w:sz w:val="20"/>
          <w:szCs w:val="20"/>
          <w:color w:val="auto"/>
        </w:rPr>
      </w:pPr>
    </w:p>
    <w:p>
      <w:pPr>
        <w:ind w:left="220" w:right="279" w:firstLine="1544"/>
        <w:spacing w:after="0" w:line="261" w:lineRule="auto"/>
        <w:tabs>
          <w:tab w:leader="none" w:pos="1998"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w:t>
      </w:r>
    </w:p>
    <w:p>
      <w:pPr>
        <w:spacing w:after="0" w:line="139" w:lineRule="exact"/>
        <w:rPr>
          <w:rFonts w:ascii="Times New Roman" w:cs="Times New Roman" w:eastAsia="Times New Roman" w:hAnsi="Times New Roman"/>
          <w:sz w:val="14"/>
          <w:szCs w:val="14"/>
          <w:color w:val="auto"/>
        </w:rPr>
      </w:pPr>
    </w:p>
    <w:p>
      <w:pPr>
        <w:ind w:left="220" w:right="279" w:firstLine="1116"/>
        <w:spacing w:after="0" w:line="258" w:lineRule="auto"/>
        <w:tabs>
          <w:tab w:leader="none" w:pos="152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Distributions</w:t>
      </w:r>
      <w:r>
        <w:rPr>
          <w:rFonts w:ascii="Times New Roman" w:cs="Times New Roman" w:eastAsia="Times New Roman" w:hAnsi="Times New Roman"/>
          <w:sz w:val="14"/>
          <w:szCs w:val="14"/>
          <w:color w:val="auto"/>
        </w:rPr>
        <w:t>.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142" w:lineRule="exact"/>
        <w:rPr>
          <w:rFonts w:ascii="Times New Roman" w:cs="Times New Roman" w:eastAsia="Times New Roman" w:hAnsi="Times New Roman"/>
          <w:sz w:val="14"/>
          <w:szCs w:val="14"/>
          <w:color w:val="auto"/>
        </w:rPr>
      </w:pPr>
    </w:p>
    <w:p>
      <w:pPr>
        <w:ind w:left="220" w:right="299" w:firstLine="1116"/>
        <w:spacing w:after="0" w:line="254" w:lineRule="auto"/>
        <w:tabs>
          <w:tab w:leader="none" w:pos="1508"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Recapitalizations</w:t>
      </w:r>
      <w:r>
        <w:rPr>
          <w:rFonts w:ascii="Times New Roman" w:cs="Times New Roman" w:eastAsia="Times New Roman" w:hAnsi="Times New Roman"/>
          <w:sz w:val="14"/>
          <w:szCs w:val="14"/>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47"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 and Certificate as to Adjustments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99" w:firstLine="1544"/>
        <w:spacing w:after="0" w:line="258" w:lineRule="auto"/>
        <w:tabs>
          <w:tab w:leader="none" w:pos="1928"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45" w:name="page346"/>
    <w:bookmarkEnd w:id="345"/>
    <w:p>
      <w:pPr>
        <w:ind w:left="220" w:right="259" w:firstLine="1544"/>
        <w:spacing w:after="0" w:line="255" w:lineRule="auto"/>
        <w:tabs>
          <w:tab w:leader="none" w:pos="1967"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w:t>
      </w:r>
    </w:p>
    <w:p>
      <w:pPr>
        <w:spacing w:after="0" w:line="145" w:lineRule="exact"/>
        <w:rPr>
          <w:rFonts w:ascii="Times New Roman" w:cs="Times New Roman" w:eastAsia="Times New Roman" w:hAnsi="Times New Roman"/>
          <w:sz w:val="14"/>
          <w:szCs w:val="14"/>
          <w:color w:val="auto"/>
        </w:rPr>
      </w:pPr>
    </w:p>
    <w:p>
      <w:pPr>
        <w:ind w:left="220" w:right="279" w:firstLine="1116"/>
        <w:spacing w:after="0" w:line="254" w:lineRule="auto"/>
        <w:tabs>
          <w:tab w:leader="none" w:pos="1531"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Special Conversion Price Adjustment of Series D Preferred Stock in the event of a Public Offering</w:t>
      </w:r>
      <w:r>
        <w:rPr>
          <w:rFonts w:ascii="Times New Roman" w:cs="Times New Roman" w:eastAsia="Times New Roman" w:hAnsi="Times New Roman"/>
          <w:sz w:val="14"/>
          <w:szCs w:val="14"/>
          <w:color w:val="auto"/>
        </w:rPr>
        <w:t>. If (i) in connection with an IPO prior to a Cancellation Event, the price per share of Common Stock sold to the public as set forth on the cover of the corporation’s final Form S-1 registration statement is less than 1.2 times the Original Issue Price of the Series D Preferred Stock, or (ii) in connection with a SPAC Transaction prior to a Cancellation Event, the price per share of the SPAC’s common stock issued to the corporation’s stockholders in exchange for the corporation’s outstanding capital stock as set forth on the final registration statement or applicable final offering document is less than 1.2 times the Original Issue Price of the Series D Preferred Stock, then the Conversion Price for the Series D Preferred Stock shall, immediately prior to the automatic conversion of the Series D Preferred Stock into Common Stock pursuant to Article IV(B)4(b), be adjusted (calculated to the nearest one-thousandth of a cent) as determined by the following formula:</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 = OP * (Series D Outstanding + (Public Offering Proceeds / OP)) / (Series D Outstanding + Public Offering Shares)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the foregoing formula and this subsection 4(h), the following definitions shall apply:</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 “AP” shall mean the Conversion Price in effect immediately after the Conversion Price adjustment of the Series 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Preferred Stock.</w:t>
      </w:r>
    </w:p>
    <w:p>
      <w:pPr>
        <w:spacing w:after="0" w:line="160" w:lineRule="exact"/>
        <w:rPr>
          <w:sz w:val="20"/>
          <w:szCs w:val="20"/>
          <w:color w:val="auto"/>
        </w:rPr>
      </w:pPr>
    </w:p>
    <w:p>
      <w:pPr>
        <w:ind w:left="1960" w:hanging="196"/>
        <w:spacing w:after="0"/>
        <w:tabs>
          <w:tab w:leader="none" w:pos="1960"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Closing SPAC Cash” means the amount of cash at the closing of the SPAC Transaction equal to the sum of</w:t>
      </w:r>
    </w:p>
    <w:p>
      <w:pPr>
        <w:spacing w:after="0" w:line="21" w:lineRule="exact"/>
        <w:rPr>
          <w:rFonts w:ascii="Times New Roman" w:cs="Times New Roman" w:eastAsia="Times New Roman" w:hAnsi="Times New Roman"/>
          <w:sz w:val="14"/>
          <w:szCs w:val="14"/>
          <w:color w:val="auto"/>
        </w:rPr>
      </w:pPr>
    </w:p>
    <w:p>
      <w:pPr>
        <w:ind w:left="220" w:right="319" w:firstLine="3"/>
        <w:spacing w:after="0" w:line="252" w:lineRule="auto"/>
        <w:tabs>
          <w:tab w:leader="none" w:pos="387"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amounts in the SPAC’s trust account (after reduction for the aggregate amount of payments required to be made in connection with SPAC stockholder redemptions, any excise tax payable by SPAC, any payment of any SPAC transaction expenses or corporation transaction expenses in connection with the SPAC Transaction), plus (ii) the net proceeds of any incremental equity or convertible security financing raised by the SPAC in connection with the SPAC Transaction and the aggregate exercise price of any in-the-money warrants or other rights or securities convertible for equity of the SPAC.</w:t>
      </w:r>
    </w:p>
    <w:p>
      <w:pPr>
        <w:spacing w:after="0" w:line="147" w:lineRule="exact"/>
        <w:rPr>
          <w:rFonts w:ascii="Times New Roman" w:cs="Times New Roman" w:eastAsia="Times New Roman" w:hAnsi="Times New Roman"/>
          <w:sz w:val="14"/>
          <w:szCs w:val="14"/>
          <w:color w:val="auto"/>
        </w:rPr>
      </w:pPr>
    </w:p>
    <w:p>
      <w:pPr>
        <w:ind w:left="220" w:right="499" w:firstLine="1544"/>
        <w:spacing w:after="0" w:line="282" w:lineRule="auto"/>
        <w:tabs>
          <w:tab w:leader="none" w:pos="2006" w:val="left"/>
        </w:tabs>
        <w:numPr>
          <w:ilvl w:val="1"/>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Event” shall mean the date that the corporation’s trailing 12 month revenues, calculated in accordance with generally accepted accounting principles, exceed $220,000,000 in any twelve month period.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346" w:name="page347"/>
    <w:bookmarkEnd w:id="346"/>
    <w:p>
      <w:pPr>
        <w:ind w:left="220" w:right="459" w:firstLine="1544"/>
        <w:spacing w:after="0" w:line="282" w:lineRule="auto"/>
        <w:tabs>
          <w:tab w:leader="none" w:pos="1998"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“Direct Listing” shall mean the corporation’s initial listing of its Common Stock on a national securities exchange by means of an effective registration statement on Form S-1 filed by this corporation with the Securities and Exchange Commission.</w:t>
      </w:r>
    </w:p>
    <w:p>
      <w:pPr>
        <w:spacing w:after="0" w:line="125" w:lineRule="exact"/>
        <w:rPr>
          <w:rFonts w:ascii="Times New Roman" w:cs="Times New Roman" w:eastAsia="Times New Roman" w:hAnsi="Times New Roman"/>
          <w:sz w:val="14"/>
          <w:szCs w:val="14"/>
          <w:color w:val="auto"/>
        </w:rPr>
      </w:pPr>
    </w:p>
    <w:p>
      <w:pPr>
        <w:ind w:left="220" w:right="519" w:firstLine="1544"/>
        <w:spacing w:after="0" w:line="282" w:lineRule="auto"/>
        <w:tabs>
          <w:tab w:leader="none" w:pos="1959"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shall mean any sale by the corporation of its Common Stock to the public, including, but not limited to, a firm commitment underwritten public offering pursuant to a registration statement on Form S-1 under the Securities Act of 1933, as amended.</w:t>
      </w:r>
    </w:p>
    <w:p>
      <w:pPr>
        <w:spacing w:after="0" w:line="125"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 shall mean the product of 1.2 multiplied by the then applicable Conversion Price of the Series D Preferred Stock.</w:t>
      </w:r>
    </w:p>
    <w:p>
      <w:pPr>
        <w:spacing w:after="0" w:line="174" w:lineRule="exact"/>
        <w:rPr>
          <w:rFonts w:ascii="Times New Roman" w:cs="Times New Roman" w:eastAsia="Times New Roman" w:hAnsi="Times New Roman"/>
          <w:sz w:val="14"/>
          <w:szCs w:val="14"/>
          <w:color w:val="auto"/>
        </w:rPr>
      </w:pPr>
    </w:p>
    <w:p>
      <w:pPr>
        <w:ind w:left="220" w:right="259" w:firstLine="1544"/>
        <w:spacing w:after="0" w:line="282" w:lineRule="auto"/>
        <w:tabs>
          <w:tab w:leader="none" w:pos="2037"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Offering Proceeds” shall mean (i) in the case of an IPO, the aggregate dollar amount of the securities issued and sold by the corporation in the IPO, or (ii) in the case of a SPAC Transaction, the Available Closing SPAC Cash.</w:t>
      </w:r>
    </w:p>
    <w:p>
      <w:pPr>
        <w:spacing w:after="0" w:line="125" w:lineRule="exact"/>
        <w:rPr>
          <w:rFonts w:ascii="Times New Roman" w:cs="Times New Roman" w:eastAsia="Times New Roman" w:hAnsi="Times New Roman"/>
          <w:sz w:val="14"/>
          <w:szCs w:val="14"/>
          <w:color w:val="auto"/>
        </w:rPr>
      </w:pPr>
    </w:p>
    <w:p>
      <w:pPr>
        <w:ind w:left="2080" w:hanging="316"/>
        <w:spacing w:after="0"/>
        <w:tabs>
          <w:tab w:leader="none" w:pos="20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Offering Shares” shall mean (i) in the case of an IPO, the number of shares issued and sold in the IPO, and</w:t>
      </w:r>
    </w:p>
    <w:p>
      <w:pPr>
        <w:spacing w:after="0" w:line="21" w:lineRule="exact"/>
        <w:rPr>
          <w:rFonts w:ascii="Times New Roman" w:cs="Times New Roman" w:eastAsia="Times New Roman" w:hAnsi="Times New Roman"/>
          <w:sz w:val="14"/>
          <w:szCs w:val="14"/>
          <w:color w:val="auto"/>
        </w:rPr>
      </w:pPr>
    </w:p>
    <w:p>
      <w:pPr>
        <w:jc w:val="both"/>
        <w:ind w:left="220" w:right="439" w:firstLine="3"/>
        <w:spacing w:after="0" w:line="253" w:lineRule="auto"/>
        <w:tabs>
          <w:tab w:leader="none" w:pos="426"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SPAC Transaction, the number of shares outstanding at the closing of the SPAC Transaction (including SPAC shares that have not been redeemed and any shares issued in connection with the private placement of public equities in connection with such SPAC Transaction and any in-the-money warrants or other rights or securities convertible for equity of the SPAC) minus the number of shares issued to the stockholders of the corporation in the SPAC Transaction.</w:t>
      </w:r>
    </w:p>
    <w:p>
      <w:pPr>
        <w:spacing w:after="0" w:line="145"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D Outstanding” shall mean the number of shares of Series D Preferred Stock outstanding immediately prior to</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w:t>
      </w:r>
    </w:p>
    <w:p>
      <w:pPr>
        <w:spacing w:after="0" w:line="160" w:lineRule="exact"/>
        <w:rPr>
          <w:rFonts w:ascii="Times New Roman" w:cs="Times New Roman" w:eastAsia="Times New Roman" w:hAnsi="Times New Roman"/>
          <w:sz w:val="14"/>
          <w:szCs w:val="14"/>
          <w:color w:val="auto"/>
        </w:rPr>
      </w:pPr>
    </w:p>
    <w:p>
      <w:pPr>
        <w:ind w:left="1960" w:hanging="196"/>
        <w:spacing w:after="0"/>
        <w:tabs>
          <w:tab w:leader="none" w:pos="196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 shall mean a publicly traded “special purpose acquisition company” or its subsidiary.</w:t>
      </w:r>
    </w:p>
    <w:p>
      <w:pPr>
        <w:spacing w:after="0" w:line="174" w:lineRule="exact"/>
        <w:rPr>
          <w:rFonts w:ascii="Times New Roman" w:cs="Times New Roman" w:eastAsia="Times New Roman" w:hAnsi="Times New Roman"/>
          <w:sz w:val="14"/>
          <w:szCs w:val="14"/>
          <w:color w:val="auto"/>
        </w:rPr>
      </w:pPr>
    </w:p>
    <w:p>
      <w:pPr>
        <w:ind w:left="220" w:right="539" w:firstLine="1544"/>
        <w:spacing w:after="0" w:line="266" w:lineRule="auto"/>
        <w:tabs>
          <w:tab w:leader="none" w:pos="1998"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 Transaction” shall mean the closing by this corporation of a transaction or series of related transactions by merger, consolidation, share exchange or otherwise with a SPAC in which the common stock or share capital of such entity or its successor entity is listed on the a nationally recognized securities exchange or marketplace.</w:t>
      </w:r>
    </w:p>
    <w:p>
      <w:pPr>
        <w:spacing w:after="0" w:line="136" w:lineRule="exact"/>
        <w:rPr>
          <w:sz w:val="20"/>
          <w:szCs w:val="20"/>
          <w:color w:val="auto"/>
        </w:rPr>
      </w:pPr>
    </w:p>
    <w:p>
      <w:pPr>
        <w:ind w:left="220" w:right="239"/>
        <w:spacing w:after="0" w:line="282" w:lineRule="auto"/>
        <w:rPr>
          <w:sz w:val="20"/>
          <w:szCs w:val="20"/>
          <w:color w:val="auto"/>
        </w:rPr>
      </w:pPr>
      <w:r>
        <w:rPr>
          <w:rFonts w:ascii="Times New Roman" w:cs="Times New Roman" w:eastAsia="Times New Roman" w:hAnsi="Times New Roman"/>
          <w:sz w:val="14"/>
          <w:szCs w:val="14"/>
          <w:color w:val="auto"/>
        </w:rPr>
        <w:t>If a Cancellation Event occurs, then the Special Conversion Price Adjustment of Series D Preferred Stock set forth in this subsection 4(h) shall not apply and the Conversion Price of the Series D Preferred Stock shall not be adjusted pursuant to this subsection 4(h).</w:t>
      </w:r>
    </w:p>
    <w:p>
      <w:pPr>
        <w:spacing w:after="0" w:line="125" w:lineRule="exact"/>
        <w:rPr>
          <w:sz w:val="20"/>
          <w:szCs w:val="20"/>
          <w:color w:val="auto"/>
        </w:rPr>
      </w:pPr>
    </w:p>
    <w:p>
      <w:pPr>
        <w:ind w:left="220" w:right="319" w:firstLine="1116"/>
        <w:spacing w:after="0" w:line="255" w:lineRule="auto"/>
        <w:tabs>
          <w:tab w:leader="none" w:pos="15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of Record Date</w:t>
      </w:r>
      <w:r>
        <w:rPr>
          <w:rFonts w:ascii="Times New Roman" w:cs="Times New Roman" w:eastAsia="Times New Roman" w:hAnsi="Times New Roman"/>
          <w:sz w:val="14"/>
          <w:szCs w:val="14"/>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 (10) days prior to the date specified therein, a notice specifying the date on which any such record is to be taken for the purpose of such dividend or distribution, and the amount and character of such dividend or distribution; provided, however, that subject to compliance with the General Corporation Law such notice period may be shortened or waived upon the written consent of the holders of Preferred Stock that represent a majority of the then outstanding shares of such Preferred Stock (voting together as a single class and not as separate series, and on an as-converted basis).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47" w:name="page348"/>
    <w:bookmarkEnd w:id="347"/>
    <w:p>
      <w:pPr>
        <w:ind w:left="220" w:right="239" w:firstLine="1116"/>
        <w:spacing w:after="0" w:line="254" w:lineRule="auto"/>
        <w:tabs>
          <w:tab w:leader="none" w:pos="150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Reservation of Stock Issuable Upon Conversion</w:t>
      </w:r>
      <w:r>
        <w:rPr>
          <w:rFonts w:ascii="Times New Roman" w:cs="Times New Roman" w:eastAsia="Times New Roman" w:hAnsi="Times New Roman"/>
          <w:sz w:val="14"/>
          <w:szCs w:val="14"/>
          <w:color w:val="auto"/>
        </w:rPr>
        <w:t>.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of Incorporation.</w:t>
      </w:r>
    </w:p>
    <w:p>
      <w:pPr>
        <w:spacing w:after="0" w:line="147" w:lineRule="exact"/>
        <w:rPr>
          <w:rFonts w:ascii="Times New Roman" w:cs="Times New Roman" w:eastAsia="Times New Roman" w:hAnsi="Times New Roman"/>
          <w:sz w:val="14"/>
          <w:szCs w:val="14"/>
          <w:color w:val="auto"/>
        </w:rPr>
      </w:pPr>
    </w:p>
    <w:p>
      <w:pPr>
        <w:ind w:left="220" w:right="239" w:firstLine="1116"/>
        <w:spacing w:after="0" w:line="256" w:lineRule="auto"/>
        <w:tabs>
          <w:tab w:leader="none" w:pos="1531"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Adjustment to Conversion Price</w:t>
      </w:r>
      <w:r>
        <w:rPr>
          <w:rFonts w:ascii="Times New Roman" w:cs="Times New Roman" w:eastAsia="Times New Roman" w:hAnsi="Times New Roman"/>
          <w:sz w:val="14"/>
          <w:szCs w:val="14"/>
          <w:color w:val="auto"/>
        </w:rPr>
        <w:t>. Notwithstanding anything herein to the contrary, any downward adjustment of the Conversion Price of any series of Preferred Stock pursuant to this Section 4 may be waived, either prospectively or retroactively and either generally or in a particular instance, by (i) with respect to each series of Preferred Stock other than the Series D Preferred Stock, the consent or vote of the holders of a majority of the then outstanding shares of such series of Preferred Stock and (ii) solely with respect to the Series D Preferred Stock, the consent or vote of the holders of at least sixty percent (60%) of the then outstanding shares of Series D Preferred Stock (voting together as a single class and not as separate series, on an as-converted basis).</w:t>
      </w:r>
    </w:p>
    <w:p>
      <w:pPr>
        <w:spacing w:after="0" w:line="144" w:lineRule="exact"/>
        <w:rPr>
          <w:rFonts w:ascii="Times New Roman" w:cs="Times New Roman" w:eastAsia="Times New Roman" w:hAnsi="Times New Roman"/>
          <w:sz w:val="14"/>
          <w:szCs w:val="14"/>
          <w:color w:val="auto"/>
        </w:rPr>
      </w:pPr>
    </w:p>
    <w:p>
      <w:pPr>
        <w:ind w:left="1140" w:hanging="147"/>
        <w:spacing w:after="0"/>
        <w:tabs>
          <w:tab w:leader="none" w:pos="114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p>
    <w:p>
      <w:pPr>
        <w:spacing w:after="0" w:line="174" w:lineRule="exact"/>
        <w:rPr>
          <w:rFonts w:ascii="Times New Roman" w:cs="Times New Roman" w:eastAsia="Times New Roman" w:hAnsi="Times New Roman"/>
          <w:sz w:val="14"/>
          <w:szCs w:val="14"/>
          <w:color w:val="auto"/>
        </w:rPr>
      </w:pPr>
    </w:p>
    <w:p>
      <w:pPr>
        <w:ind w:left="220" w:right="239" w:firstLine="1116"/>
        <w:spacing w:after="0" w:line="254" w:lineRule="auto"/>
        <w:tabs>
          <w:tab w:leader="none" w:pos="1523"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Voting Rights</w:t>
      </w:r>
      <w:r>
        <w:rPr>
          <w:rFonts w:ascii="Times New Roman" w:cs="Times New Roman" w:eastAsia="Times New Roman" w:hAnsi="Times New Roman"/>
          <w:sz w:val="14"/>
          <w:szCs w:val="14"/>
          <w:color w:val="auto"/>
        </w:rPr>
        <w:t>.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subsection 5(b) below with respect to the election of directors by the separate class vote of the holders of Common Stock,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(1/2) being rounded upward).</w:t>
      </w:r>
    </w:p>
    <w:p>
      <w:pPr>
        <w:spacing w:after="0" w:line="147" w:lineRule="exact"/>
        <w:rPr>
          <w:rFonts w:ascii="Times New Roman" w:cs="Times New Roman" w:eastAsia="Times New Roman" w:hAnsi="Times New Roman"/>
          <w:sz w:val="14"/>
          <w:szCs w:val="14"/>
          <w:color w:val="auto"/>
        </w:rPr>
      </w:pPr>
    </w:p>
    <w:p>
      <w:pPr>
        <w:ind w:left="220" w:right="339" w:firstLine="1116"/>
        <w:spacing w:after="0" w:line="261" w:lineRule="auto"/>
        <w:tabs>
          <w:tab w:leader="none" w:pos="1531"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for the Election of Directors</w:t>
      </w:r>
      <w:r>
        <w:rPr>
          <w:rFonts w:ascii="Times New Roman" w:cs="Times New Roman" w:eastAsia="Times New Roman" w:hAnsi="Times New Roman"/>
          <w:sz w:val="14"/>
          <w:szCs w:val="14"/>
          <w:color w:val="auto"/>
        </w:rPr>
        <w:t>. As long as at least 1,449,050 shares of Series A Preferred Stock (as adjusted for any stock splits, stock dividends, combinations, subdivisions, recapitalizations or the like) remain outstanding, the holders of a majority of the Series A Preferred Stock (voting together as a single class and not as a separate series, on an as-converted basis) shall be entitled to elect two (2) directors of this corporation at any election of directors (the “</w:t>
      </w:r>
      <w:r>
        <w:rPr>
          <w:rFonts w:ascii="Times New Roman" w:cs="Times New Roman" w:eastAsia="Times New Roman" w:hAnsi="Times New Roman"/>
          <w:sz w:val="14"/>
          <w:szCs w:val="14"/>
          <w:u w:val="single" w:color="auto"/>
          <w:color w:val="auto"/>
        </w:rPr>
        <w:t>Series A Directors</w:t>
      </w:r>
      <w:r>
        <w:rPr>
          <w:rFonts w:ascii="Times New Roman" w:cs="Times New Roman" w:eastAsia="Times New Roman" w:hAnsi="Times New Roman"/>
          <w:sz w:val="14"/>
          <w:szCs w:val="14"/>
          <w:color w:val="auto"/>
        </w:rPr>
        <w:t>”). As long as at least 1,225,790 shares of Series C Preferred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48" w:name="page349"/>
    <w:bookmarkEnd w:id="348"/>
    <w:p>
      <w:pPr>
        <w:ind w:left="220" w:right="25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Stock (as adjusted for any stock splits, stock dividends, combinations, subdivisions, recapitalizations or the like) remain outstanding, the holders of a majority of the Series C Preferred Stock (voting together as a single class and not as a separate series, on an as-converted basis) shall be entitled to elect one (1) director of this corporation at any election of directors (the “</w:t>
      </w:r>
      <w:r>
        <w:rPr>
          <w:rFonts w:ascii="Times New Roman" w:cs="Times New Roman" w:eastAsia="Times New Roman" w:hAnsi="Times New Roman"/>
          <w:sz w:val="13"/>
          <w:szCs w:val="13"/>
          <w:u w:val="single" w:color="auto"/>
          <w:color w:val="auto"/>
        </w:rPr>
        <w:t>Series C Director</w:t>
      </w:r>
      <w:r>
        <w:rPr>
          <w:rFonts w:ascii="Times New Roman" w:cs="Times New Roman" w:eastAsia="Times New Roman" w:hAnsi="Times New Roman"/>
          <w:sz w:val="13"/>
          <w:szCs w:val="13"/>
          <w:color w:val="auto"/>
        </w:rPr>
        <w:t>”). As long as at least 1,164,058 shares of Series D Preferred Stock (as adjusted for any stock splits, stock dividends, combinations, subdivisions, recapitalizations or the like) remain outstanding, the holders of a majority of the Series D Preferred Stock (voting together as a single class and not as a separate series, on an as-converted basis) shall be entitled to elect one</w:t>
      </w:r>
    </w:p>
    <w:p>
      <w:pPr>
        <w:spacing w:after="0" w:line="1" w:lineRule="exact"/>
        <w:rPr>
          <w:sz w:val="20"/>
          <w:szCs w:val="20"/>
          <w:color w:val="auto"/>
        </w:rPr>
      </w:pPr>
    </w:p>
    <w:p>
      <w:pPr>
        <w:jc w:val="both"/>
        <w:ind w:left="220" w:right="259" w:firstLine="3"/>
        <w:spacing w:after="0" w:line="253" w:lineRule="auto"/>
        <w:tabs>
          <w:tab w:leader="none" w:pos="418"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of this corporation at any election of directors (the “</w:t>
      </w:r>
      <w:r>
        <w:rPr>
          <w:rFonts w:ascii="Times New Roman" w:cs="Times New Roman" w:eastAsia="Times New Roman" w:hAnsi="Times New Roman"/>
          <w:sz w:val="14"/>
          <w:szCs w:val="14"/>
          <w:u w:val="single" w:color="auto"/>
          <w:color w:val="auto"/>
        </w:rPr>
        <w:t>Series D Director</w:t>
      </w:r>
      <w:r>
        <w:rPr>
          <w:rFonts w:ascii="Times New Roman" w:cs="Times New Roman" w:eastAsia="Times New Roman" w:hAnsi="Times New Roman"/>
          <w:sz w:val="14"/>
          <w:szCs w:val="14"/>
          <w:color w:val="auto"/>
        </w:rPr>
        <w:t>” and together with the Series A Directors and the Series C Director, the “</w:t>
      </w:r>
      <w:r>
        <w:rPr>
          <w:rFonts w:ascii="Times New Roman" w:cs="Times New Roman" w:eastAsia="Times New Roman" w:hAnsi="Times New Roman"/>
          <w:sz w:val="14"/>
          <w:szCs w:val="14"/>
          <w:u w:val="single" w:color="auto"/>
          <w:color w:val="auto"/>
        </w:rPr>
        <w:t>Preferred Directors</w:t>
      </w:r>
      <w:r>
        <w:rPr>
          <w:rFonts w:ascii="Times New Roman" w:cs="Times New Roman" w:eastAsia="Times New Roman" w:hAnsi="Times New Roman"/>
          <w:sz w:val="14"/>
          <w:szCs w:val="14"/>
          <w:color w:val="auto"/>
        </w:rPr>
        <w:t>”). The holders of outstanding Common Stock shall be entitled to elect four (4) directors of this corporation at any election of directors (the “</w:t>
      </w:r>
      <w:r>
        <w:rPr>
          <w:rFonts w:ascii="Times New Roman" w:cs="Times New Roman" w:eastAsia="Times New Roman" w:hAnsi="Times New Roman"/>
          <w:sz w:val="14"/>
          <w:szCs w:val="14"/>
          <w:u w:val="single" w:color="auto"/>
          <w:color w:val="auto"/>
        </w:rPr>
        <w:t>Common Directors</w:t>
      </w:r>
      <w:r>
        <w:rPr>
          <w:rFonts w:ascii="Times New Roman" w:cs="Times New Roman" w:eastAsia="Times New Roman" w:hAnsi="Times New Roman"/>
          <w:sz w:val="14"/>
          <w:szCs w:val="14"/>
          <w:color w:val="auto"/>
        </w:rPr>
        <w:t>”). The holders of Preferred Stock and Common Stock (voting together as a single class and not as separate series, and on an as-converted basis) shall be entitled to elect any remaining directors of this corporation.</w:t>
      </w:r>
    </w:p>
    <w:p>
      <w:pPr>
        <w:spacing w:after="0" w:line="146" w:lineRule="exact"/>
        <w:rPr>
          <w:sz w:val="20"/>
          <w:szCs w:val="20"/>
          <w:color w:val="auto"/>
        </w:rPr>
      </w:pPr>
    </w:p>
    <w:p>
      <w:pPr>
        <w:ind w:left="220" w:right="299" w:firstLine="342"/>
        <w:spacing w:after="0" w:line="253" w:lineRule="auto"/>
        <w:rPr>
          <w:sz w:val="20"/>
          <w:szCs w:val="20"/>
          <w:color w:val="auto"/>
        </w:rPr>
      </w:pPr>
      <w:r>
        <w:rPr>
          <w:rFonts w:ascii="Times New Roman" w:cs="Times New Roman" w:eastAsia="Times New Roman" w:hAnsi="Times New Roman"/>
          <w:sz w:val="14"/>
          <w:szCs w:val="14"/>
          <w:color w:val="auto"/>
        </w:rPr>
        <w:t>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48" w:lineRule="exact"/>
        <w:rPr>
          <w:sz w:val="20"/>
          <w:szCs w:val="20"/>
          <w:color w:val="auto"/>
        </w:rPr>
      </w:pPr>
    </w:p>
    <w:p>
      <w:pPr>
        <w:ind w:left="1520" w:hanging="184"/>
        <w:spacing w:after="0"/>
        <w:tabs>
          <w:tab w:leader="none" w:pos="15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 Voting</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1544"/>
        <w:spacing w:after="0" w:line="261" w:lineRule="auto"/>
        <w:tabs>
          <w:tab w:leader="none" w:pos="1928"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director who is serving on the Board shall be entitled to cast on all matters one (1) vote; provided, however, that for so long as Oguzhan Atay is serving as this corporation’s CEO and a Common Director, if there are any vacancies in the authorized Common Director seats, then Oguzhan Atay shall have an additional number of votes on all matters submitted to a vote of the Board in an amount equal to the aggregate number of vacant Common Director seats then existing.</w:t>
      </w:r>
    </w:p>
    <w:p>
      <w:pPr>
        <w:spacing w:after="0" w:line="139" w:lineRule="exact"/>
        <w:rPr>
          <w:rFonts w:ascii="Times New Roman" w:cs="Times New Roman" w:eastAsia="Times New Roman" w:hAnsi="Times New Roman"/>
          <w:sz w:val="14"/>
          <w:szCs w:val="14"/>
          <w:color w:val="auto"/>
        </w:rPr>
      </w:pPr>
    </w:p>
    <w:p>
      <w:pPr>
        <w:ind w:left="220" w:right="259" w:firstLine="1544"/>
        <w:spacing w:after="0" w:line="261" w:lineRule="auto"/>
        <w:tabs>
          <w:tab w:leader="none" w:pos="1967"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 long as Oguzhan Atay is entitled to more than one (1) vote in accordance with Section 5(c)(i) above on any matter submitted to a vote of the Board of Directors, any reference in this Restated Certificate of Incorporation, the Bylaws of this corporation or the General Corporation Law to a majority or other proportion of the Board of Directors or of any committee thereof (including with respect to quorum) shall refer to a majority or other proportion of the votes of the Board of Directors.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349" w:name="page350"/>
    <w:bookmarkEnd w:id="349"/>
    <w:p>
      <w:pPr>
        <w:ind w:left="220" w:right="319" w:firstLine="773"/>
        <w:spacing w:after="0" w:line="258" w:lineRule="auto"/>
        <w:tabs>
          <w:tab w:leader="none" w:pos="113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Protective Provisions</w:t>
      </w:r>
      <w:r>
        <w:rPr>
          <w:rFonts w:ascii="Times New Roman" w:cs="Times New Roman" w:eastAsia="Times New Roman" w:hAnsi="Times New Roman"/>
          <w:sz w:val="14"/>
          <w:szCs w:val="14"/>
          <w:color w:val="auto"/>
        </w:rPr>
        <w:t>. So long as at least 9,848,330 shares of Preferred Stock (as adjusted for any stock splits, stock dividends, combinations, subdivisions, recapitalizations or the like) remain outstanding, this corporation shall not (by amendment, merger, consolidation, statutory conversion, transfer, domestication, or continuance or otherwise) without (in addition to any other vote required by law or the Certificate of Incorporation) first obtaining the approval by vote or written consent, as provided by law, of the holders of a majority of the then outstanding shares of Preferred Stock (voting together as a single class and not as separate series, and on an as-converted basis):</w:t>
      </w:r>
    </w:p>
    <w:p>
      <w:pPr>
        <w:spacing w:after="0" w:line="58" w:lineRule="exact"/>
        <w:rPr>
          <w:rFonts w:ascii="Times New Roman" w:cs="Times New Roman" w:eastAsia="Times New Roman" w:hAnsi="Times New Roman"/>
          <w:sz w:val="14"/>
          <w:szCs w:val="14"/>
          <w:color w:val="auto"/>
        </w:rPr>
      </w:pPr>
    </w:p>
    <w:p>
      <w:pPr>
        <w:ind w:left="220" w:right="819" w:firstLine="1116"/>
        <w:spacing w:after="0" w:line="282" w:lineRule="auto"/>
        <w:tabs>
          <w:tab w:leader="none" w:pos="1523"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consummate a Liquidation Event, Direct Listing, SPAC Transaction or effect any other merger, consolidation, statutory conversion, transfer, domestication, or continuance;</w:t>
      </w:r>
    </w:p>
    <w:p>
      <w:pPr>
        <w:spacing w:after="0" w:line="125" w:lineRule="exact"/>
        <w:rPr>
          <w:rFonts w:ascii="Times New Roman" w:cs="Times New Roman" w:eastAsia="Times New Roman" w:hAnsi="Times New Roman"/>
          <w:sz w:val="14"/>
          <w:szCs w:val="14"/>
          <w:color w:val="auto"/>
        </w:rPr>
      </w:pPr>
    </w:p>
    <w:p>
      <w:pPr>
        <w:ind w:left="220" w:right="239" w:firstLine="1116"/>
        <w:spacing w:after="0" w:line="266" w:lineRule="auto"/>
        <w:tabs>
          <w:tab w:leader="none" w:pos="1531"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alter or repeal any provision of this corporation’s Certificate of Incorporation or Bylaws so as to adversely alter or change the rights, preferences, privileges and restrictions of the shares of Preferred Stock, or otherwise adversely change, alter, modify or repeal the rights, preferences, privileges and restrictions of the shares of Preferred Stock;</w:t>
      </w:r>
    </w:p>
    <w:p>
      <w:pPr>
        <w:spacing w:after="0" w:line="136" w:lineRule="exact"/>
        <w:rPr>
          <w:rFonts w:ascii="Times New Roman" w:cs="Times New Roman" w:eastAsia="Times New Roman" w:hAnsi="Times New Roman"/>
          <w:sz w:val="14"/>
          <w:szCs w:val="14"/>
          <w:color w:val="auto"/>
        </w:rPr>
      </w:pPr>
    </w:p>
    <w:p>
      <w:pPr>
        <w:ind w:left="220" w:right="699" w:firstLine="1116"/>
        <w:spacing w:after="0" w:line="282" w:lineRule="auto"/>
        <w:tabs>
          <w:tab w:leader="none" w:pos="1523"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(other than by redemption or conversion) the total number of authorized shares of Common Stock or Preferred Stock or designated shares of any series of Preferred Stock;</w:t>
      </w:r>
    </w:p>
    <w:p>
      <w:pPr>
        <w:spacing w:after="0" w:line="125" w:lineRule="exact"/>
        <w:rPr>
          <w:rFonts w:ascii="Times New Roman" w:cs="Times New Roman" w:eastAsia="Times New Roman" w:hAnsi="Times New Roman"/>
          <w:sz w:val="14"/>
          <w:szCs w:val="14"/>
          <w:color w:val="auto"/>
        </w:rPr>
      </w:pPr>
    </w:p>
    <w:p>
      <w:pPr>
        <w:ind w:left="220" w:right="339" w:firstLine="1116"/>
        <w:spacing w:after="0" w:line="266" w:lineRule="auto"/>
        <w:tabs>
          <w:tab w:leader="none" w:pos="1531"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create or issue any equity security (including, without limitation, (i) any other security convertible into or exercisable for any such equity security or (ii) any unit of debt and equity securities) having a preference over, or being on a parity with, any series of Preferred Stock with respect to dividends, liquidation or redemption;</w:t>
      </w:r>
    </w:p>
    <w:p>
      <w:pPr>
        <w:spacing w:after="0" w:line="136" w:lineRule="exact"/>
        <w:rPr>
          <w:rFonts w:ascii="Times New Roman" w:cs="Times New Roman" w:eastAsia="Times New Roman" w:hAnsi="Times New Roman"/>
          <w:sz w:val="14"/>
          <w:szCs w:val="14"/>
          <w:color w:val="auto"/>
        </w:rPr>
      </w:pPr>
    </w:p>
    <w:p>
      <w:pPr>
        <w:ind w:left="220" w:right="299" w:firstLine="1116"/>
        <w:spacing w:after="0" w:line="258" w:lineRule="auto"/>
        <w:tabs>
          <w:tab w:leader="none" w:pos="1523"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reclassify, alter or amend any existing security of this corporation that is pari passu with the Preferred Stock with respect to dividends, liquidation or redemption, if such reclassification, alteration or amendment would render such other security senior to any series of Preferred Stock in respect of any such right, preference or privilege or (ii) reclassify, alter or amend any existing security of this corporation that is junior to any series of Preferred Stock with respect to dividends, liquidation or redemption, if such reclassification, alteration or amendment would render such other security senior to or pari passu with any series of Preferred Stock in respect of any such right, preference or privilege;</w:t>
      </w:r>
    </w:p>
    <w:p>
      <w:pPr>
        <w:spacing w:after="0" w:line="142" w:lineRule="exact"/>
        <w:rPr>
          <w:rFonts w:ascii="Times New Roman" w:cs="Times New Roman" w:eastAsia="Times New Roman" w:hAnsi="Times New Roman"/>
          <w:sz w:val="14"/>
          <w:szCs w:val="14"/>
          <w:color w:val="auto"/>
        </w:rPr>
      </w:pPr>
    </w:p>
    <w:p>
      <w:pPr>
        <w:ind w:left="220" w:right="339" w:firstLine="1116"/>
        <w:spacing w:after="0" w:line="258" w:lineRule="auto"/>
        <w:tabs>
          <w:tab w:leader="none" w:pos="1508"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at cost upon the occurrence of certain events, such as the termination of employment or service, or pursuant to a right of first refusal;</w:t>
      </w:r>
    </w:p>
    <w:p>
      <w:pPr>
        <w:spacing w:after="0" w:line="142"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authorized number of directors of this corporation;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50" w:name="page351"/>
    <w:bookmarkEnd w:id="350"/>
    <w:p>
      <w:pPr>
        <w:ind w:left="220" w:right="239" w:firstLine="1116"/>
        <w:spacing w:after="0" w:line="282" w:lineRule="auto"/>
        <w:tabs>
          <w:tab w:leader="none" w:pos="1531"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pay or declare any dividend on any shares of capital stock of this corporation other than dividends payable on the Common Stock solely in the form of additional shares of Common Stock;</w:t>
      </w:r>
    </w:p>
    <w:p>
      <w:pPr>
        <w:spacing w:after="0" w:line="125" w:lineRule="exact"/>
        <w:rPr>
          <w:rFonts w:ascii="Times New Roman" w:cs="Times New Roman" w:eastAsia="Times New Roman" w:hAnsi="Times New Roman"/>
          <w:sz w:val="14"/>
          <w:szCs w:val="14"/>
          <w:color w:val="auto"/>
        </w:rPr>
      </w:pPr>
    </w:p>
    <w:p>
      <w:pPr>
        <w:ind w:left="220" w:right="479" w:firstLine="1116"/>
        <w:spacing w:after="0" w:line="261" w:lineRule="auto"/>
        <w:tabs>
          <w:tab w:leader="none" w:pos="150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transaction with any person who is an officer, director or employee of this corporation or any “associate” (as defined in Rule 12b-2 promulgated under the Securities Exchange Act of 1934, as amended) of any such person other than in the ordinary course of business and on arms’ length terms, unless approved by the Board, including (i) the affirmative approval of at least two Preferred Directors and (ii) a majority of the Board who are disinterested with respect thereto;</w:t>
      </w:r>
    </w:p>
    <w:p>
      <w:pPr>
        <w:spacing w:after="0" w:line="139" w:lineRule="exact"/>
        <w:rPr>
          <w:rFonts w:ascii="Times New Roman" w:cs="Times New Roman" w:eastAsia="Times New Roman" w:hAnsi="Times New Roman"/>
          <w:sz w:val="14"/>
          <w:szCs w:val="14"/>
          <w:color w:val="auto"/>
        </w:rPr>
      </w:pPr>
    </w:p>
    <w:p>
      <w:pPr>
        <w:ind w:left="220" w:right="259" w:firstLine="1116"/>
        <w:spacing w:after="0" w:line="255" w:lineRule="auto"/>
        <w:tabs>
          <w:tab w:leader="none" w:pos="150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equipment leases,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this corporation and its subsidiaries for borrowed money following such action would exceed $10,000,000, other than amounts borrowed in connection with equipment leases, unless approved by the Board, including the affirmative approval of at least two Preferred Directors and a majority of the Board who are disinterested with respect thereto;</w:t>
      </w:r>
    </w:p>
    <w:p>
      <w:pPr>
        <w:spacing w:after="0" w:line="145"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number of shares available for issuance under this corporation’s equity incentive plans or adopt or create any new</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incentive plan;</w:t>
      </w:r>
    </w:p>
    <w:p>
      <w:pPr>
        <w:spacing w:after="0" w:line="160" w:lineRule="exact"/>
        <w:rPr>
          <w:rFonts w:ascii="Times New Roman" w:cs="Times New Roman" w:eastAsia="Times New Roman" w:hAnsi="Times New Roman"/>
          <w:sz w:val="14"/>
          <w:szCs w:val="14"/>
          <w:color w:val="auto"/>
        </w:rPr>
      </w:pPr>
    </w:p>
    <w:p>
      <w:pPr>
        <w:jc w:val="both"/>
        <w:ind w:left="220" w:right="279" w:firstLine="1116"/>
        <w:spacing w:after="0" w:line="261" w:lineRule="auto"/>
        <w:tabs>
          <w:tab w:leader="none" w:pos="150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hold capital stock in, any subsidiary that is not wholly owned (either directly or through one or more other subsidiaries) by this corporation,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w:t>
      </w:r>
    </w:p>
    <w:p>
      <w:pPr>
        <w:spacing w:after="0" w:line="139" w:lineRule="exact"/>
        <w:rPr>
          <w:rFonts w:ascii="Times New Roman" w:cs="Times New Roman" w:eastAsia="Times New Roman" w:hAnsi="Times New Roman"/>
          <w:sz w:val="14"/>
          <w:szCs w:val="14"/>
          <w:color w:val="auto"/>
        </w:rPr>
      </w:pPr>
    </w:p>
    <w:p>
      <w:pPr>
        <w:jc w:val="both"/>
        <w:ind w:left="220" w:right="619" w:firstLine="1116"/>
        <w:spacing w:after="0" w:line="322" w:lineRule="auto"/>
        <w:tabs>
          <w:tab w:leader="none" w:pos="157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with respect to any direct or indirect subsidiary of this corporation that, if taken by this corporation, would require approval pursuant to this Section 6, unless approved by the Board, including the affirmative approval of at least one Preferred Director; or</w:t>
      </w:r>
    </w:p>
    <w:p>
      <w:pPr>
        <w:spacing w:after="0" w:line="102" w:lineRule="exact"/>
        <w:rPr>
          <w:rFonts w:ascii="Times New Roman" w:cs="Times New Roman" w:eastAsia="Times New Roman" w:hAnsi="Times New Roman"/>
          <w:sz w:val="13"/>
          <w:szCs w:val="13"/>
          <w:color w:val="auto"/>
        </w:rPr>
      </w:pPr>
    </w:p>
    <w:p>
      <w:pPr>
        <w:ind w:left="220" w:right="239" w:firstLine="1116"/>
        <w:spacing w:after="0" w:line="261" w:lineRule="auto"/>
        <w:tabs>
          <w:tab w:leader="none" w:pos="1531"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this corporation or any of its subsidiaries to, without approval of the Board of Directors, including at least one Preferred Director, sell, issue, sponsor, create or distribute any digital tokens, cryptocurrency or other blockchain-based assets (collectively, “</w:t>
      </w:r>
      <w:r>
        <w:rPr>
          <w:rFonts w:ascii="Times New Roman" w:cs="Times New Roman" w:eastAsia="Times New Roman" w:hAnsi="Times New Roman"/>
          <w:sz w:val="14"/>
          <w:szCs w:val="14"/>
          <w:u w:val="single" w:color="auto"/>
          <w:color w:val="auto"/>
        </w:rPr>
        <w:t>Tokens</w:t>
      </w:r>
      <w:r>
        <w:rPr>
          <w:rFonts w:ascii="Times New Roman" w:cs="Times New Roman" w:eastAsia="Times New Roman" w:hAnsi="Times New Roman"/>
          <w:sz w:val="14"/>
          <w:szCs w:val="14"/>
          <w:color w:val="auto"/>
        </w:rPr>
        <w:t>”), including through a pre-sale, initial coin offering, token distribution event or crowdfunding, or through the issuance of any instrument convertible into or exchangeable for Tokens.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351" w:name="page352"/>
    <w:bookmarkEnd w:id="351"/>
    <w:p>
      <w:pPr>
        <w:ind w:left="220" w:right="339" w:firstLine="773"/>
        <w:spacing w:after="0" w:line="258" w:lineRule="auto"/>
        <w:tabs>
          <w:tab w:leader="none" w:pos="113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Series C Protective Provisions</w:t>
      </w:r>
      <w:r>
        <w:rPr>
          <w:rFonts w:ascii="Times New Roman" w:cs="Times New Roman" w:eastAsia="Times New Roman" w:hAnsi="Times New Roman"/>
          <w:sz w:val="14"/>
          <w:szCs w:val="14"/>
          <w:color w:val="auto"/>
        </w:rPr>
        <w:t>. So long as at least 1,634,386 shares of Series C Stock (as adjusted for any stock splits, stock dividends, combinations, subdivisions, recapitalizations or the like) remain outstanding, this corporation shall not (by amendment, merger, consolidation or otherwise) without (in addition to any other vote required by law or the Certificate of Incorporation) first obtaining the approval by vote or written consent, as provided by law, of the holders of a majority of the then outstanding shares of Series C Stock (voting together as a separate series, on an as-converted basis):</w:t>
      </w:r>
    </w:p>
    <w:p>
      <w:pPr>
        <w:spacing w:after="0" w:line="58" w:lineRule="exact"/>
        <w:rPr>
          <w:rFonts w:ascii="Times New Roman" w:cs="Times New Roman" w:eastAsia="Times New Roman" w:hAnsi="Times New Roman"/>
          <w:sz w:val="14"/>
          <w:szCs w:val="14"/>
          <w:color w:val="auto"/>
        </w:rPr>
      </w:pPr>
    </w:p>
    <w:p>
      <w:pPr>
        <w:ind w:left="1520" w:hanging="184"/>
        <w:spacing w:after="0"/>
        <w:tabs>
          <w:tab w:leader="none" w:pos="1520"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the total number of authorized shares of Series C Preferred Stock; or</w:t>
      </w:r>
    </w:p>
    <w:p>
      <w:pPr>
        <w:spacing w:after="0" w:line="174" w:lineRule="exact"/>
        <w:rPr>
          <w:rFonts w:ascii="Times New Roman" w:cs="Times New Roman" w:eastAsia="Times New Roman" w:hAnsi="Times New Roman"/>
          <w:sz w:val="14"/>
          <w:szCs w:val="14"/>
          <w:color w:val="auto"/>
        </w:rPr>
      </w:pPr>
    </w:p>
    <w:p>
      <w:pPr>
        <w:ind w:left="220" w:right="619" w:firstLine="1116"/>
        <w:spacing w:after="0" w:line="282" w:lineRule="auto"/>
        <w:tabs>
          <w:tab w:leader="none" w:pos="1531"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alter or repeal any provision of this corporation’s Certificate of Incorporation or Bylaws in a manner that adversely affects the rights granted to the holders of Series C Stock in a manner different than other series of Preferred Stock.</w:t>
      </w:r>
    </w:p>
    <w:p>
      <w:pPr>
        <w:spacing w:after="0" w:line="125" w:lineRule="exact"/>
        <w:rPr>
          <w:rFonts w:ascii="Times New Roman" w:cs="Times New Roman" w:eastAsia="Times New Roman" w:hAnsi="Times New Roman"/>
          <w:sz w:val="14"/>
          <w:szCs w:val="14"/>
          <w:color w:val="auto"/>
        </w:rPr>
      </w:pPr>
    </w:p>
    <w:p>
      <w:pPr>
        <w:ind w:left="220" w:right="239" w:firstLine="773"/>
        <w:spacing w:after="0" w:line="258" w:lineRule="auto"/>
        <w:tabs>
          <w:tab w:leader="none" w:pos="113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Series D Protective Provisions</w:t>
      </w:r>
      <w:r>
        <w:rPr>
          <w:rFonts w:ascii="Times New Roman" w:cs="Times New Roman" w:eastAsia="Times New Roman" w:hAnsi="Times New Roman"/>
          <w:sz w:val="14"/>
          <w:szCs w:val="14"/>
          <w:color w:val="auto"/>
        </w:rPr>
        <w:t>. So long as at least 1,552,078 shares of Series D Preferred Stock (as adjusted for any stock splits, stock dividends, combinations, subdivisions, recapitalizations or the like) remain outstanding, this corporation shall not (by amendment, merger, consolidation or otherwise) without (in addition to any other vote required by law or the Certificate of Incorporation) first obtaining the approval by vote or written consent, as provided by law, of the holders of at least sixty percent (60%) of the then outstanding shares of Series D Preferred Stock (voting together as a single class and not as separate series, on an as-converted basis):</w:t>
      </w:r>
    </w:p>
    <w:p>
      <w:pPr>
        <w:spacing w:after="0" w:line="58" w:lineRule="exact"/>
        <w:rPr>
          <w:rFonts w:ascii="Times New Roman" w:cs="Times New Roman" w:eastAsia="Times New Roman" w:hAnsi="Times New Roman"/>
          <w:sz w:val="14"/>
          <w:szCs w:val="14"/>
          <w:color w:val="auto"/>
        </w:rPr>
      </w:pPr>
    </w:p>
    <w:p>
      <w:pPr>
        <w:ind w:left="1520" w:hanging="184"/>
        <w:spacing w:after="0"/>
        <w:tabs>
          <w:tab w:leader="none" w:pos="1520"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the total number of authorized shares of Series D Preferred Stock; or</w:t>
      </w:r>
    </w:p>
    <w:p>
      <w:pPr>
        <w:spacing w:after="0" w:line="174" w:lineRule="exact"/>
        <w:rPr>
          <w:rFonts w:ascii="Times New Roman" w:cs="Times New Roman" w:eastAsia="Times New Roman" w:hAnsi="Times New Roman"/>
          <w:sz w:val="14"/>
          <w:szCs w:val="14"/>
          <w:color w:val="auto"/>
        </w:rPr>
      </w:pPr>
    </w:p>
    <w:p>
      <w:pPr>
        <w:ind w:left="220" w:right="619" w:firstLine="1116"/>
        <w:spacing w:after="0" w:line="282" w:lineRule="auto"/>
        <w:tabs>
          <w:tab w:leader="none" w:pos="1531"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alter or repeal any provision of this corporation’s Certificate of Incorporation or Bylaws in a manner that adversely affects the rights granted to the holders of Series D Preferred Stock in a manner different than other series of Preferred Stock.</w:t>
      </w:r>
    </w:p>
    <w:p>
      <w:pPr>
        <w:spacing w:after="0" w:line="125" w:lineRule="exact"/>
        <w:rPr>
          <w:rFonts w:ascii="Times New Roman" w:cs="Times New Roman" w:eastAsia="Times New Roman" w:hAnsi="Times New Roman"/>
          <w:sz w:val="14"/>
          <w:szCs w:val="14"/>
          <w:color w:val="auto"/>
        </w:rPr>
      </w:pPr>
    </w:p>
    <w:p>
      <w:pPr>
        <w:ind w:left="220" w:right="559" w:firstLine="773"/>
        <w:spacing w:after="0" w:line="266" w:lineRule="auto"/>
        <w:tabs>
          <w:tab w:leader="none" w:pos="113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Status of Converted Stock</w:t>
      </w:r>
      <w:r>
        <w:rPr>
          <w:rFonts w:ascii="Times New Roman" w:cs="Times New Roman" w:eastAsia="Times New Roman" w:hAnsi="Times New Roman"/>
          <w:sz w:val="14"/>
          <w:szCs w:val="14"/>
          <w:color w:val="auto"/>
        </w:rPr>
        <w:t>. In the event any shares of Preferred Stock shall be converted pursuant to Section 4 hereof, the shares so converted shall be cancelled and shall not be issuable by this corporation. The Restated Certificate of Incorporation of this corporation shall be appropriately amended to effect the corresponding reduction in this corporation’s authorized capital stock.</w:t>
      </w:r>
    </w:p>
    <w:p>
      <w:pPr>
        <w:spacing w:after="0" w:line="136" w:lineRule="exact"/>
        <w:rPr>
          <w:rFonts w:ascii="Times New Roman" w:cs="Times New Roman" w:eastAsia="Times New Roman" w:hAnsi="Times New Roman"/>
          <w:sz w:val="14"/>
          <w:szCs w:val="14"/>
          <w:color w:val="auto"/>
        </w:rPr>
      </w:pPr>
    </w:p>
    <w:p>
      <w:pPr>
        <w:ind w:left="220" w:right="259" w:firstLine="773"/>
        <w:spacing w:after="0" w:line="261" w:lineRule="auto"/>
        <w:tabs>
          <w:tab w:leader="none" w:pos="120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required by the provisions of this Article IV(B) to be given to the holders of shares of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w:t>
      </w:r>
    </w:p>
    <w:p>
      <w:pPr>
        <w:spacing w:after="0" w:line="139" w:lineRule="exact"/>
        <w:rPr>
          <w:rFonts w:ascii="Times New Roman" w:cs="Times New Roman" w:eastAsia="Times New Roman" w:hAnsi="Times New Roman"/>
          <w:sz w:val="14"/>
          <w:szCs w:val="14"/>
          <w:color w:val="auto"/>
        </w:rPr>
      </w:pPr>
    </w:p>
    <w:p>
      <w:pPr>
        <w:ind w:left="220" w:right="299" w:firstLine="345"/>
        <w:spacing w:after="0" w:line="282" w:lineRule="auto"/>
        <w:tabs>
          <w:tab w:leader="none" w:pos="72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The rights, preferences, privileges and restrictions granted to and imposed on the Common Stock are as set forth below in this Article IV(C).</w:t>
      </w:r>
    </w:p>
    <w:p>
      <w:pPr>
        <w:spacing w:after="0" w:line="125" w:lineRule="exact"/>
        <w:rPr>
          <w:rFonts w:ascii="Times New Roman" w:cs="Times New Roman" w:eastAsia="Times New Roman" w:hAnsi="Times New Roman"/>
          <w:sz w:val="14"/>
          <w:szCs w:val="14"/>
          <w:color w:val="auto"/>
        </w:rPr>
      </w:pPr>
    </w:p>
    <w:p>
      <w:pPr>
        <w:ind w:left="220" w:right="339" w:firstLine="773"/>
        <w:spacing w:after="0" w:line="266" w:lineRule="auto"/>
        <w:tabs>
          <w:tab w:leader="none" w:pos="113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Rights</w:t>
      </w:r>
      <w:r>
        <w:rPr>
          <w:rFonts w:ascii="Times New Roman" w:cs="Times New Roman" w:eastAsia="Times New Roman" w:hAnsi="Times New Roman"/>
          <w:sz w:val="14"/>
          <w:szCs w:val="14"/>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352" w:name="page353"/>
    <w:bookmarkEnd w:id="352"/>
    <w:p>
      <w:pPr>
        <w:ind w:left="220" w:right="259" w:firstLine="773"/>
        <w:spacing w:after="0" w:line="282" w:lineRule="auto"/>
        <w:tabs>
          <w:tab w:leader="none" w:pos="113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Liquidation Rights</w:t>
      </w:r>
      <w:r>
        <w:rPr>
          <w:rFonts w:ascii="Times New Roman" w:cs="Times New Roman" w:eastAsia="Times New Roman" w:hAnsi="Times New Roman"/>
          <w:sz w:val="14"/>
          <w:szCs w:val="14"/>
          <w:color w:val="auto"/>
        </w:rPr>
        <w:t>. Upon the liquidation, dissolution or winding up of this corporation, the assets of this corporation shall be distributed as provided in Section 2 of Article IV(B) hereof.</w:t>
      </w:r>
    </w:p>
    <w:p>
      <w:pPr>
        <w:spacing w:after="0" w:line="125" w:lineRule="exact"/>
        <w:rPr>
          <w:rFonts w:ascii="Times New Roman" w:cs="Times New Roman" w:eastAsia="Times New Roman" w:hAnsi="Times New Roman"/>
          <w:sz w:val="14"/>
          <w:szCs w:val="14"/>
          <w:color w:val="auto"/>
        </w:rPr>
      </w:pPr>
    </w:p>
    <w:p>
      <w:pPr>
        <w:ind w:left="1140" w:hanging="147"/>
        <w:spacing w:after="0"/>
        <w:tabs>
          <w:tab w:leader="none" w:pos="114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 The Common Stock is not redeemable at the option of the holder.</w:t>
      </w:r>
    </w:p>
    <w:p>
      <w:pPr>
        <w:spacing w:after="0" w:line="174" w:lineRule="exact"/>
        <w:rPr>
          <w:rFonts w:ascii="Times New Roman" w:cs="Times New Roman" w:eastAsia="Times New Roman" w:hAnsi="Times New Roman"/>
          <w:sz w:val="14"/>
          <w:szCs w:val="14"/>
          <w:color w:val="auto"/>
        </w:rPr>
      </w:pPr>
    </w:p>
    <w:p>
      <w:pPr>
        <w:ind w:left="220" w:right="259" w:firstLine="773"/>
        <w:spacing w:after="0" w:line="254" w:lineRule="auto"/>
        <w:tabs>
          <w:tab w:leader="none" w:pos="113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77"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Except as otherwise provided in this Restated Certificate of Incorporation, in furtherance and not in limitation of the powers conferred by statute, the Board of Directors is expressly authorized to make, repeal, alter, amend and rescind any or all of the Bylaws of this corporation.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77" w:lineRule="exact"/>
        <w:rPr>
          <w:sz w:val="20"/>
          <w:szCs w:val="20"/>
          <w:color w:val="auto"/>
        </w:rPr>
      </w:pPr>
    </w:p>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t>Subject to the requirements of Section 6 of Article IV(B) hereof, the number of directors of this corporation shall be determined in the manner set forth in the Bylaws of this corporation; provided that, so long as the holders of Preferred Stock are entitled to elect a Preferred Director, the affirmative vote of the requisite Preferred Directors shall be required for the authorization by the Board of Directors of any of the matters set forth in the Investors’ Rights Agreement, dated on or around hereof, by and among the corporation and the other parties thereto, as such agreement may be amended from time to time, to the extent required by such provision and if a Preferred Director is then serving.</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Elections of directors need not be by written ballot unless the Bylaws of this corporation shall so provide.</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353" w:name="page354"/>
    <w:bookmarkEnd w:id="3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VIII</w:t>
      </w:r>
    </w:p>
    <w:p>
      <w:pPr>
        <w:spacing w:after="0" w:line="177" w:lineRule="exact"/>
        <w:rPr>
          <w:sz w:val="20"/>
          <w:szCs w:val="20"/>
          <w:color w:val="auto"/>
        </w:rPr>
      </w:pPr>
    </w:p>
    <w:p>
      <w:pPr>
        <w:jc w:val="both"/>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77" w:lineRule="exact"/>
        <w:rPr>
          <w:sz w:val="20"/>
          <w:szCs w:val="20"/>
          <w:color w:val="auto"/>
        </w:rPr>
      </w:pPr>
    </w:p>
    <w:p>
      <w:pPr>
        <w:ind w:left="220" w:right="239" w:firstLine="342"/>
        <w:spacing w:after="0" w:line="256" w:lineRule="auto"/>
        <w:rPr>
          <w:sz w:val="20"/>
          <w:szCs w:val="20"/>
          <w:color w:val="auto"/>
        </w:rPr>
      </w:pPr>
      <w:r>
        <w:rPr>
          <w:rFonts w:ascii="Times New Roman" w:cs="Times New Roman" w:eastAsia="Times New Roman" w:hAnsi="Times New Roman"/>
          <w:sz w:val="14"/>
          <w:szCs w:val="14"/>
          <w:color w:val="auto"/>
        </w:rPr>
        <w:t>To the fullest extent permitted by law, a director or officer of this corporation shall not be personally liable to this corporation or its stockholders for monetary damages for breach of fiduciary duty as a director. If the General Corporation Law or any other law of the state of Delaware is amended after approval by the stockholders of this Article IX to authorize corporate action further eliminating or limiting the personal liability of directors or officers, then the liability of a director or officer of this corporation shall be eliminated or limited to the fullest extent permitted by the General Corporation Law as so amended. Solely for purposes of this Article Ninth, “officer” shall have the meaning provided in Section 102(b)(7) of the General Corporation Law as amended from time to time.</w:t>
      </w:r>
    </w:p>
    <w:p>
      <w:pPr>
        <w:spacing w:after="0" w:line="145" w:lineRule="exact"/>
        <w:rPr>
          <w:sz w:val="20"/>
          <w:szCs w:val="20"/>
          <w:color w:val="auto"/>
        </w:rPr>
      </w:pPr>
    </w:p>
    <w:p>
      <w:pPr>
        <w:ind w:left="220" w:right="259" w:firstLine="342"/>
        <w:spacing w:after="0" w:line="261" w:lineRule="auto"/>
        <w:rPr>
          <w:sz w:val="20"/>
          <w:szCs w:val="20"/>
          <w:color w:val="auto"/>
        </w:rPr>
      </w:pPr>
      <w:r>
        <w:rPr>
          <w:rFonts w:ascii="Times New Roman" w:cs="Times New Roman" w:eastAsia="Times New Roman" w:hAnsi="Times New Roman"/>
          <w:sz w:val="14"/>
          <w:szCs w:val="14"/>
          <w:color w:val="auto"/>
        </w:rPr>
        <w:t>Any amendment, repeal, elimination or modification of the foregoing provisions of this Article IX by the stockholders of this corporation shall not adversely affect any right or protection of a director or officer of this corporation existing at the time of, or increase the liability of any director or officer of this corporation with respect to any acts or omissions of such director or officer occurring prior to, such amendment, repeal, elimination or modification.</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177" w:lineRule="exact"/>
        <w:rPr>
          <w:sz w:val="20"/>
          <w:szCs w:val="20"/>
          <w:color w:val="auto"/>
        </w:rPr>
      </w:pPr>
    </w:p>
    <w:p>
      <w:pPr>
        <w:ind w:left="220" w:right="439" w:firstLine="342"/>
        <w:spacing w:after="0" w:line="266" w:lineRule="auto"/>
        <w:rPr>
          <w:sz w:val="20"/>
          <w:szCs w:val="20"/>
          <w:color w:val="auto"/>
        </w:rPr>
      </w:pPr>
      <w:r>
        <w:rPr>
          <w:rFonts w:ascii="Times New Roman" w:cs="Times New Roman" w:eastAsia="Times New Roman" w:hAnsi="Times New Roman"/>
          <w:sz w:val="14"/>
          <w:szCs w:val="14"/>
          <w:color w:val="auto"/>
        </w:rPr>
        <w:t>This corporation reserves the right to amend, alter, change or repeal any provision contained in this Restated Certificate of Incorporation, in the manner now or hereafter prescribed by statute, and, subject to the requirements of Section 6 of Article IV(B) hereof, all rights conferred upon stockholders herein are granted subject to this reservation.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177"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w:t>
      </w:r>
    </w:p>
    <w:p>
      <w:pPr>
        <w:spacing w:after="0" w:line="139"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Any amendment, repeal, elimination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354" w:name="page355"/>
    <w:bookmarkEnd w:id="3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XII</w:t>
      </w:r>
    </w:p>
    <w:p>
      <w:pPr>
        <w:spacing w:after="0" w:line="177" w:lineRule="exact"/>
        <w:rPr>
          <w:sz w:val="20"/>
          <w:szCs w:val="20"/>
          <w:color w:val="auto"/>
        </w:rPr>
      </w:pPr>
    </w:p>
    <w:p>
      <w:pPr>
        <w:ind w:left="220" w:right="499" w:firstLine="342"/>
        <w:spacing w:after="0" w:line="277" w:lineRule="auto"/>
        <w:rPr>
          <w:sz w:val="20"/>
          <w:szCs w:val="20"/>
          <w:color w:val="auto"/>
        </w:rPr>
      </w:pPr>
      <w:r>
        <w:rPr>
          <w:rFonts w:ascii="Times New Roman" w:cs="Times New Roman" w:eastAsia="Times New Roman" w:hAnsi="Times New Roman"/>
          <w:sz w:val="13"/>
          <w:szCs w:val="13"/>
          <w:color w:val="auto"/>
        </w:rPr>
        <w:t>This corporation renounces any interest or expectancy of this corporation in, or in being offered an opportunity to participate in, any Excluded Opportunity. An “</w:t>
      </w:r>
      <w:r>
        <w:rPr>
          <w:rFonts w:ascii="Times New Roman" w:cs="Times New Roman" w:eastAsia="Times New Roman" w:hAnsi="Times New Roman"/>
          <w:sz w:val="13"/>
          <w:szCs w:val="13"/>
          <w:u w:val="single" w:color="auto"/>
          <w:color w:val="auto"/>
        </w:rPr>
        <w:t>Excluded Opportunity</w:t>
      </w:r>
      <w:r>
        <w:rPr>
          <w:rFonts w:ascii="Times New Roman" w:cs="Times New Roman" w:eastAsia="Times New Roman" w:hAnsi="Times New Roman"/>
          <w:sz w:val="13"/>
          <w:szCs w:val="13"/>
          <w:color w:val="auto"/>
        </w:rPr>
        <w:t>” is any matter, transaction or interest that is presented to, or acquired, created or developed by, or which otherwise comes into the possession of, (i) any director of this corporation who is not an employee of this corporation or any of its subsidiaries, or</w:t>
      </w:r>
    </w:p>
    <w:p>
      <w:pPr>
        <w:spacing w:after="0" w:line="1" w:lineRule="exact"/>
        <w:rPr>
          <w:sz w:val="20"/>
          <w:szCs w:val="20"/>
          <w:color w:val="auto"/>
        </w:rPr>
      </w:pPr>
    </w:p>
    <w:p>
      <w:pPr>
        <w:jc w:val="both"/>
        <w:ind w:left="220" w:right="339" w:firstLine="3"/>
        <w:spacing w:after="0" w:line="253" w:lineRule="auto"/>
        <w:tabs>
          <w:tab w:leader="none" w:pos="426"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of Preferred Stock or any partner, member, director, stockholder, employee or agent of any such holder, other than someone who is an employee of this corporation or any of its subsidiaries (collectively, “</w:t>
      </w:r>
      <w:r>
        <w:rPr>
          <w:rFonts w:ascii="Times New Roman" w:cs="Times New Roman" w:eastAsia="Times New Roman" w:hAnsi="Times New Roman"/>
          <w:sz w:val="14"/>
          <w:szCs w:val="14"/>
          <w:u w:val="single" w:color="auto"/>
          <w:color w:val="auto"/>
        </w:rPr>
        <w:t>Covered Persons</w:t>
      </w:r>
      <w:r>
        <w:rPr>
          <w:rFonts w:ascii="Times New Roman" w:cs="Times New Roman" w:eastAsia="Times New Roman" w:hAnsi="Times New Roman"/>
          <w:sz w:val="14"/>
          <w:szCs w:val="14"/>
          <w:color w:val="auto"/>
        </w:rPr>
        <w:t>”), unless such matter, transaction or interest is presented to, or acquired, created or developed by, or otherwise comes into the possession of, a Covered Person expressly and solely in such Covered Person’s capacity as a director of this corporation while such Covered Person is performing services in such capacity.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177" w:lineRule="exact"/>
        <w:rPr>
          <w:sz w:val="20"/>
          <w:szCs w:val="20"/>
          <w:color w:val="auto"/>
        </w:rPr>
      </w:pPr>
    </w:p>
    <w:p>
      <w:pPr>
        <w:ind w:left="220" w:right="259" w:firstLine="342"/>
        <w:spacing w:after="0" w:line="254" w:lineRule="auto"/>
        <w:rPr>
          <w:sz w:val="20"/>
          <w:szCs w:val="20"/>
          <w:color w:val="auto"/>
        </w:rPr>
      </w:pPr>
      <w:r>
        <w:rPr>
          <w:rFonts w:ascii="Times New Roman" w:cs="Times New Roman" w:eastAsia="Times New Roman" w:hAnsi="Times New Roman"/>
          <w:sz w:val="14"/>
          <w:szCs w:val="14"/>
          <w:color w:val="auto"/>
        </w:rPr>
        <w:t>In connection with repurchases by this corporation of its Common Stock (i) from employees, officers, directors, advisors, consultants or other persons performing services for this corporation or any subsidiary pursuant to agreements under which this corporation has the option to repurchase such shares at cost upon the occurrence of certain events, such as the termination of employment, (ii) issued to or held by employees, officers, directors or consultants of the corporation or its subsidiaries pursuant to rights of first refusal contained in agreements providing for such right or (iii) which are approved by the holders of a majority of the then outstanding shares of Preferred Stock,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XIV</w:t>
      </w:r>
    </w:p>
    <w:p>
      <w:pPr>
        <w:spacing w:after="0" w:line="177" w:lineRule="exact"/>
        <w:rPr>
          <w:sz w:val="20"/>
          <w:szCs w:val="20"/>
          <w:color w:val="auto"/>
        </w:rPr>
      </w:pPr>
    </w:p>
    <w:p>
      <w:pPr>
        <w:ind w:left="220" w:right="239" w:firstLine="342"/>
        <w:spacing w:after="0" w:line="272"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Forum Selection</w:t>
      </w:r>
      <w:r>
        <w:rPr>
          <w:rFonts w:ascii="Times New Roman" w:cs="Times New Roman" w:eastAsia="Times New Roman" w:hAnsi="Times New Roman"/>
          <w:sz w:val="13"/>
          <w:szCs w:val="13"/>
          <w:color w:val="auto"/>
        </w:rPr>
        <w:t>.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Restated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w:t>
      </w:r>
    </w:p>
    <w:p>
      <w:pPr>
        <w:spacing w:after="0" w:line="3" w:lineRule="exact"/>
        <w:rPr>
          <w:sz w:val="20"/>
          <w:szCs w:val="20"/>
          <w:color w:val="auto"/>
        </w:rPr>
      </w:pPr>
    </w:p>
    <w:p>
      <w:pPr>
        <w:jc w:val="both"/>
        <w:ind w:left="220" w:right="259" w:firstLine="3"/>
        <w:spacing w:after="0" w:line="255" w:lineRule="auto"/>
        <w:tabs>
          <w:tab w:leader="none" w:pos="488"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XIV.</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355" w:name="page356"/>
    <w:bookmarkEnd w:id="355"/>
    <w:p>
      <w:pPr>
        <w:ind w:left="220" w:right="299" w:firstLine="342"/>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B. </w:t>
      </w:r>
      <w:r>
        <w:rPr>
          <w:rFonts w:ascii="Times New Roman" w:cs="Times New Roman" w:eastAsia="Times New Roman" w:hAnsi="Times New Roman"/>
          <w:sz w:val="14"/>
          <w:szCs w:val="14"/>
          <w:u w:val="single" w:color="auto"/>
          <w:color w:val="auto"/>
        </w:rPr>
        <w:t>Personal Jurisdiction</w:t>
      </w:r>
      <w:r>
        <w:rPr>
          <w:rFonts w:ascii="Times New Roman" w:cs="Times New Roman" w:eastAsia="Times New Roman" w:hAnsi="Times New Roman"/>
          <w:sz w:val="14"/>
          <w:szCs w:val="14"/>
          <w:color w:val="auto"/>
        </w:rPr>
        <w:t>. If any action the subject matter of which is within the scope of Article XIV(A)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XIV(A) (an “FSC Enforcement Action”) and (ii) having service of process made upon such stockholder in any such FSC Enforcement Action by service upon such stockholder’s counsel in the Foreign Action as agent for such stockholder.</w:t>
      </w:r>
    </w:p>
    <w:p>
      <w:pPr>
        <w:spacing w:after="0" w:line="142"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Savings</w:t>
      </w:r>
      <w:r>
        <w:rPr>
          <w:rFonts w:ascii="Times New Roman" w:cs="Times New Roman" w:eastAsia="Times New Roman" w:hAnsi="Times New Roman"/>
          <w:sz w:val="14"/>
          <w:szCs w:val="14"/>
          <w:color w:val="auto"/>
        </w:rPr>
        <w:t>. If any provision or provisions of this Article XIV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XIV (including, without limitation, each portion of any sentence of this Article XIV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   *</w:t>
      </w:r>
    </w:p>
    <w:p>
      <w:pPr>
        <w:spacing w:after="0" w:line="173" w:lineRule="exact"/>
        <w:rPr>
          <w:sz w:val="20"/>
          <w:szCs w:val="20"/>
          <w:color w:val="auto"/>
        </w:rPr>
      </w:pPr>
    </w:p>
    <w:p>
      <w:pPr>
        <w:ind w:left="220" w:right="7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foregoing amendment and restatement was approved by the holders of the requisite number of shares of said corporation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Section 228 of the General Corporation Law.</w:t>
      </w:r>
    </w:p>
    <w:p>
      <w:pPr>
        <w:spacing w:after="0" w:line="121" w:lineRule="exact"/>
        <w:rPr>
          <w:sz w:val="20"/>
          <w:szCs w:val="20"/>
          <w:color w:val="auto"/>
        </w:rPr>
      </w:pPr>
    </w:p>
    <w:p>
      <w:pPr>
        <w:ind w:left="220" w:right="39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That said Restated Certificate of Incorporation, which restates and integrates and further amends the provisions of this corporation’s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Restated Certificate of Incorporation, has been duly adopted in accordance with Sections 242 and 245 of the General Corporation Law.</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356" w:name="page357"/>
    <w:bookmarkEnd w:id="356"/>
    <w:p>
      <w:pPr>
        <w:ind w:left="220" w:right="379" w:firstLine="342"/>
        <w:spacing w:after="0" w:line="30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this Restated Certificate of Incorporation has been executed by a duly authorized officer of this corporation on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13</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May, 2024.</w:t>
      </w:r>
    </w:p>
    <w:p>
      <w:pPr>
        <w:spacing w:after="0" w:line="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13970</wp:posOffset>
            </wp:positionV>
            <wp:extent cx="217233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Oguzhan Atay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9019"/>
          </w:cols>
          <w:pgMar w:left="1440" w:top="238" w:right="1440" w:bottom="1440" w:gutter="0" w:footer="0" w:header="0"/>
        </w:sectPr>
      </w:pPr>
    </w:p>
    <w:bookmarkStart w:id="357" w:name="page358"/>
    <w:bookmarkEnd w:id="357"/>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BYLAWS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BILLIONTOONE, INC.</w:t>
      </w:r>
    </w:p>
    <w:p>
      <w:pPr>
        <w:sectPr>
          <w:pgSz w:w="11900" w:h="16838" w:orient="portrait"/>
          <w:cols w:equalWidth="0" w:num="1">
            <w:col w:w="9019"/>
          </w:cols>
          <w:pgMar w:left="1440" w:top="123" w:right="1440" w:bottom="1440" w:gutter="0" w:footer="0" w:header="0"/>
        </w:sectPr>
      </w:pPr>
    </w:p>
    <w:bookmarkStart w:id="358" w:name="page359"/>
    <w:bookmarkEnd w:id="358"/>
    <w:tbl>
      <w:tblPr>
        <w:tblLayout w:type="fixed"/>
        <w:tblInd w:w="2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60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6"/>
                <w:szCs w:val="16"/>
                <w:color w:val="auto"/>
              </w:rPr>
            </w:pPr>
          </w:p>
        </w:tc>
      </w:tr>
      <w:tr>
        <w:trPr>
          <w:trHeight w:val="317"/>
        </w:trPr>
        <w:tc>
          <w:tcPr>
            <w:tcW w:w="6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2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MEETINGS OF STOCKHOLDERS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Place Of Meetings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Annual Meeting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Special Meeting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1.4</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Notice Of Stockholders’ Meetings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1.5</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Manner Of Giving Notice; Affidavit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Quorum</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1.7</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Adjourned Meeting;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1.8</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Organization; Conduct of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1.9</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Waiver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Stockholder Action By Written Consent Without A Meeting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Record Date For Stockholder Notice; Voting; Giving Consents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Proxies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7"/>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Powers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Number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Election, Qualification And Term Of Office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2.4</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Resignation And Vacancies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2.5</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Place Of Meetings; Meetings By Telephone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2.6</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Regular Meetings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Special Meetings;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2.8</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Quorum</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Waiver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2.10</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Board Action By Written Consent Without A Meeting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Fees And Compensation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Approval Of Loans To 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Removal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2.14</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7"/>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COMMITTEES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Committees Of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Committee Minutes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Meetings And Action Of Committees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7"/>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Appointment Of 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Subordinate 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4.4</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Removal And Resignation Of Officers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Vacancies In Offices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4.6</w:t>
            </w:r>
          </w:p>
        </w:tc>
        <w:tc>
          <w:tcPr>
            <w:tcW w:w="6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jc w:val="right"/>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359" w:name="page360"/>
    <w:bookmarkEnd w:id="359"/>
    <w:tbl>
      <w:tblPr>
        <w:tblLayout w:type="fixed"/>
        <w:tblInd w:w="22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600" w:type="dxa"/>
            <w:vAlign w:val="bottom"/>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320" w:type="dxa"/>
            <w:vAlign w:val="bottom"/>
          </w:tcPr>
          <w:p>
            <w:pPr>
              <w:spacing w:after="0"/>
              <w:rPr>
                <w:sz w:val="14"/>
                <w:szCs w:val="14"/>
                <w:color w:val="auto"/>
              </w:rPr>
            </w:pPr>
          </w:p>
        </w:tc>
      </w:tr>
      <w:tr>
        <w:trPr>
          <w:trHeight w:val="183"/>
        </w:trPr>
        <w:tc>
          <w:tcPr>
            <w:tcW w:w="600" w:type="dxa"/>
            <w:vAlign w:val="bottom"/>
          </w:tcPr>
          <w:p>
            <w:pPr>
              <w:spacing w:after="0"/>
              <w:rPr>
                <w:sz w:val="15"/>
                <w:szCs w:val="15"/>
                <w:color w:val="auto"/>
              </w:rPr>
            </w:pPr>
          </w:p>
        </w:tc>
        <w:tc>
          <w:tcPr>
            <w:tcW w:w="66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9"/>
              </w:rPr>
              <w:t>(continued)</w:t>
            </w:r>
          </w:p>
        </w:tc>
        <w:tc>
          <w:tcPr>
            <w:tcW w:w="1320" w:type="dxa"/>
            <w:vAlign w:val="bottom"/>
          </w:tcPr>
          <w:p>
            <w:pPr>
              <w:spacing w:after="0"/>
              <w:rPr>
                <w:sz w:val="15"/>
                <w:szCs w:val="15"/>
                <w:color w:val="auto"/>
              </w:rPr>
            </w:pPr>
          </w:p>
        </w:tc>
      </w:tr>
      <w:tr>
        <w:trPr>
          <w:trHeight w:val="216"/>
        </w:trPr>
        <w:tc>
          <w:tcPr>
            <w:tcW w:w="6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4.8</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4.9</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Secretary</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4.10</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4.11</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Treasurer</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4.12</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Representation Of Shares Of Other Corporations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4.13</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Authority And Duties Of Officers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7"/>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INDEMNIFICATION OF DIRECTORS, OFFICERS, EMPLOYEES, AND OTHER AGENTS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5.1</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Indemnification Of Directors And Officers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5.2</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Indemnification Of Others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5.3</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 Of Expenses In Advance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5.4</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Indemnity Not Exclusive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5.5</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Insurance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5.6</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Conflicts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7"/>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RECORDS AND REPORTS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6.1</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Maintenance And Inspection Of Records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6.2</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Inspection By Directors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7"/>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GENERAL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7.2</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Execution Of Corporate Contracts And Instruments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7.3</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Certificates and Notices; Uncertificated Stock; Partly Paid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7.4</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Special Designation On Certificates and Notices of Uncertificated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7.5</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Lost Certificates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7.6</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Construction; Definitions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7.7</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Dividends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7.8</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Fiscal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7.9</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Transfer Of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7.10</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Transfer Agreements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7.11</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Stockholders of Record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3"/>
        </w:trPr>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7.12</w:t>
            </w:r>
          </w:p>
        </w:tc>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Facsimile Signature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AMENDMENTS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83"/>
        </w:trPr>
        <w:tc>
          <w:tcPr>
            <w:tcW w:w="600" w:type="dxa"/>
            <w:vAlign w:val="bottom"/>
          </w:tcPr>
          <w:p>
            <w:pPr>
              <w:spacing w:after="0"/>
              <w:rPr>
                <w:sz w:val="24"/>
                <w:szCs w:val="24"/>
                <w:color w:val="auto"/>
              </w:rPr>
            </w:pPr>
          </w:p>
        </w:tc>
        <w:tc>
          <w:tcPr>
            <w:tcW w:w="66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3"/>
              </w:rPr>
              <w:t>-ii-</w:t>
            </w: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360" w:name="page361"/>
    <w:bookmarkEnd w:id="36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MEETINGS OF STOCKHOLDERS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b w:val="1"/>
          <w:bCs w:val="1"/>
          <w:u w:val="single" w:color="auto"/>
          <w:color w:val="auto"/>
        </w:rPr>
        <w:t>Place Of Meetings</w:t>
      </w:r>
    </w:p>
    <w:p>
      <w:pPr>
        <w:spacing w:after="0" w:line="93" w:lineRule="exact"/>
        <w:rPr>
          <w:sz w:val="20"/>
          <w:szCs w:val="20"/>
          <w:color w:val="auto"/>
        </w:rPr>
      </w:pPr>
    </w:p>
    <w:p>
      <w:pPr>
        <w:ind w:left="220" w:right="399" w:firstLine="771"/>
        <w:spacing w:after="0" w:line="282" w:lineRule="auto"/>
        <w:rPr>
          <w:sz w:val="20"/>
          <w:szCs w:val="20"/>
          <w:color w:val="auto"/>
        </w:rPr>
      </w:pPr>
      <w:r>
        <w:rPr>
          <w:rFonts w:ascii="Times New Roman" w:cs="Times New Roman" w:eastAsia="Times New Roman" w:hAnsi="Times New Roman"/>
          <w:sz w:val="14"/>
          <w:szCs w:val="14"/>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b w:val="1"/>
          <w:bCs w:val="1"/>
          <w:u w:val="single" w:color="auto"/>
          <w:color w:val="auto"/>
        </w:rPr>
        <w:t>Annual Meeting</w:t>
      </w:r>
    </w:p>
    <w:p>
      <w:pPr>
        <w:spacing w:after="0" w:line="93" w:lineRule="exact"/>
        <w:rPr>
          <w:sz w:val="20"/>
          <w:szCs w:val="20"/>
          <w:color w:val="auto"/>
        </w:rPr>
      </w:pPr>
    </w:p>
    <w:p>
      <w:pPr>
        <w:ind w:left="220" w:right="279" w:firstLine="771"/>
        <w:spacing w:after="0" w:line="322" w:lineRule="auto"/>
        <w:rPr>
          <w:sz w:val="20"/>
          <w:szCs w:val="20"/>
          <w:color w:val="auto"/>
        </w:rPr>
      </w:pPr>
      <w:r>
        <w:rPr>
          <w:rFonts w:ascii="Times New Roman" w:cs="Times New Roman" w:eastAsia="Times New Roman" w:hAnsi="Times New Roman"/>
          <w:sz w:val="13"/>
          <w:szCs w:val="13"/>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21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b w:val="1"/>
          <w:bCs w:val="1"/>
          <w:u w:val="single" w:color="auto"/>
          <w:color w:val="auto"/>
        </w:rPr>
        <w:t>Special Meeting</w:t>
      </w:r>
    </w:p>
    <w:p>
      <w:pPr>
        <w:spacing w:after="0" w:line="93" w:lineRule="exact"/>
        <w:rPr>
          <w:sz w:val="20"/>
          <w:szCs w:val="20"/>
          <w:color w:val="auto"/>
        </w:rPr>
      </w:pPr>
    </w:p>
    <w:p>
      <w:pPr>
        <w:ind w:left="220" w:right="259" w:firstLine="771"/>
        <w:spacing w:after="0" w:line="322" w:lineRule="auto"/>
        <w:rPr>
          <w:sz w:val="20"/>
          <w:szCs w:val="20"/>
          <w:color w:val="auto"/>
        </w:rPr>
      </w:pPr>
      <w:r>
        <w:rPr>
          <w:rFonts w:ascii="Times New Roman" w:cs="Times New Roman" w:eastAsia="Times New Roman" w:hAnsi="Times New Roman"/>
          <w:sz w:val="13"/>
          <w:szCs w:val="13"/>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pacing w:after="0" w:line="103" w:lineRule="exact"/>
        <w:rPr>
          <w:sz w:val="20"/>
          <w:szCs w:val="20"/>
          <w:color w:val="auto"/>
        </w:rPr>
      </w:pPr>
    </w:p>
    <w:p>
      <w:pPr>
        <w:ind w:left="220" w:right="279" w:firstLine="771"/>
        <w:spacing w:after="0" w:line="276" w:lineRule="auto"/>
        <w:rPr>
          <w:sz w:val="20"/>
          <w:szCs w:val="20"/>
          <w:color w:val="auto"/>
        </w:rPr>
      </w:pPr>
      <w:r>
        <w:rPr>
          <w:rFonts w:ascii="Times New Roman" w:cs="Times New Roman" w:eastAsia="Times New Roman" w:hAnsi="Times New Roman"/>
          <w:sz w:val="13"/>
          <w:szCs w:val="13"/>
          <w:color w:val="auto"/>
        </w:rPr>
        <w:t>If a special meeting is called by any person or persons other than the Board of Directors, the chairman of the board, the chief executive officer or the president, the request shall be in writing, specifying the time of such meeting and the general nature of the business proposed to be transacted, and shall be delivered personally or sent by registered mail or by telegraphic or other facsimile or electronic transmission to the chairman of the board, the chief executive officer, the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1.4 and 1.5 of this Article 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1.3 shall be construed as limiting, fixing, or affecting the time when a meeting of stockholders called by action of the Board of Directors may be held.</w:t>
      </w:r>
    </w:p>
    <w:p>
      <w:pPr>
        <w:sectPr>
          <w:pgSz w:w="11900" w:h="16838" w:orient="portrait"/>
          <w:cols w:equalWidth="0" w:num="1">
            <w:col w:w="9019"/>
          </w:cols>
          <w:pgMar w:left="1440" w:top="238" w:right="1440" w:bottom="1440" w:gutter="0" w:footer="0" w:header="0"/>
        </w:sectPr>
      </w:pPr>
    </w:p>
    <w:bookmarkStart w:id="361" w:name="page362"/>
    <w:bookmarkEnd w:id="361"/>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3"/>
          <w:szCs w:val="13"/>
          <w:b w:val="1"/>
          <w:bCs w:val="1"/>
          <w:u w:val="single" w:color="auto"/>
          <w:color w:val="auto"/>
        </w:rPr>
        <w:t>Notice Of Stockholders’ Meetings</w:t>
      </w:r>
    </w:p>
    <w:p>
      <w:pPr>
        <w:spacing w:after="0" w:line="93" w:lineRule="exact"/>
        <w:rPr>
          <w:sz w:val="20"/>
          <w:szCs w:val="20"/>
          <w:color w:val="auto"/>
        </w:rPr>
      </w:pPr>
    </w:p>
    <w:p>
      <w:pPr>
        <w:ind w:left="220" w:right="339" w:firstLine="771"/>
        <w:spacing w:after="0" w:line="261" w:lineRule="auto"/>
        <w:rPr>
          <w:sz w:val="20"/>
          <w:szCs w:val="20"/>
          <w:color w:val="auto"/>
        </w:rPr>
      </w:pPr>
      <w:r>
        <w:rPr>
          <w:rFonts w:ascii="Times New Roman" w:cs="Times New Roman" w:eastAsia="Times New Roman" w:hAnsi="Times New Roman"/>
          <w:sz w:val="14"/>
          <w:szCs w:val="14"/>
          <w:color w:val="auto"/>
        </w:rPr>
        <w:t>All notices of meetings with stockholders shall be in writing and shall be sent or otherwise given in accordance with Section 1.5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b w:val="1"/>
          <w:bCs w:val="1"/>
          <w:u w:val="single" w:color="auto"/>
          <w:color w:val="auto"/>
        </w:rPr>
        <w:t>Manner Of Giving Notice; Affidavit Of Notice</w:t>
      </w:r>
    </w:p>
    <w:p>
      <w:pPr>
        <w:spacing w:after="0" w:line="93" w:lineRule="exact"/>
        <w:rPr>
          <w:sz w:val="20"/>
          <w:szCs w:val="20"/>
          <w:color w:val="auto"/>
        </w:rPr>
      </w:pPr>
    </w:p>
    <w:p>
      <w:pPr>
        <w:ind w:left="220" w:right="379" w:firstLine="771"/>
        <w:spacing w:after="0" w:line="258" w:lineRule="auto"/>
        <w:rPr>
          <w:sz w:val="20"/>
          <w:szCs w:val="20"/>
          <w:color w:val="auto"/>
        </w:rPr>
      </w:pPr>
      <w:r>
        <w:rPr>
          <w:rFonts w:ascii="Times New Roman" w:cs="Times New Roman" w:eastAsia="Times New Roman" w:hAnsi="Times New Roman"/>
          <w:sz w:val="14"/>
          <w:szCs w:val="14"/>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b w:val="1"/>
          <w:bCs w:val="1"/>
          <w:u w:val="single" w:color="auto"/>
          <w:color w:val="auto"/>
        </w:rPr>
        <w:t>Quorum</w:t>
      </w:r>
    </w:p>
    <w:p>
      <w:pPr>
        <w:spacing w:after="0" w:line="93" w:lineRule="exact"/>
        <w:rPr>
          <w:sz w:val="20"/>
          <w:szCs w:val="20"/>
          <w:color w:val="auto"/>
        </w:rPr>
      </w:pPr>
    </w:p>
    <w:p>
      <w:pPr>
        <w:ind w:left="220" w:right="259" w:firstLine="771"/>
        <w:spacing w:after="0" w:line="258" w:lineRule="auto"/>
        <w:rPr>
          <w:sz w:val="20"/>
          <w:szCs w:val="20"/>
          <w:color w:val="auto"/>
        </w:rPr>
      </w:pPr>
      <w:r>
        <w:rPr>
          <w:rFonts w:ascii="Times New Roman" w:cs="Times New Roman" w:eastAsia="Times New Roman" w:hAnsi="Times New Roman"/>
          <w:sz w:val="14"/>
          <w:szCs w:val="14"/>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3"/>
          <w:szCs w:val="13"/>
          <w:b w:val="1"/>
          <w:bCs w:val="1"/>
          <w:u w:val="single" w:color="auto"/>
          <w:color w:val="auto"/>
        </w:rPr>
        <w:t>Adjourned Meeting; Notice</w:t>
      </w:r>
    </w:p>
    <w:p>
      <w:pPr>
        <w:spacing w:after="0" w:line="93" w:lineRule="exact"/>
        <w:rPr>
          <w:sz w:val="20"/>
          <w:szCs w:val="20"/>
          <w:color w:val="auto"/>
        </w:rPr>
      </w:pPr>
    </w:p>
    <w:p>
      <w:pPr>
        <w:jc w:val="both"/>
        <w:ind w:left="220" w:right="259" w:firstLine="771"/>
        <w:spacing w:after="0" w:line="255" w:lineRule="auto"/>
        <w:rPr>
          <w:sz w:val="20"/>
          <w:szCs w:val="20"/>
          <w:color w:val="auto"/>
        </w:rPr>
      </w:pPr>
      <w:r>
        <w:rPr>
          <w:rFonts w:ascii="Times New Roman" w:cs="Times New Roman" w:eastAsia="Times New Roman" w:hAnsi="Times New Roman"/>
          <w:sz w:val="14"/>
          <w:szCs w:val="14"/>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25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b w:val="1"/>
          <w:bCs w:val="1"/>
          <w:u w:val="single" w:color="auto"/>
          <w:color w:val="auto"/>
        </w:rPr>
        <w:t>Organization; Conduct of Business</w:t>
      </w:r>
    </w:p>
    <w:p>
      <w:pPr>
        <w:spacing w:after="0" w:line="93" w:lineRule="exact"/>
        <w:rPr>
          <w:sz w:val="20"/>
          <w:szCs w:val="20"/>
          <w:color w:val="auto"/>
        </w:rPr>
      </w:pPr>
    </w:p>
    <w:p>
      <w:pPr>
        <w:ind w:left="220" w:right="339" w:firstLine="773"/>
        <w:spacing w:after="0" w:line="261" w:lineRule="auto"/>
        <w:tabs>
          <w:tab w:leader="none" w:pos="1181"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as the Board of Directors may have designated or, in the absence of such a person, the chief executive officer, or in his or her absence, the president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362" w:name="page363"/>
    <w:bookmarkEnd w:id="362"/>
    <w:p>
      <w:pPr>
        <w:ind w:left="220" w:right="419" w:firstLine="773"/>
        <w:spacing w:after="0" w:line="266" w:lineRule="auto"/>
        <w:tabs>
          <w:tab w:leader="none" w:pos="1189"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3"/>
          <w:szCs w:val="13"/>
          <w:b w:val="1"/>
          <w:bCs w:val="1"/>
          <w:u w:val="single" w:color="auto"/>
          <w:color w:val="auto"/>
        </w:rPr>
        <w:t>Voting</w:t>
      </w:r>
    </w:p>
    <w:p>
      <w:pPr>
        <w:spacing w:after="0" w:line="93" w:lineRule="exact"/>
        <w:rPr>
          <w:sz w:val="20"/>
          <w:szCs w:val="20"/>
          <w:color w:val="auto"/>
        </w:rPr>
      </w:pPr>
    </w:p>
    <w:p>
      <w:pPr>
        <w:ind w:left="220" w:right="359" w:firstLine="771"/>
        <w:spacing w:after="0" w:line="266" w:lineRule="auto"/>
        <w:rPr>
          <w:sz w:val="20"/>
          <w:szCs w:val="20"/>
          <w:color w:val="auto"/>
        </w:rPr>
      </w:pPr>
      <w:r>
        <w:rPr>
          <w:rFonts w:ascii="Times New Roman" w:cs="Times New Roman" w:eastAsia="Times New Roman" w:hAnsi="Times New Roman"/>
          <w:sz w:val="14"/>
          <w:szCs w:val="14"/>
          <w:color w:val="auto"/>
        </w:rPr>
        <w:t>The stockholders entitled to vote at any meeting of stockholders shall be determined in accordance with the provisions of Section 1.12 of these Bylaws, subject to the provisions of Sections 217 and 218 of the General Corporation Law of Delaware (relating to voting rights of fiduciaries, pledgors and joint owners of stock and to voting trusts and other voting agreements).</w:t>
      </w:r>
    </w:p>
    <w:p>
      <w:pPr>
        <w:spacing w:after="0" w:line="136" w:lineRule="exact"/>
        <w:rPr>
          <w:sz w:val="20"/>
          <w:szCs w:val="20"/>
          <w:color w:val="auto"/>
        </w:rPr>
      </w:pPr>
    </w:p>
    <w:p>
      <w:pPr>
        <w:jc w:val="both"/>
        <w:ind w:left="220" w:right="479" w:firstLine="771"/>
        <w:spacing w:after="0" w:line="266" w:lineRule="auto"/>
        <w:rPr>
          <w:sz w:val="20"/>
          <w:szCs w:val="20"/>
          <w:color w:val="auto"/>
        </w:rPr>
      </w:pPr>
      <w:r>
        <w:rPr>
          <w:rFonts w:ascii="Times New Roman" w:cs="Times New Roman" w:eastAsia="Times New Roman" w:hAnsi="Times New Roman"/>
          <w:sz w:val="14"/>
          <w:szCs w:val="14"/>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3"/>
          <w:szCs w:val="13"/>
          <w:b w:val="1"/>
          <w:bCs w:val="1"/>
          <w:u w:val="single" w:color="auto"/>
          <w:color w:val="auto"/>
        </w:rPr>
        <w:t>Waiver Of Notice</w:t>
      </w:r>
    </w:p>
    <w:p>
      <w:pPr>
        <w:spacing w:after="0" w:line="93" w:lineRule="exact"/>
        <w:rPr>
          <w:sz w:val="20"/>
          <w:szCs w:val="20"/>
          <w:color w:val="auto"/>
        </w:rPr>
      </w:pPr>
    </w:p>
    <w:p>
      <w:pPr>
        <w:ind w:left="220" w:right="399" w:firstLine="771"/>
        <w:spacing w:after="0" w:line="255" w:lineRule="auto"/>
        <w:rPr>
          <w:sz w:val="20"/>
          <w:szCs w:val="20"/>
          <w:color w:val="auto"/>
        </w:rPr>
      </w:pPr>
      <w:r>
        <w:rPr>
          <w:rFonts w:ascii="Times New Roman" w:cs="Times New Roman" w:eastAsia="Times New Roman" w:hAnsi="Times New Roman"/>
          <w:sz w:val="14"/>
          <w:szCs w:val="14"/>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25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3"/>
          <w:szCs w:val="13"/>
          <w:b w:val="1"/>
          <w:bCs w:val="1"/>
          <w:u w:val="single" w:color="auto"/>
          <w:color w:val="auto"/>
        </w:rPr>
        <w:t>Stockholder Action By Written Consent Without A Meeting</w:t>
      </w:r>
    </w:p>
    <w:p>
      <w:pPr>
        <w:spacing w:after="0" w:line="93" w:lineRule="exact"/>
        <w:rPr>
          <w:sz w:val="20"/>
          <w:szCs w:val="20"/>
          <w:color w:val="auto"/>
        </w:rPr>
      </w:pPr>
    </w:p>
    <w:p>
      <w:pPr>
        <w:ind w:left="220" w:right="299" w:firstLine="771"/>
        <w:spacing w:after="0" w:line="282" w:lineRule="auto"/>
        <w:rPr>
          <w:sz w:val="20"/>
          <w:szCs w:val="20"/>
          <w:color w:val="auto"/>
        </w:rPr>
      </w:pPr>
      <w:r>
        <w:rPr>
          <w:rFonts w:ascii="Times New Roman" w:cs="Times New Roman" w:eastAsia="Times New Roman" w:hAnsi="Times New Roman"/>
          <w:sz w:val="13"/>
          <w:szCs w:val="13"/>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63" w:name="page364"/>
    <w:bookmarkEnd w:id="363"/>
    <w:p>
      <w:pPr>
        <w:ind w:left="220" w:right="359" w:firstLine="77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146" w:lineRule="exact"/>
        <w:rPr>
          <w:sz w:val="20"/>
          <w:szCs w:val="20"/>
          <w:color w:val="auto"/>
        </w:rPr>
      </w:pPr>
    </w:p>
    <w:p>
      <w:pPr>
        <w:jc w:val="both"/>
        <w:ind w:left="220" w:right="319" w:firstLine="771"/>
        <w:spacing w:after="0" w:line="266" w:lineRule="auto"/>
        <w:rPr>
          <w:sz w:val="20"/>
          <w:szCs w:val="20"/>
          <w:color w:val="auto"/>
        </w:rPr>
      </w:pPr>
      <w:r>
        <w:rPr>
          <w:rFonts w:ascii="Times New Roman" w:cs="Times New Roman" w:eastAsia="Times New Roman" w:hAnsi="Times New Roman"/>
          <w:sz w:val="14"/>
          <w:szCs w:val="14"/>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36" w:lineRule="exact"/>
        <w:rPr>
          <w:sz w:val="20"/>
          <w:szCs w:val="20"/>
          <w:color w:val="auto"/>
        </w:rPr>
      </w:pPr>
    </w:p>
    <w:p>
      <w:pPr>
        <w:ind w:left="220" w:right="239" w:firstLine="771"/>
        <w:spacing w:after="0" w:line="256" w:lineRule="auto"/>
        <w:rPr>
          <w:sz w:val="20"/>
          <w:szCs w:val="20"/>
          <w:color w:val="auto"/>
        </w:rPr>
      </w:pPr>
      <w:r>
        <w:rPr>
          <w:rFonts w:ascii="Times New Roman" w:cs="Times New Roman" w:eastAsia="Times New Roman" w:hAnsi="Times New Roman"/>
          <w:sz w:val="14"/>
          <w:szCs w:val="14"/>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258"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b w:val="1"/>
          <w:bCs w:val="1"/>
          <w:u w:val="single" w:color="auto"/>
          <w:color w:val="auto"/>
        </w:rPr>
        <w:t>Record Date For Stockholder Notice; Voting; Giving Consents</w:t>
      </w:r>
    </w:p>
    <w:p>
      <w:pPr>
        <w:spacing w:after="0" w:line="93" w:lineRule="exact"/>
        <w:rPr>
          <w:sz w:val="20"/>
          <w:szCs w:val="20"/>
          <w:color w:val="auto"/>
        </w:rPr>
      </w:pPr>
    </w:p>
    <w:p>
      <w:pPr>
        <w:ind w:left="220" w:right="439" w:firstLine="771"/>
        <w:spacing w:after="0" w:line="258" w:lineRule="auto"/>
        <w:rPr>
          <w:sz w:val="20"/>
          <w:szCs w:val="20"/>
          <w:color w:val="auto"/>
        </w:rPr>
      </w:pPr>
      <w:r>
        <w:rPr>
          <w:rFonts w:ascii="Times New Roman" w:cs="Times New Roman" w:eastAsia="Times New Roman" w:hAnsi="Times New Roman"/>
          <w:sz w:val="14"/>
          <w:szCs w:val="14"/>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If the Board of Directors does not so fix a record date:</w:t>
      </w:r>
    </w:p>
    <w:p>
      <w:pPr>
        <w:spacing w:after="0" w:line="91" w:lineRule="exact"/>
        <w:rPr>
          <w:sz w:val="20"/>
          <w:szCs w:val="20"/>
          <w:color w:val="auto"/>
        </w:rPr>
      </w:pPr>
    </w:p>
    <w:p>
      <w:pPr>
        <w:ind w:left="220" w:right="259" w:firstLine="773"/>
        <w:spacing w:after="0" w:line="266" w:lineRule="auto"/>
        <w:tabs>
          <w:tab w:leader="none" w:pos="1181"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6" w:lineRule="exact"/>
        <w:rPr>
          <w:rFonts w:ascii="Times New Roman" w:cs="Times New Roman" w:eastAsia="Times New Roman" w:hAnsi="Times New Roman"/>
          <w:sz w:val="14"/>
          <w:szCs w:val="14"/>
          <w:color w:val="auto"/>
        </w:rPr>
      </w:pPr>
    </w:p>
    <w:p>
      <w:pPr>
        <w:ind w:left="220" w:right="299" w:firstLine="773"/>
        <w:spacing w:after="0" w:line="266" w:lineRule="auto"/>
        <w:tabs>
          <w:tab w:leader="none" w:pos="118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64" w:name="page365"/>
    <w:bookmarkEnd w:id="364"/>
    <w:p>
      <w:pPr>
        <w:ind w:left="220" w:right="379" w:firstLine="773"/>
        <w:spacing w:after="0" w:line="282" w:lineRule="auto"/>
        <w:tabs>
          <w:tab w:leader="none" w:pos="1181"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record date for determining stockholders for any other purpose shall be at the close of business on the day on which the Board of Directors adopts the resolution relating thereto.</w:t>
      </w:r>
    </w:p>
    <w:p>
      <w:pPr>
        <w:spacing w:after="0" w:line="125" w:lineRule="exact"/>
        <w:rPr>
          <w:sz w:val="20"/>
          <w:szCs w:val="20"/>
          <w:color w:val="auto"/>
        </w:rPr>
      </w:pPr>
    </w:p>
    <w:p>
      <w:pPr>
        <w:ind w:left="220" w:right="239" w:firstLine="771"/>
        <w:spacing w:after="0" w:line="266" w:lineRule="auto"/>
        <w:rPr>
          <w:sz w:val="20"/>
          <w:szCs w:val="20"/>
          <w:color w:val="auto"/>
        </w:rPr>
      </w:pPr>
      <w:r>
        <w:rPr>
          <w:rFonts w:ascii="Times New Roman" w:cs="Times New Roman" w:eastAsia="Times New Roman" w:hAnsi="Times New Roman"/>
          <w:sz w:val="14"/>
          <w:szCs w:val="14"/>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3"/>
          <w:szCs w:val="13"/>
          <w:b w:val="1"/>
          <w:bCs w:val="1"/>
          <w:u w:val="single" w:color="auto"/>
          <w:color w:val="auto"/>
        </w:rPr>
        <w:t>Proxies</w:t>
      </w:r>
    </w:p>
    <w:p>
      <w:pPr>
        <w:spacing w:after="0" w:line="93" w:lineRule="exact"/>
        <w:rPr>
          <w:sz w:val="20"/>
          <w:szCs w:val="20"/>
          <w:color w:val="auto"/>
        </w:rPr>
      </w:pPr>
    </w:p>
    <w:p>
      <w:pPr>
        <w:ind w:left="220" w:right="379" w:firstLine="771"/>
        <w:spacing w:after="0" w:line="280" w:lineRule="auto"/>
        <w:rPr>
          <w:sz w:val="20"/>
          <w:szCs w:val="20"/>
          <w:color w:val="auto"/>
        </w:rPr>
      </w:pPr>
      <w:r>
        <w:rPr>
          <w:rFonts w:ascii="Times New Roman" w:cs="Times New Roman" w:eastAsia="Times New Roman" w:hAnsi="Times New Roman"/>
          <w:sz w:val="13"/>
          <w:szCs w:val="13"/>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9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u w:val="single" w:color="auto"/>
          <w:color w:val="auto"/>
        </w:rPr>
        <w:t>DIRECTORS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b w:val="1"/>
          <w:bCs w:val="1"/>
          <w:u w:val="single" w:color="auto"/>
          <w:color w:val="auto"/>
        </w:rPr>
        <w:t>Powers</w:t>
      </w:r>
    </w:p>
    <w:p>
      <w:pPr>
        <w:spacing w:after="0" w:line="93" w:lineRule="exact"/>
        <w:rPr>
          <w:sz w:val="20"/>
          <w:szCs w:val="20"/>
          <w:color w:val="auto"/>
        </w:rPr>
      </w:pPr>
    </w:p>
    <w:p>
      <w:pPr>
        <w:ind w:left="220" w:right="419" w:firstLine="771"/>
        <w:spacing w:after="0" w:line="266" w:lineRule="auto"/>
        <w:rPr>
          <w:sz w:val="20"/>
          <w:szCs w:val="20"/>
          <w:color w:val="auto"/>
        </w:rPr>
      </w:pPr>
      <w:r>
        <w:rPr>
          <w:rFonts w:ascii="Times New Roman" w:cs="Times New Roman" w:eastAsia="Times New Roman" w:hAnsi="Times New Roman"/>
          <w:sz w:val="14"/>
          <w:szCs w:val="14"/>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b w:val="1"/>
          <w:bCs w:val="1"/>
          <w:u w:val="single" w:color="auto"/>
          <w:color w:val="auto"/>
        </w:rPr>
        <w:t>Number Of Directors</w:t>
      </w:r>
    </w:p>
    <w:p>
      <w:pPr>
        <w:spacing w:after="0" w:line="93" w:lineRule="exact"/>
        <w:rPr>
          <w:sz w:val="20"/>
          <w:szCs w:val="20"/>
          <w:color w:val="auto"/>
        </w:rPr>
      </w:pPr>
    </w:p>
    <w:p>
      <w:pPr>
        <w:jc w:val="both"/>
        <w:ind w:left="220" w:right="359" w:firstLine="771"/>
        <w:spacing w:after="0" w:line="266" w:lineRule="auto"/>
        <w:rPr>
          <w:sz w:val="20"/>
          <w:szCs w:val="20"/>
          <w:color w:val="auto"/>
        </w:rPr>
      </w:pPr>
      <w:r>
        <w:rPr>
          <w:rFonts w:ascii="Times New Roman" w:cs="Times New Roman" w:eastAsia="Times New Roman" w:hAnsi="Times New Roman"/>
          <w:sz w:val="14"/>
          <w:szCs w:val="14"/>
          <w:color w:val="auto"/>
        </w:rPr>
        <w:t>The Board of Directors shall consist of one or more members. This number may be set or changed by a resolution of the Incorporator, of the Board of Directors or of the stockholders, subject to Section 2.4 of these Bylaws. No reduction of the authorized number of directors shall have the effect of removing any director before such director’s term of office expires.</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b w:val="1"/>
          <w:bCs w:val="1"/>
          <w:u w:val="single" w:color="auto"/>
          <w:color w:val="auto"/>
        </w:rPr>
        <w:t>Election, Qualification And Term Of Office Of Directors</w:t>
      </w:r>
    </w:p>
    <w:p>
      <w:pPr>
        <w:spacing w:after="0" w:line="93" w:lineRule="exact"/>
        <w:rPr>
          <w:sz w:val="20"/>
          <w:szCs w:val="20"/>
          <w:color w:val="auto"/>
        </w:rPr>
      </w:pPr>
    </w:p>
    <w:p>
      <w:pPr>
        <w:ind w:left="220" w:right="299" w:firstLine="771"/>
        <w:spacing w:after="0" w:line="261" w:lineRule="auto"/>
        <w:rPr>
          <w:sz w:val="20"/>
          <w:szCs w:val="20"/>
          <w:color w:val="auto"/>
        </w:rPr>
      </w:pPr>
      <w:r>
        <w:rPr>
          <w:rFonts w:ascii="Times New Roman" w:cs="Times New Roman" w:eastAsia="Times New Roman" w:hAnsi="Times New Roman"/>
          <w:sz w:val="14"/>
          <w:szCs w:val="14"/>
          <w:color w:val="auto"/>
        </w:rPr>
        <w:t>Except as provided in Section 2.4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65" w:name="page366"/>
    <w:bookmarkEnd w:id="365"/>
    <w:p>
      <w:pPr>
        <w:ind w:left="10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Unless otherwise specified in the certificate of incorporation, elections of directors need not be by written ballot.</w:t>
      </w:r>
    </w:p>
    <w:p>
      <w:pPr>
        <w:spacing w:after="0" w:line="288"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b w:val="1"/>
          <w:bCs w:val="1"/>
          <w:u w:val="single" w:color="auto"/>
          <w:color w:val="auto"/>
        </w:rPr>
        <w:t>Resignation And Vacancies</w:t>
      </w:r>
    </w:p>
    <w:p>
      <w:pPr>
        <w:spacing w:after="0" w:line="93"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Unless otherwise provided in the certificate of incorporation or these Bylaws:</w:t>
      </w:r>
    </w:p>
    <w:p>
      <w:pPr>
        <w:spacing w:after="0" w:line="91" w:lineRule="exact"/>
        <w:rPr>
          <w:sz w:val="20"/>
          <w:szCs w:val="20"/>
          <w:color w:val="auto"/>
        </w:rPr>
      </w:pPr>
    </w:p>
    <w:p>
      <w:pPr>
        <w:ind w:left="220" w:right="239" w:firstLine="773"/>
        <w:spacing w:after="0" w:line="266" w:lineRule="auto"/>
        <w:tabs>
          <w:tab w:leader="none" w:pos="1181"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36" w:lineRule="exact"/>
        <w:rPr>
          <w:rFonts w:ascii="Times New Roman" w:cs="Times New Roman" w:eastAsia="Times New Roman" w:hAnsi="Times New Roman"/>
          <w:sz w:val="14"/>
          <w:szCs w:val="14"/>
          <w:color w:val="auto"/>
        </w:rPr>
      </w:pPr>
    </w:p>
    <w:p>
      <w:pPr>
        <w:jc w:val="both"/>
        <w:ind w:left="220" w:right="279" w:firstLine="773"/>
        <w:spacing w:after="0" w:line="261" w:lineRule="auto"/>
        <w:tabs>
          <w:tab w:leader="none" w:pos="1189"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w:t>
      </w:r>
    </w:p>
    <w:p>
      <w:pPr>
        <w:spacing w:after="0" w:line="139" w:lineRule="exact"/>
        <w:rPr>
          <w:sz w:val="20"/>
          <w:szCs w:val="20"/>
          <w:color w:val="auto"/>
        </w:rPr>
      </w:pPr>
    </w:p>
    <w:p>
      <w:pPr>
        <w:ind w:left="220" w:right="339" w:firstLine="771"/>
        <w:spacing w:after="0" w:line="258" w:lineRule="auto"/>
        <w:rPr>
          <w:sz w:val="20"/>
          <w:szCs w:val="20"/>
          <w:color w:val="auto"/>
        </w:rPr>
      </w:pPr>
      <w:r>
        <w:rPr>
          <w:rFonts w:ascii="Times New Roman" w:cs="Times New Roman" w:eastAsia="Times New Roman" w:hAnsi="Times New Roman"/>
          <w:sz w:val="14"/>
          <w:szCs w:val="14"/>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42" w:lineRule="exact"/>
        <w:rPr>
          <w:sz w:val="20"/>
          <w:szCs w:val="20"/>
          <w:color w:val="auto"/>
        </w:rPr>
      </w:pPr>
    </w:p>
    <w:p>
      <w:pPr>
        <w:ind w:left="220" w:right="399" w:firstLine="771"/>
        <w:spacing w:after="0" w:line="258" w:lineRule="auto"/>
        <w:rPr>
          <w:sz w:val="20"/>
          <w:szCs w:val="20"/>
          <w:color w:val="auto"/>
        </w:rPr>
      </w:pPr>
      <w:r>
        <w:rPr>
          <w:rFonts w:ascii="Times New Roman" w:cs="Times New Roman" w:eastAsia="Times New Roman" w:hAnsi="Times New Roman"/>
          <w:sz w:val="14"/>
          <w:szCs w:val="14"/>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66" w:name="page367"/>
    <w:bookmarkEnd w:id="366"/>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3"/>
          <w:szCs w:val="13"/>
          <w:b w:val="1"/>
          <w:bCs w:val="1"/>
          <w:u w:val="single" w:color="auto"/>
          <w:color w:val="auto"/>
        </w:rPr>
        <w:t>Place Of Meetings; Meetings By Telephone</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Board of Directors of the corporation may hold meetings, both regular and special, either within or outside the state of Delaware.</w:t>
      </w:r>
    </w:p>
    <w:p>
      <w:pPr>
        <w:spacing w:after="0" w:line="175" w:lineRule="exact"/>
        <w:rPr>
          <w:sz w:val="20"/>
          <w:szCs w:val="20"/>
          <w:color w:val="auto"/>
        </w:rPr>
      </w:pPr>
    </w:p>
    <w:p>
      <w:pPr>
        <w:ind w:left="220" w:right="459" w:firstLine="771"/>
        <w:spacing w:after="0" w:line="261" w:lineRule="auto"/>
        <w:rPr>
          <w:sz w:val="20"/>
          <w:szCs w:val="20"/>
          <w:color w:val="auto"/>
        </w:rPr>
      </w:pPr>
      <w:r>
        <w:rPr>
          <w:rFonts w:ascii="Times New Roman" w:cs="Times New Roman" w:eastAsia="Times New Roman" w:hAnsi="Times New Roman"/>
          <w:sz w:val="14"/>
          <w:szCs w:val="14"/>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b w:val="1"/>
          <w:bCs w:val="1"/>
          <w:u w:val="single" w:color="auto"/>
          <w:color w:val="auto"/>
        </w:rPr>
        <w:t>Regular Meetings</w:t>
      </w:r>
    </w:p>
    <w:p>
      <w:pPr>
        <w:spacing w:after="0" w:line="93" w:lineRule="exact"/>
        <w:rPr>
          <w:sz w:val="20"/>
          <w:szCs w:val="20"/>
          <w:color w:val="auto"/>
        </w:rPr>
      </w:pPr>
    </w:p>
    <w:p>
      <w:pPr>
        <w:ind w:left="220" w:right="699" w:firstLine="771"/>
        <w:spacing w:after="0" w:line="282" w:lineRule="auto"/>
        <w:rPr>
          <w:sz w:val="20"/>
          <w:szCs w:val="20"/>
          <w:color w:val="auto"/>
        </w:rPr>
      </w:pPr>
      <w:r>
        <w:rPr>
          <w:rFonts w:ascii="Times New Roman" w:cs="Times New Roman" w:eastAsia="Times New Roman" w:hAnsi="Times New Roman"/>
          <w:sz w:val="14"/>
          <w:szCs w:val="14"/>
          <w:color w:val="auto"/>
        </w:rPr>
        <w:t>Regular meetings of the Board of Directors may be held without notice at such time and at such place as shall from time to time be determined by the board.</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3"/>
          <w:szCs w:val="13"/>
          <w:b w:val="1"/>
          <w:bCs w:val="1"/>
          <w:u w:val="single" w:color="auto"/>
          <w:color w:val="auto"/>
        </w:rPr>
        <w:t>Special Meetings; Notice</w:t>
      </w:r>
    </w:p>
    <w:p>
      <w:pPr>
        <w:spacing w:after="0" w:line="93" w:lineRule="exact"/>
        <w:rPr>
          <w:sz w:val="20"/>
          <w:szCs w:val="20"/>
          <w:color w:val="auto"/>
        </w:rPr>
      </w:pPr>
    </w:p>
    <w:p>
      <w:pPr>
        <w:ind w:left="220" w:right="359" w:firstLine="771"/>
        <w:spacing w:after="0" w:line="282" w:lineRule="auto"/>
        <w:rPr>
          <w:sz w:val="20"/>
          <w:szCs w:val="20"/>
          <w:color w:val="auto"/>
        </w:rPr>
      </w:pPr>
      <w:r>
        <w:rPr>
          <w:rFonts w:ascii="Times New Roman" w:cs="Times New Roman" w:eastAsia="Times New Roman" w:hAnsi="Times New Roman"/>
          <w:sz w:val="14"/>
          <w:szCs w:val="14"/>
          <w:color w:val="auto"/>
        </w:rPr>
        <w:t>Special meetings of the Board of Directors for any purpose or purposes may be called at any time by the chairman of the board, the chief executive officer, the president, the secretary or any two directors.</w:t>
      </w:r>
    </w:p>
    <w:p>
      <w:pPr>
        <w:spacing w:after="0" w:line="125" w:lineRule="exact"/>
        <w:rPr>
          <w:sz w:val="20"/>
          <w:szCs w:val="20"/>
          <w:color w:val="auto"/>
        </w:rPr>
      </w:pPr>
    </w:p>
    <w:p>
      <w:pPr>
        <w:ind w:left="220" w:right="279" w:firstLine="771"/>
        <w:spacing w:after="0" w:line="254" w:lineRule="auto"/>
        <w:rPr>
          <w:sz w:val="20"/>
          <w:szCs w:val="20"/>
          <w:color w:val="auto"/>
        </w:rPr>
      </w:pPr>
      <w:r>
        <w:rPr>
          <w:rFonts w:ascii="Times New Roman" w:cs="Times New Roman" w:eastAsia="Times New Roman" w:hAnsi="Times New Roman"/>
          <w:sz w:val="14"/>
          <w:szCs w:val="14"/>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24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261"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b w:val="1"/>
          <w:bCs w:val="1"/>
          <w:u w:val="single" w:color="auto"/>
          <w:color w:val="auto"/>
        </w:rPr>
        <w:t>Quorum</w:t>
      </w:r>
    </w:p>
    <w:p>
      <w:pPr>
        <w:spacing w:after="0" w:line="93" w:lineRule="exact"/>
        <w:rPr>
          <w:sz w:val="20"/>
          <w:szCs w:val="20"/>
          <w:color w:val="auto"/>
        </w:rPr>
      </w:pPr>
    </w:p>
    <w:p>
      <w:pPr>
        <w:ind w:left="220" w:right="319" w:firstLine="771"/>
        <w:spacing w:after="0" w:line="258" w:lineRule="auto"/>
        <w:rPr>
          <w:sz w:val="20"/>
          <w:szCs w:val="20"/>
          <w:color w:val="auto"/>
        </w:rPr>
      </w:pPr>
      <w:r>
        <w:rPr>
          <w:rFonts w:ascii="Times New Roman" w:cs="Times New Roman" w:eastAsia="Times New Roman" w:hAnsi="Times New Roman"/>
          <w:sz w:val="14"/>
          <w:szCs w:val="14"/>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367" w:name="page368"/>
    <w:bookmarkEnd w:id="367"/>
    <w:p>
      <w:pPr>
        <w:ind w:left="220" w:right="539" w:firstLine="77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meeting at which a quorum is initially present may continue to transact business notwithstanding the withdrawal of directors, if any action taken is approved by at least a majority of the required quorum for that meeting.</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3"/>
          <w:szCs w:val="13"/>
          <w:b w:val="1"/>
          <w:bCs w:val="1"/>
          <w:u w:val="single" w:color="auto"/>
          <w:color w:val="auto"/>
        </w:rPr>
        <w:t>Waiver Of Notice</w:t>
      </w:r>
    </w:p>
    <w:p>
      <w:pPr>
        <w:spacing w:after="0" w:line="93" w:lineRule="exact"/>
        <w:rPr>
          <w:sz w:val="20"/>
          <w:szCs w:val="20"/>
          <w:color w:val="auto"/>
        </w:rPr>
      </w:pPr>
    </w:p>
    <w:p>
      <w:pPr>
        <w:ind w:left="220" w:right="399" w:firstLine="771"/>
        <w:spacing w:after="0" w:line="255" w:lineRule="auto"/>
        <w:rPr>
          <w:sz w:val="20"/>
          <w:szCs w:val="20"/>
          <w:color w:val="auto"/>
        </w:rPr>
      </w:pPr>
      <w:r>
        <w:rPr>
          <w:rFonts w:ascii="Times New Roman" w:cs="Times New Roman" w:eastAsia="Times New Roman" w:hAnsi="Times New Roman"/>
          <w:sz w:val="14"/>
          <w:szCs w:val="14"/>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25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3"/>
          <w:szCs w:val="13"/>
          <w:b w:val="1"/>
          <w:bCs w:val="1"/>
          <w:u w:val="single" w:color="auto"/>
          <w:color w:val="auto"/>
        </w:rPr>
        <w:t>Board Action By Written Consent Without A Meeting</w:t>
      </w:r>
    </w:p>
    <w:p>
      <w:pPr>
        <w:spacing w:after="0" w:line="93" w:lineRule="exact"/>
        <w:rPr>
          <w:sz w:val="20"/>
          <w:szCs w:val="20"/>
          <w:color w:val="auto"/>
        </w:rPr>
      </w:pPr>
    </w:p>
    <w:p>
      <w:pPr>
        <w:ind w:left="220" w:right="259" w:firstLine="771"/>
        <w:spacing w:after="0" w:line="258" w:lineRule="auto"/>
        <w:rPr>
          <w:sz w:val="20"/>
          <w:szCs w:val="20"/>
          <w:color w:val="auto"/>
        </w:rPr>
      </w:pPr>
      <w:r>
        <w:rPr>
          <w:rFonts w:ascii="Times New Roman" w:cs="Times New Roman" w:eastAsia="Times New Roman" w:hAnsi="Times New Roman"/>
          <w:sz w:val="14"/>
          <w:szCs w:val="14"/>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2" w:lineRule="exact"/>
        <w:rPr>
          <w:sz w:val="20"/>
          <w:szCs w:val="20"/>
          <w:color w:val="auto"/>
        </w:rPr>
      </w:pPr>
    </w:p>
    <w:p>
      <w:pPr>
        <w:jc w:val="both"/>
        <w:ind w:left="220" w:right="319" w:firstLine="771"/>
        <w:spacing w:after="0" w:line="266" w:lineRule="auto"/>
        <w:rPr>
          <w:sz w:val="20"/>
          <w:szCs w:val="20"/>
          <w:color w:val="auto"/>
        </w:rPr>
      </w:pPr>
      <w:r>
        <w:rPr>
          <w:rFonts w:ascii="Times New Roman" w:cs="Times New Roman" w:eastAsia="Times New Roman" w:hAnsi="Times New Roman"/>
          <w:sz w:val="14"/>
          <w:szCs w:val="14"/>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b w:val="1"/>
          <w:bCs w:val="1"/>
          <w:u w:val="single" w:color="auto"/>
          <w:color w:val="auto"/>
        </w:rPr>
        <w:t>Fees And Compensation Of Directors</w:t>
      </w:r>
    </w:p>
    <w:p>
      <w:pPr>
        <w:spacing w:after="0" w:line="93" w:lineRule="exact"/>
        <w:rPr>
          <w:sz w:val="20"/>
          <w:szCs w:val="20"/>
          <w:color w:val="auto"/>
        </w:rPr>
      </w:pPr>
    </w:p>
    <w:p>
      <w:pPr>
        <w:ind w:left="220" w:right="459" w:firstLine="771"/>
        <w:spacing w:after="0" w:line="266" w:lineRule="auto"/>
        <w:rPr>
          <w:sz w:val="20"/>
          <w:szCs w:val="20"/>
          <w:color w:val="auto"/>
        </w:rPr>
      </w:pPr>
      <w:r>
        <w:rPr>
          <w:rFonts w:ascii="Times New Roman" w:cs="Times New Roman" w:eastAsia="Times New Roman" w:hAnsi="Times New Roman"/>
          <w:sz w:val="14"/>
          <w:szCs w:val="14"/>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3"/>
          <w:szCs w:val="13"/>
          <w:b w:val="1"/>
          <w:bCs w:val="1"/>
          <w:u w:val="single" w:color="auto"/>
          <w:color w:val="auto"/>
        </w:rPr>
        <w:t>Approval Of Loans To Officers</w:t>
      </w:r>
    </w:p>
    <w:p>
      <w:pPr>
        <w:spacing w:after="0" w:line="93" w:lineRule="exact"/>
        <w:rPr>
          <w:sz w:val="20"/>
          <w:szCs w:val="20"/>
          <w:color w:val="auto"/>
        </w:rPr>
      </w:pPr>
    </w:p>
    <w:p>
      <w:pPr>
        <w:ind w:left="220" w:right="259" w:firstLine="771"/>
        <w:spacing w:after="0" w:line="256" w:lineRule="auto"/>
        <w:rPr>
          <w:sz w:val="20"/>
          <w:szCs w:val="20"/>
          <w:color w:val="auto"/>
        </w:rPr>
      </w:pPr>
      <w:r>
        <w:rPr>
          <w:rFonts w:ascii="Times New Roman" w:cs="Times New Roman" w:eastAsia="Times New Roman" w:hAnsi="Times New Roman"/>
          <w:sz w:val="14"/>
          <w:szCs w:val="14"/>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68" w:name="page369"/>
    <w:bookmarkEnd w:id="368"/>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3"/>
          <w:szCs w:val="13"/>
          <w:b w:val="1"/>
          <w:bCs w:val="1"/>
          <w:u w:val="single" w:color="auto"/>
          <w:color w:val="auto"/>
        </w:rPr>
        <w:t>Removal Of Directors</w:t>
      </w:r>
    </w:p>
    <w:p>
      <w:pPr>
        <w:spacing w:after="0" w:line="93" w:lineRule="exact"/>
        <w:rPr>
          <w:sz w:val="20"/>
          <w:szCs w:val="20"/>
          <w:color w:val="auto"/>
        </w:rPr>
      </w:pPr>
    </w:p>
    <w:p>
      <w:pPr>
        <w:ind w:left="220" w:right="339" w:firstLine="771"/>
        <w:spacing w:after="0" w:line="258" w:lineRule="auto"/>
        <w:rPr>
          <w:sz w:val="20"/>
          <w:szCs w:val="20"/>
          <w:color w:val="auto"/>
        </w:rPr>
      </w:pPr>
      <w:r>
        <w:rPr>
          <w:rFonts w:ascii="Times New Roman" w:cs="Times New Roman" w:eastAsia="Times New Roman" w:hAnsi="Times New Roman"/>
          <w:sz w:val="14"/>
          <w:szCs w:val="14"/>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42" w:lineRule="exact"/>
        <w:rPr>
          <w:sz w:val="20"/>
          <w:szCs w:val="20"/>
          <w:color w:val="auto"/>
        </w:rPr>
      </w:pPr>
    </w:p>
    <w:p>
      <w:pPr>
        <w:ind w:left="220" w:right="319" w:firstLine="771"/>
        <w:spacing w:after="0" w:line="282" w:lineRule="auto"/>
        <w:rPr>
          <w:sz w:val="20"/>
          <w:szCs w:val="20"/>
          <w:color w:val="auto"/>
        </w:rPr>
      </w:pPr>
      <w:r>
        <w:rPr>
          <w:rFonts w:ascii="Times New Roman" w:cs="Times New Roman" w:eastAsia="Times New Roman" w:hAnsi="Times New Roman"/>
          <w:sz w:val="14"/>
          <w:szCs w:val="14"/>
          <w:color w:val="auto"/>
        </w:rPr>
        <w:t>No reduction of the authorized number of directors shall have the effect of removing any director prior to the expiration of such director’s term of office.</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3"/>
          <w:szCs w:val="13"/>
          <w:b w:val="1"/>
          <w:bCs w:val="1"/>
          <w:u w:val="single" w:color="auto"/>
          <w:color w:val="auto"/>
        </w:rPr>
        <w:t>Chairman Of The Board Of Directors</w:t>
      </w:r>
    </w:p>
    <w:p>
      <w:pPr>
        <w:spacing w:after="0" w:line="93" w:lineRule="exact"/>
        <w:rPr>
          <w:sz w:val="20"/>
          <w:szCs w:val="20"/>
          <w:color w:val="auto"/>
        </w:rPr>
      </w:pPr>
    </w:p>
    <w:p>
      <w:pPr>
        <w:ind w:left="220" w:right="799" w:firstLine="771"/>
        <w:spacing w:after="0" w:line="282" w:lineRule="auto"/>
        <w:rPr>
          <w:sz w:val="20"/>
          <w:szCs w:val="20"/>
          <w:color w:val="auto"/>
        </w:rPr>
      </w:pPr>
      <w:r>
        <w:rPr>
          <w:rFonts w:ascii="Times New Roman" w:cs="Times New Roman" w:eastAsia="Times New Roman" w:hAnsi="Times New Roman"/>
          <w:sz w:val="14"/>
          <w:szCs w:val="14"/>
          <w:color w:val="auto"/>
        </w:rPr>
        <w:t>The corporation may also have, at the discretion of the Board of Directors, a chairman of the Board of Directors who shall not be considered an officer of the corporation.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COMMITTEES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b w:val="1"/>
          <w:bCs w:val="1"/>
          <w:u w:val="single" w:color="auto"/>
          <w:color w:val="auto"/>
        </w:rPr>
        <w:t>Committees Of Directors</w:t>
      </w:r>
    </w:p>
    <w:p>
      <w:pPr>
        <w:spacing w:after="0" w:line="93" w:lineRule="exact"/>
        <w:rPr>
          <w:sz w:val="20"/>
          <w:szCs w:val="20"/>
          <w:color w:val="auto"/>
        </w:rPr>
      </w:pPr>
    </w:p>
    <w:p>
      <w:pPr>
        <w:ind w:left="220" w:right="259" w:firstLine="771"/>
        <w:spacing w:after="0" w:line="253" w:lineRule="auto"/>
        <w:rPr>
          <w:sz w:val="20"/>
          <w:szCs w:val="20"/>
          <w:color w:val="auto"/>
        </w:rPr>
      </w:pPr>
      <w:r>
        <w:rPr>
          <w:rFonts w:ascii="Times New Roman" w:cs="Times New Roman" w:eastAsia="Times New Roman" w:hAnsi="Times New Roman"/>
          <w:sz w:val="14"/>
          <w:szCs w:val="14"/>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26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b w:val="1"/>
          <w:bCs w:val="1"/>
          <w:u w:val="single" w:color="auto"/>
          <w:color w:val="auto"/>
        </w:rPr>
        <w:t>Committee Minutes</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Each committee shall keep regular minutes of its meetings and report the same to the Board of Directors when required.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369" w:name="page370"/>
    <w:bookmarkEnd w:id="369"/>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3"/>
          <w:szCs w:val="13"/>
          <w:b w:val="1"/>
          <w:bCs w:val="1"/>
          <w:u w:val="single" w:color="auto"/>
          <w:color w:val="auto"/>
        </w:rPr>
        <w:t>Meetings And Action Of Committees</w:t>
      </w:r>
    </w:p>
    <w:p>
      <w:pPr>
        <w:spacing w:after="0" w:line="93" w:lineRule="exact"/>
        <w:rPr>
          <w:sz w:val="20"/>
          <w:szCs w:val="20"/>
          <w:color w:val="auto"/>
        </w:rPr>
      </w:pPr>
    </w:p>
    <w:p>
      <w:pPr>
        <w:ind w:left="220" w:right="259" w:firstLine="771"/>
        <w:spacing w:after="0" w:line="254" w:lineRule="auto"/>
        <w:rPr>
          <w:sz w:val="20"/>
          <w:szCs w:val="20"/>
          <w:color w:val="auto"/>
        </w:rPr>
      </w:pPr>
      <w:r>
        <w:rPr>
          <w:rFonts w:ascii="Times New Roman" w:cs="Times New Roman" w:eastAsia="Times New Roman" w:hAnsi="Times New Roman"/>
          <w:sz w:val="14"/>
          <w:szCs w:val="14"/>
          <w:color w:val="auto"/>
        </w:rPr>
        <w:t>Meetings and actions of committees shall be governed by, and held and taken in accordance with, the provisions of Section 2.5 (place of meetings and meetings by telephone), Section 2.6 (regular meetings), Section 2.7 (special meetings and notice), Section 2.8 (quorum), Section 2.9 (waiver of notice), and Section 2.10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OFFICERS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3"/>
          <w:szCs w:val="13"/>
          <w:b w:val="1"/>
          <w:bCs w:val="1"/>
          <w:u w:val="single" w:color="auto"/>
          <w:color w:val="auto"/>
        </w:rPr>
        <w:t>Officers</w:t>
      </w:r>
    </w:p>
    <w:p>
      <w:pPr>
        <w:spacing w:after="0" w:line="93" w:lineRule="exact"/>
        <w:rPr>
          <w:sz w:val="20"/>
          <w:szCs w:val="20"/>
          <w:color w:val="auto"/>
        </w:rPr>
      </w:pPr>
    </w:p>
    <w:p>
      <w:pPr>
        <w:ind w:left="220" w:right="399" w:firstLine="771"/>
        <w:spacing w:after="0" w:line="261" w:lineRule="auto"/>
        <w:rPr>
          <w:sz w:val="20"/>
          <w:szCs w:val="20"/>
          <w:color w:val="auto"/>
        </w:rPr>
      </w:pPr>
      <w:r>
        <w:rPr>
          <w:rFonts w:ascii="Times New Roman" w:cs="Times New Roman" w:eastAsia="Times New Roman" w:hAnsi="Times New Roman"/>
          <w:sz w:val="14"/>
          <w:szCs w:val="14"/>
          <w:color w:val="auto"/>
        </w:rPr>
        <w:t>The officers of the corporation shall be a president and a secretary. The corporation may also have, at the discretion of the Board of Directors, a chief executive officer, a chief financial officer, a treasurer, one or more vice presidents, one or more assistant secretaries, one or more assistant treasurers, and any such other officers as may be appointed in accordance with the provisions of Section 4.3 of these Bylaws. Any number of offices may be held by the same person.</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b w:val="1"/>
          <w:bCs w:val="1"/>
          <w:u w:val="single" w:color="auto"/>
          <w:color w:val="auto"/>
        </w:rPr>
        <w:t>Appointment Of Officers</w:t>
      </w:r>
    </w:p>
    <w:p>
      <w:pPr>
        <w:spacing w:after="0" w:line="93" w:lineRule="exact"/>
        <w:rPr>
          <w:sz w:val="20"/>
          <w:szCs w:val="20"/>
          <w:color w:val="auto"/>
        </w:rPr>
      </w:pPr>
    </w:p>
    <w:p>
      <w:pPr>
        <w:ind w:left="220" w:right="319" w:firstLine="771"/>
        <w:spacing w:after="0" w:line="282" w:lineRule="auto"/>
        <w:rPr>
          <w:sz w:val="20"/>
          <w:szCs w:val="20"/>
          <w:color w:val="auto"/>
        </w:rPr>
      </w:pPr>
      <w:r>
        <w:rPr>
          <w:rFonts w:ascii="Times New Roman" w:cs="Times New Roman" w:eastAsia="Times New Roman" w:hAnsi="Times New Roman"/>
          <w:sz w:val="14"/>
          <w:szCs w:val="14"/>
          <w:color w:val="auto"/>
        </w:rPr>
        <w:t>The officers of the corporation, except such officers as may be appointed in accordance with the provisions of Sections 4.3 or 4.5 of these Bylaws, shall be appointed by the Board of Directors, subject to the rights, if any, of an officer under any contract of employment.</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b w:val="1"/>
          <w:bCs w:val="1"/>
          <w:u w:val="single" w:color="auto"/>
          <w:color w:val="auto"/>
        </w:rPr>
        <w:t>Subordinate Officers</w:t>
      </w:r>
    </w:p>
    <w:p>
      <w:pPr>
        <w:spacing w:after="0" w:line="93" w:lineRule="exact"/>
        <w:rPr>
          <w:sz w:val="20"/>
          <w:szCs w:val="20"/>
          <w:color w:val="auto"/>
        </w:rPr>
      </w:pPr>
    </w:p>
    <w:p>
      <w:pPr>
        <w:ind w:left="220" w:right="359" w:firstLine="771"/>
        <w:spacing w:after="0" w:line="266" w:lineRule="auto"/>
        <w:rPr>
          <w:sz w:val="20"/>
          <w:szCs w:val="20"/>
          <w:color w:val="auto"/>
        </w:rPr>
      </w:pPr>
      <w:r>
        <w:rPr>
          <w:rFonts w:ascii="Times New Roman" w:cs="Times New Roman" w:eastAsia="Times New Roman" w:hAnsi="Times New Roman"/>
          <w:sz w:val="14"/>
          <w:szCs w:val="14"/>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3"/>
          <w:szCs w:val="13"/>
          <w:b w:val="1"/>
          <w:bCs w:val="1"/>
          <w:u w:val="single" w:color="auto"/>
          <w:color w:val="auto"/>
        </w:rPr>
        <w:t>Removal And Resignation Of Officers</w:t>
      </w:r>
    </w:p>
    <w:p>
      <w:pPr>
        <w:spacing w:after="0" w:line="93" w:lineRule="exact"/>
        <w:rPr>
          <w:sz w:val="20"/>
          <w:szCs w:val="20"/>
          <w:color w:val="auto"/>
        </w:rPr>
      </w:pPr>
    </w:p>
    <w:p>
      <w:pPr>
        <w:jc w:val="both"/>
        <w:ind w:left="220" w:right="319" w:firstLine="771"/>
        <w:spacing w:after="0" w:line="266" w:lineRule="auto"/>
        <w:rPr>
          <w:sz w:val="20"/>
          <w:szCs w:val="20"/>
          <w:color w:val="auto"/>
        </w:rPr>
      </w:pPr>
      <w:r>
        <w:rPr>
          <w:rFonts w:ascii="Times New Roman" w:cs="Times New Roman" w:eastAsia="Times New Roman" w:hAnsi="Times New Roman"/>
          <w:sz w:val="14"/>
          <w:szCs w:val="14"/>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370" w:name="page371"/>
    <w:bookmarkEnd w:id="370"/>
    <w:p>
      <w:pPr>
        <w:ind w:left="220" w:right="239" w:firstLine="77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3"/>
          <w:szCs w:val="13"/>
          <w:b w:val="1"/>
          <w:bCs w:val="1"/>
          <w:u w:val="single" w:color="auto"/>
          <w:color w:val="auto"/>
        </w:rPr>
        <w:t>Vacancies In Offices</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Any vacancy occurring in any office of the corporation shall be filled by the Board of Directors.</w:t>
      </w:r>
    </w:p>
    <w:p>
      <w:pPr>
        <w:spacing w:after="0" w:line="288"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3"/>
          <w:szCs w:val="13"/>
          <w:b w:val="1"/>
          <w:bCs w:val="1"/>
          <w:u w:val="single" w:color="auto"/>
          <w:color w:val="auto"/>
        </w:rPr>
        <w:t>Chief Executive Officer</w:t>
      </w:r>
    </w:p>
    <w:p>
      <w:pPr>
        <w:spacing w:after="0" w:line="93" w:lineRule="exact"/>
        <w:rPr>
          <w:sz w:val="20"/>
          <w:szCs w:val="20"/>
          <w:color w:val="auto"/>
        </w:rPr>
      </w:pPr>
    </w:p>
    <w:p>
      <w:pPr>
        <w:ind w:left="220" w:right="259" w:firstLine="771"/>
        <w:spacing w:after="0" w:line="258" w:lineRule="auto"/>
        <w:rPr>
          <w:sz w:val="20"/>
          <w:szCs w:val="20"/>
          <w:color w:val="auto"/>
        </w:rPr>
      </w:pPr>
      <w:r>
        <w:rPr>
          <w:rFonts w:ascii="Times New Roman" w:cs="Times New Roman" w:eastAsia="Times New Roman" w:hAnsi="Times New Roman"/>
          <w:sz w:val="14"/>
          <w:szCs w:val="14"/>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142" w:lineRule="exact"/>
        <w:rPr>
          <w:sz w:val="20"/>
          <w:szCs w:val="20"/>
          <w:color w:val="auto"/>
        </w:rPr>
      </w:pPr>
    </w:p>
    <w:p>
      <w:pPr>
        <w:ind w:left="220" w:right="279" w:firstLine="771"/>
        <w:spacing w:after="0" w:line="282" w:lineRule="auto"/>
        <w:rPr>
          <w:sz w:val="20"/>
          <w:szCs w:val="20"/>
          <w:color w:val="auto"/>
        </w:rPr>
      </w:pPr>
      <w:r>
        <w:rPr>
          <w:rFonts w:ascii="Times New Roman" w:cs="Times New Roman" w:eastAsia="Times New Roman" w:hAnsi="Times New Roman"/>
          <w:sz w:val="14"/>
          <w:szCs w:val="14"/>
          <w:color w:val="auto"/>
        </w:rPr>
        <w:t>The person serving as chief executive officer shall also be the acting President of the corporation whenever no other person is then serving in such capacity.</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3"/>
          <w:szCs w:val="13"/>
          <w:b w:val="1"/>
          <w:bCs w:val="1"/>
          <w:u w:val="single" w:color="auto"/>
          <w:color w:val="auto"/>
        </w:rPr>
        <w:t>President</w:t>
      </w:r>
    </w:p>
    <w:p>
      <w:pPr>
        <w:spacing w:after="0" w:line="93"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39" w:lineRule="exact"/>
        <w:rPr>
          <w:sz w:val="20"/>
          <w:szCs w:val="20"/>
          <w:color w:val="auto"/>
        </w:rPr>
      </w:pPr>
    </w:p>
    <w:p>
      <w:pPr>
        <w:ind w:left="220" w:right="539" w:firstLine="771"/>
        <w:spacing w:after="0" w:line="282" w:lineRule="auto"/>
        <w:rPr>
          <w:sz w:val="20"/>
          <w:szCs w:val="20"/>
          <w:color w:val="auto"/>
        </w:rPr>
      </w:pPr>
      <w:r>
        <w:rPr>
          <w:rFonts w:ascii="Times New Roman" w:cs="Times New Roman" w:eastAsia="Times New Roman" w:hAnsi="Times New Roman"/>
          <w:sz w:val="14"/>
          <w:szCs w:val="14"/>
          <w:color w:val="auto"/>
        </w:rPr>
        <w:t>The person serving as president shall also be the acting chief executive officer, secretary or treasurer of the corporation, as applicable, whenever no other person is then serving in such capacity.</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3"/>
          <w:szCs w:val="13"/>
          <w:b w:val="1"/>
          <w:bCs w:val="1"/>
          <w:u w:val="single" w:color="auto"/>
          <w:color w:val="auto"/>
        </w:rPr>
        <w:t>Vice Presidents</w:t>
      </w:r>
    </w:p>
    <w:p>
      <w:pPr>
        <w:spacing w:after="0" w:line="93" w:lineRule="exact"/>
        <w:rPr>
          <w:sz w:val="20"/>
          <w:szCs w:val="20"/>
          <w:color w:val="auto"/>
        </w:rPr>
      </w:pPr>
    </w:p>
    <w:p>
      <w:pPr>
        <w:ind w:left="220" w:right="479" w:firstLine="771"/>
        <w:spacing w:after="0" w:line="258" w:lineRule="auto"/>
        <w:rPr>
          <w:sz w:val="20"/>
          <w:szCs w:val="20"/>
          <w:color w:val="auto"/>
        </w:rPr>
      </w:pPr>
      <w:r>
        <w:rPr>
          <w:rFonts w:ascii="Times New Roman" w:cs="Times New Roman" w:eastAsia="Times New Roman" w:hAnsi="Times New Roman"/>
          <w:sz w:val="14"/>
          <w:szCs w:val="14"/>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71" w:name="page372"/>
    <w:bookmarkEnd w:id="371"/>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4.9</w:t>
      </w:r>
      <w:r>
        <w:rPr>
          <w:sz w:val="20"/>
          <w:szCs w:val="20"/>
          <w:color w:val="auto"/>
        </w:rPr>
        <w:tab/>
      </w:r>
      <w:r>
        <w:rPr>
          <w:rFonts w:ascii="Times New Roman" w:cs="Times New Roman" w:eastAsia="Times New Roman" w:hAnsi="Times New Roman"/>
          <w:sz w:val="14"/>
          <w:szCs w:val="14"/>
          <w:b w:val="1"/>
          <w:bCs w:val="1"/>
          <w:u w:val="single" w:color="auto"/>
          <w:color w:val="auto"/>
        </w:rPr>
        <w:t>Secretary</w:t>
      </w:r>
    </w:p>
    <w:p>
      <w:pPr>
        <w:spacing w:after="0" w:line="93" w:lineRule="exact"/>
        <w:rPr>
          <w:sz w:val="20"/>
          <w:szCs w:val="20"/>
          <w:color w:val="auto"/>
        </w:rPr>
      </w:pPr>
    </w:p>
    <w:p>
      <w:pPr>
        <w:ind w:left="220" w:right="299" w:firstLine="771"/>
        <w:spacing w:after="0" w:line="261" w:lineRule="auto"/>
        <w:rPr>
          <w:sz w:val="20"/>
          <w:szCs w:val="20"/>
          <w:color w:val="auto"/>
        </w:rPr>
      </w:pPr>
      <w:r>
        <w:rPr>
          <w:rFonts w:ascii="Times New Roman" w:cs="Times New Roman" w:eastAsia="Times New Roman" w:hAnsi="Times New Roman"/>
          <w:sz w:val="14"/>
          <w:szCs w:val="14"/>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39" w:lineRule="exact"/>
        <w:rPr>
          <w:sz w:val="20"/>
          <w:szCs w:val="20"/>
          <w:color w:val="auto"/>
        </w:rPr>
      </w:pPr>
    </w:p>
    <w:p>
      <w:pPr>
        <w:ind w:left="220" w:right="319" w:firstLine="771"/>
        <w:spacing w:after="0" w:line="261" w:lineRule="auto"/>
        <w:rPr>
          <w:sz w:val="20"/>
          <w:szCs w:val="20"/>
          <w:color w:val="auto"/>
        </w:rPr>
      </w:pPr>
      <w:r>
        <w:rPr>
          <w:rFonts w:ascii="Times New Roman" w:cs="Times New Roman" w:eastAsia="Times New Roman" w:hAnsi="Times New Roman"/>
          <w:sz w:val="14"/>
          <w:szCs w:val="14"/>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if any, evidencing such shares, and the number and date of cancellation of every certificate, if any, surrendered for cancellation.</w:t>
      </w:r>
    </w:p>
    <w:p>
      <w:pPr>
        <w:spacing w:after="0" w:line="139" w:lineRule="exact"/>
        <w:rPr>
          <w:sz w:val="20"/>
          <w:szCs w:val="20"/>
          <w:color w:val="auto"/>
        </w:rPr>
      </w:pPr>
    </w:p>
    <w:p>
      <w:pPr>
        <w:jc w:val="both"/>
        <w:ind w:left="220" w:right="299" w:firstLine="771"/>
        <w:spacing w:after="0" w:line="266" w:lineRule="auto"/>
        <w:rPr>
          <w:sz w:val="20"/>
          <w:szCs w:val="20"/>
          <w:color w:val="auto"/>
        </w:rPr>
      </w:pPr>
      <w:r>
        <w:rPr>
          <w:rFonts w:ascii="Times New Roman" w:cs="Times New Roman" w:eastAsia="Times New Roman" w:hAnsi="Times New Roman"/>
          <w:sz w:val="14"/>
          <w:szCs w:val="14"/>
          <w:color w:val="auto"/>
        </w:rPr>
        <w:t>The secretary shall give, or cause to be given, notice of all meetings of the stockholders and of the Board of Directors required to be given by law or by these Bylaws. He or she shall have such other powers and perform such other duties as may be prescribed by the Board of Directors or by these Bylaws.</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4.10</w:t>
      </w:r>
      <w:r>
        <w:rPr>
          <w:sz w:val="20"/>
          <w:szCs w:val="20"/>
          <w:color w:val="auto"/>
        </w:rPr>
        <w:tab/>
      </w:r>
      <w:r>
        <w:rPr>
          <w:rFonts w:ascii="Times New Roman" w:cs="Times New Roman" w:eastAsia="Times New Roman" w:hAnsi="Times New Roman"/>
          <w:sz w:val="13"/>
          <w:szCs w:val="13"/>
          <w:b w:val="1"/>
          <w:bCs w:val="1"/>
          <w:u w:val="single" w:color="auto"/>
          <w:color w:val="auto"/>
        </w:rPr>
        <w:t>Chief Financial Officer</w:t>
      </w:r>
    </w:p>
    <w:p>
      <w:pPr>
        <w:spacing w:after="0" w:line="93" w:lineRule="exact"/>
        <w:rPr>
          <w:sz w:val="20"/>
          <w:szCs w:val="20"/>
          <w:color w:val="auto"/>
        </w:rPr>
      </w:pPr>
    </w:p>
    <w:p>
      <w:pPr>
        <w:ind w:left="220" w:right="239" w:firstLine="771"/>
        <w:spacing w:after="0" w:line="266" w:lineRule="auto"/>
        <w:rPr>
          <w:sz w:val="20"/>
          <w:szCs w:val="20"/>
          <w:color w:val="auto"/>
        </w:rPr>
      </w:pPr>
      <w:r>
        <w:rPr>
          <w:rFonts w:ascii="Times New Roman" w:cs="Times New Roman" w:eastAsia="Times New Roman" w:hAnsi="Times New Roman"/>
          <w:sz w:val="14"/>
          <w:szCs w:val="14"/>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136" w:lineRule="exact"/>
        <w:rPr>
          <w:sz w:val="20"/>
          <w:szCs w:val="20"/>
          <w:color w:val="auto"/>
        </w:rPr>
      </w:pPr>
    </w:p>
    <w:p>
      <w:pPr>
        <w:ind w:left="220" w:right="359" w:firstLine="771"/>
        <w:spacing w:after="0" w:line="261" w:lineRule="auto"/>
        <w:rPr>
          <w:sz w:val="20"/>
          <w:szCs w:val="20"/>
          <w:color w:val="auto"/>
        </w:rPr>
      </w:pPr>
      <w:r>
        <w:rPr>
          <w:rFonts w:ascii="Times New Roman" w:cs="Times New Roman" w:eastAsia="Times New Roman" w:hAnsi="Times New Roman"/>
          <w:sz w:val="14"/>
          <w:szCs w:val="14"/>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39" w:lineRule="exact"/>
        <w:rPr>
          <w:sz w:val="20"/>
          <w:szCs w:val="20"/>
          <w:color w:val="auto"/>
        </w:rPr>
      </w:pPr>
    </w:p>
    <w:p>
      <w:pPr>
        <w:ind w:left="220" w:right="279" w:firstLine="771"/>
        <w:spacing w:after="0" w:line="261" w:lineRule="auto"/>
        <w:rPr>
          <w:sz w:val="20"/>
          <w:szCs w:val="20"/>
          <w:color w:val="auto"/>
        </w:rPr>
      </w:pPr>
      <w:r>
        <w:rPr>
          <w:rFonts w:ascii="Times New Roman" w:cs="Times New Roman" w:eastAsia="Times New Roman" w:hAnsi="Times New Roman"/>
          <w:sz w:val="14"/>
          <w:szCs w:val="14"/>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4.11</w:t>
      </w:r>
      <w:r>
        <w:rPr>
          <w:sz w:val="20"/>
          <w:szCs w:val="20"/>
          <w:color w:val="auto"/>
        </w:rPr>
        <w:tab/>
      </w:r>
      <w:r>
        <w:rPr>
          <w:rFonts w:ascii="Times New Roman" w:cs="Times New Roman" w:eastAsia="Times New Roman" w:hAnsi="Times New Roman"/>
          <w:sz w:val="13"/>
          <w:szCs w:val="13"/>
          <w:b w:val="1"/>
          <w:bCs w:val="1"/>
          <w:u w:val="single" w:color="auto"/>
          <w:color w:val="auto"/>
        </w:rPr>
        <w:t>Treasurer</w:t>
      </w:r>
    </w:p>
    <w:p>
      <w:pPr>
        <w:spacing w:after="0" w:line="93" w:lineRule="exact"/>
        <w:rPr>
          <w:sz w:val="20"/>
          <w:szCs w:val="20"/>
          <w:color w:val="auto"/>
        </w:rPr>
      </w:pPr>
    </w:p>
    <w:p>
      <w:pPr>
        <w:ind w:left="220" w:right="299" w:firstLine="771"/>
        <w:spacing w:after="0" w:line="266" w:lineRule="auto"/>
        <w:rPr>
          <w:sz w:val="20"/>
          <w:szCs w:val="20"/>
          <w:color w:val="auto"/>
        </w:rPr>
      </w:pPr>
      <w:r>
        <w:rPr>
          <w:rFonts w:ascii="Times New Roman" w:cs="Times New Roman" w:eastAsia="Times New Roman" w:hAnsi="Times New Roman"/>
          <w:sz w:val="14"/>
          <w:szCs w:val="14"/>
          <w:color w:val="auto"/>
        </w:rPr>
        <w:t>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372" w:name="page373"/>
    <w:bookmarkEnd w:id="372"/>
    <w:p>
      <w:pPr>
        <w:ind w:left="220" w:right="239" w:firstLine="771"/>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142" w:lineRule="exact"/>
        <w:rPr>
          <w:sz w:val="20"/>
          <w:szCs w:val="20"/>
          <w:color w:val="auto"/>
        </w:rPr>
      </w:pPr>
    </w:p>
    <w:p>
      <w:pPr>
        <w:ind w:left="220" w:right="599" w:firstLine="771"/>
        <w:spacing w:after="0" w:line="282" w:lineRule="auto"/>
        <w:rPr>
          <w:sz w:val="20"/>
          <w:szCs w:val="20"/>
          <w:color w:val="auto"/>
        </w:rPr>
      </w:pPr>
      <w:r>
        <w:rPr>
          <w:rFonts w:ascii="Times New Roman" w:cs="Times New Roman" w:eastAsia="Times New Roman" w:hAnsi="Times New Roman"/>
          <w:sz w:val="14"/>
          <w:szCs w:val="14"/>
          <w:color w:val="auto"/>
        </w:rPr>
        <w:t>The person serving as the treasurer shall also be the acting chief financial officer of the corporation whenever no other person is then serving in such capacity.</w:t>
      </w:r>
    </w:p>
    <w:p>
      <w:pPr>
        <w:spacing w:after="0" w:line="23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4.12</w:t>
      </w:r>
      <w:r>
        <w:rPr>
          <w:sz w:val="20"/>
          <w:szCs w:val="20"/>
          <w:color w:val="auto"/>
        </w:rPr>
        <w:tab/>
      </w:r>
      <w:r>
        <w:rPr>
          <w:rFonts w:ascii="Times New Roman" w:cs="Times New Roman" w:eastAsia="Times New Roman" w:hAnsi="Times New Roman"/>
          <w:sz w:val="13"/>
          <w:szCs w:val="13"/>
          <w:b w:val="1"/>
          <w:bCs w:val="1"/>
          <w:u w:val="single" w:color="auto"/>
          <w:color w:val="auto"/>
        </w:rPr>
        <w:t>Representation Of Shares Of Other Corporations</w:t>
      </w:r>
    </w:p>
    <w:p>
      <w:pPr>
        <w:spacing w:after="0" w:line="93" w:lineRule="exact"/>
        <w:rPr>
          <w:sz w:val="20"/>
          <w:szCs w:val="20"/>
          <w:color w:val="auto"/>
        </w:rPr>
      </w:pPr>
    </w:p>
    <w:p>
      <w:pPr>
        <w:ind w:left="220" w:right="359" w:firstLine="771"/>
        <w:spacing w:after="0" w:line="258" w:lineRule="auto"/>
        <w:rPr>
          <w:sz w:val="20"/>
          <w:szCs w:val="20"/>
          <w:color w:val="auto"/>
        </w:rPr>
      </w:pPr>
      <w:r>
        <w:rPr>
          <w:rFonts w:ascii="Times New Roman" w:cs="Times New Roman" w:eastAsia="Times New Roman" w:hAnsi="Times New Roman"/>
          <w:sz w:val="14"/>
          <w:szCs w:val="14"/>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4.13</w:t>
      </w:r>
      <w:r>
        <w:rPr>
          <w:sz w:val="20"/>
          <w:szCs w:val="20"/>
          <w:color w:val="auto"/>
        </w:rPr>
        <w:tab/>
      </w:r>
      <w:r>
        <w:rPr>
          <w:rFonts w:ascii="Times New Roman" w:cs="Times New Roman" w:eastAsia="Times New Roman" w:hAnsi="Times New Roman"/>
          <w:sz w:val="13"/>
          <w:szCs w:val="13"/>
          <w:b w:val="1"/>
          <w:bCs w:val="1"/>
          <w:u w:val="single" w:color="auto"/>
          <w:color w:val="auto"/>
        </w:rPr>
        <w:t>Authority And Duties Of Officers</w:t>
      </w:r>
    </w:p>
    <w:p>
      <w:pPr>
        <w:spacing w:after="0" w:line="93" w:lineRule="exact"/>
        <w:rPr>
          <w:sz w:val="20"/>
          <w:szCs w:val="20"/>
          <w:color w:val="auto"/>
        </w:rPr>
      </w:pPr>
    </w:p>
    <w:p>
      <w:pPr>
        <w:ind w:left="220" w:right="479" w:firstLine="771"/>
        <w:spacing w:after="0" w:line="322" w:lineRule="auto"/>
        <w:rPr>
          <w:sz w:val="20"/>
          <w:szCs w:val="20"/>
          <w:color w:val="auto"/>
        </w:rPr>
      </w:pPr>
      <w:r>
        <w:rPr>
          <w:rFonts w:ascii="Times New Roman" w:cs="Times New Roman" w:eastAsia="Times New Roman" w:hAnsi="Times New Roman"/>
          <w:sz w:val="13"/>
          <w:szCs w:val="13"/>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INDEMNIFICATION OF DIRECTORS, OFFICERS, EMPLOYEES, AND OTHER AGENTS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b w:val="1"/>
          <w:bCs w:val="1"/>
          <w:u w:val="single" w:color="auto"/>
          <w:color w:val="auto"/>
        </w:rPr>
        <w:t>Indemnification Of Directors And Officers</w:t>
      </w:r>
    </w:p>
    <w:p>
      <w:pPr>
        <w:spacing w:after="0" w:line="93" w:lineRule="exact"/>
        <w:rPr>
          <w:sz w:val="20"/>
          <w:szCs w:val="20"/>
          <w:color w:val="auto"/>
        </w:rPr>
      </w:pPr>
    </w:p>
    <w:p>
      <w:pPr>
        <w:ind w:left="220" w:right="239" w:firstLine="771"/>
        <w:spacing w:after="0" w:line="255" w:lineRule="auto"/>
        <w:rPr>
          <w:sz w:val="20"/>
          <w:szCs w:val="20"/>
          <w:color w:val="auto"/>
        </w:rPr>
      </w:pPr>
      <w:r>
        <w:rPr>
          <w:rFonts w:ascii="Times New Roman" w:cs="Times New Roman" w:eastAsia="Times New Roman" w:hAnsi="Times New Roman"/>
          <w:sz w:val="14"/>
          <w:szCs w:val="14"/>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5.1,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73" w:name="page374"/>
    <w:bookmarkEnd w:id="373"/>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4"/>
          <w:szCs w:val="14"/>
          <w:b w:val="1"/>
          <w:bCs w:val="1"/>
          <w:u w:val="single" w:color="auto"/>
          <w:color w:val="auto"/>
        </w:rPr>
        <w:t>Indemnification Of Others</w:t>
      </w:r>
    </w:p>
    <w:p>
      <w:pPr>
        <w:spacing w:after="0" w:line="93" w:lineRule="exact"/>
        <w:rPr>
          <w:sz w:val="20"/>
          <w:szCs w:val="20"/>
          <w:color w:val="auto"/>
        </w:rPr>
      </w:pPr>
    </w:p>
    <w:p>
      <w:pPr>
        <w:ind w:left="220" w:right="319" w:firstLine="771"/>
        <w:spacing w:after="0" w:line="255" w:lineRule="auto"/>
        <w:rPr>
          <w:sz w:val="20"/>
          <w:szCs w:val="20"/>
          <w:color w:val="auto"/>
        </w:rPr>
      </w:pPr>
      <w:r>
        <w:rPr>
          <w:rFonts w:ascii="Times New Roman" w:cs="Times New Roman" w:eastAsia="Times New Roman" w:hAnsi="Times New Roman"/>
          <w:sz w:val="14"/>
          <w:szCs w:val="14"/>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5.2,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25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3"/>
          <w:szCs w:val="13"/>
          <w:b w:val="1"/>
          <w:bCs w:val="1"/>
          <w:u w:val="single" w:color="auto"/>
          <w:color w:val="auto"/>
        </w:rPr>
        <w:t>Payment Of Expenses In Advance</w:t>
      </w:r>
    </w:p>
    <w:p>
      <w:pPr>
        <w:spacing w:after="0" w:line="93" w:lineRule="exact"/>
        <w:rPr>
          <w:sz w:val="20"/>
          <w:szCs w:val="20"/>
          <w:color w:val="auto"/>
        </w:rPr>
      </w:pPr>
    </w:p>
    <w:p>
      <w:pPr>
        <w:ind w:left="220" w:right="599" w:firstLine="771"/>
        <w:spacing w:after="0" w:line="258" w:lineRule="auto"/>
        <w:rPr>
          <w:sz w:val="20"/>
          <w:szCs w:val="20"/>
          <w:color w:val="auto"/>
        </w:rPr>
      </w:pPr>
      <w:r>
        <w:rPr>
          <w:rFonts w:ascii="Times New Roman" w:cs="Times New Roman" w:eastAsia="Times New Roman" w:hAnsi="Times New Roman"/>
          <w:sz w:val="14"/>
          <w:szCs w:val="14"/>
          <w:color w:val="auto"/>
        </w:rPr>
        <w:t>Expenses incurred in defending any action or proceeding for which indemnification is required pursuant to Section 5.1 or for which indemnification is permitted pursuant to Section 5.2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b w:val="1"/>
          <w:bCs w:val="1"/>
          <w:u w:val="single" w:color="auto"/>
          <w:color w:val="auto"/>
        </w:rPr>
        <w:t>Indemnity Not Exclusive</w:t>
      </w:r>
    </w:p>
    <w:p>
      <w:pPr>
        <w:spacing w:after="0" w:line="93" w:lineRule="exact"/>
        <w:rPr>
          <w:sz w:val="20"/>
          <w:szCs w:val="20"/>
          <w:color w:val="auto"/>
        </w:rPr>
      </w:pPr>
    </w:p>
    <w:p>
      <w:pPr>
        <w:ind w:left="220" w:right="319" w:firstLine="771"/>
        <w:spacing w:after="0" w:line="261" w:lineRule="auto"/>
        <w:rPr>
          <w:sz w:val="20"/>
          <w:szCs w:val="20"/>
          <w:color w:val="auto"/>
        </w:rPr>
      </w:pPr>
      <w:r>
        <w:rPr>
          <w:rFonts w:ascii="Times New Roman" w:cs="Times New Roman" w:eastAsia="Times New Roman" w:hAnsi="Times New Roman"/>
          <w:sz w:val="14"/>
          <w:szCs w:val="14"/>
          <w:color w:val="auto"/>
        </w:rPr>
        <w:t>The indemnification provided by this Article V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b w:val="1"/>
          <w:bCs w:val="1"/>
          <w:u w:val="single" w:color="auto"/>
          <w:color w:val="auto"/>
        </w:rPr>
        <w:t>Insurance</w:t>
      </w:r>
    </w:p>
    <w:p>
      <w:pPr>
        <w:spacing w:after="0" w:line="93" w:lineRule="exact"/>
        <w:rPr>
          <w:sz w:val="20"/>
          <w:szCs w:val="20"/>
          <w:color w:val="auto"/>
        </w:rPr>
      </w:pPr>
    </w:p>
    <w:p>
      <w:pPr>
        <w:ind w:left="220" w:right="319" w:firstLine="771"/>
        <w:spacing w:after="0" w:line="258" w:lineRule="auto"/>
        <w:rPr>
          <w:sz w:val="20"/>
          <w:szCs w:val="20"/>
          <w:color w:val="auto"/>
        </w:rPr>
      </w:pPr>
      <w:r>
        <w:rPr>
          <w:rFonts w:ascii="Times New Roman" w:cs="Times New Roman" w:eastAsia="Times New Roman" w:hAnsi="Times New Roman"/>
          <w:sz w:val="14"/>
          <w:szCs w:val="14"/>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374" w:name="page375"/>
    <w:bookmarkEnd w:id="374"/>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4"/>
          <w:szCs w:val="14"/>
          <w:b w:val="1"/>
          <w:bCs w:val="1"/>
          <w:u w:val="single" w:color="auto"/>
          <w:color w:val="auto"/>
        </w:rPr>
        <w:t>Conflicts</w:t>
      </w:r>
    </w:p>
    <w:p>
      <w:pPr>
        <w:spacing w:after="0" w:line="93" w:lineRule="exact"/>
        <w:rPr>
          <w:sz w:val="20"/>
          <w:szCs w:val="20"/>
          <w:color w:val="auto"/>
        </w:rPr>
      </w:pPr>
    </w:p>
    <w:p>
      <w:pPr>
        <w:ind w:left="220" w:right="419" w:firstLine="771"/>
        <w:spacing w:after="0" w:line="282" w:lineRule="auto"/>
        <w:rPr>
          <w:sz w:val="20"/>
          <w:szCs w:val="20"/>
          <w:color w:val="auto"/>
        </w:rPr>
      </w:pPr>
      <w:r>
        <w:rPr>
          <w:rFonts w:ascii="Times New Roman" w:cs="Times New Roman" w:eastAsia="Times New Roman" w:hAnsi="Times New Roman"/>
          <w:sz w:val="14"/>
          <w:szCs w:val="14"/>
          <w:color w:val="auto"/>
        </w:rPr>
        <w:t>No indemnification or advance shall be made under this Article V, except where such indemnification or advance is mandated by law or the order, judgment or decree of any court of competent jurisdiction, in any circumstance where it appears:</w:t>
      </w:r>
    </w:p>
    <w:p>
      <w:pPr>
        <w:spacing w:after="0" w:line="41" w:lineRule="exact"/>
        <w:rPr>
          <w:sz w:val="20"/>
          <w:szCs w:val="20"/>
          <w:color w:val="auto"/>
        </w:rPr>
      </w:pPr>
    </w:p>
    <w:p>
      <w:pPr>
        <w:jc w:val="both"/>
        <w:ind w:left="220" w:right="379" w:firstLine="773"/>
        <w:spacing w:after="0" w:line="266" w:lineRule="auto"/>
        <w:tabs>
          <w:tab w:leader="none" w:pos="1181"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36"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would be inconsistent with any condition expressly imposed by a court in approving a settlement.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RECORDS AND REPORTS</w:t>
      </w:r>
    </w:p>
    <w:p>
      <w:pPr>
        <w:spacing w:after="0" w:line="196"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3"/>
          <w:szCs w:val="13"/>
          <w:b w:val="1"/>
          <w:bCs w:val="1"/>
          <w:u w:val="single" w:color="auto"/>
          <w:color w:val="auto"/>
        </w:rPr>
        <w:t>Maintenance And Inspection Of Records</w:t>
      </w:r>
    </w:p>
    <w:p>
      <w:pPr>
        <w:spacing w:after="0" w:line="93" w:lineRule="exact"/>
        <w:rPr>
          <w:sz w:val="20"/>
          <w:szCs w:val="20"/>
          <w:color w:val="auto"/>
        </w:rPr>
      </w:pPr>
    </w:p>
    <w:p>
      <w:pPr>
        <w:ind w:left="220" w:right="499" w:firstLine="771"/>
        <w:spacing w:after="0" w:line="266" w:lineRule="auto"/>
        <w:rPr>
          <w:sz w:val="20"/>
          <w:szCs w:val="20"/>
          <w:color w:val="auto"/>
        </w:rPr>
      </w:pPr>
      <w:r>
        <w:rPr>
          <w:rFonts w:ascii="Times New Roman" w:cs="Times New Roman" w:eastAsia="Times New Roman" w:hAnsi="Times New Roman"/>
          <w:sz w:val="14"/>
          <w:szCs w:val="14"/>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36" w:lineRule="exact"/>
        <w:rPr>
          <w:sz w:val="20"/>
          <w:szCs w:val="20"/>
          <w:color w:val="auto"/>
        </w:rPr>
      </w:pPr>
    </w:p>
    <w:p>
      <w:pPr>
        <w:ind w:left="220" w:right="239" w:firstLine="771"/>
        <w:spacing w:after="0" w:line="256" w:lineRule="auto"/>
        <w:rPr>
          <w:sz w:val="20"/>
          <w:szCs w:val="20"/>
          <w:color w:val="auto"/>
        </w:rPr>
      </w:pPr>
      <w:r>
        <w:rPr>
          <w:rFonts w:ascii="Times New Roman" w:cs="Times New Roman" w:eastAsia="Times New Roman" w:hAnsi="Times New Roman"/>
          <w:sz w:val="14"/>
          <w:szCs w:val="14"/>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45" w:lineRule="exact"/>
        <w:rPr>
          <w:sz w:val="20"/>
          <w:szCs w:val="20"/>
          <w:color w:val="auto"/>
        </w:rPr>
      </w:pPr>
    </w:p>
    <w:p>
      <w:pPr>
        <w:ind w:left="220" w:right="319" w:firstLine="771"/>
        <w:spacing w:after="0" w:line="258" w:lineRule="auto"/>
        <w:rPr>
          <w:sz w:val="20"/>
          <w:szCs w:val="20"/>
          <w:color w:val="auto"/>
        </w:rPr>
      </w:pPr>
      <w:r>
        <w:rPr>
          <w:rFonts w:ascii="Times New Roman" w:cs="Times New Roman" w:eastAsia="Times New Roman" w:hAnsi="Times New Roman"/>
          <w:sz w:val="14"/>
          <w:szCs w:val="14"/>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b w:val="1"/>
          <w:bCs w:val="1"/>
          <w:u w:val="single" w:color="auto"/>
          <w:color w:val="auto"/>
        </w:rPr>
        <w:t>Inspection By Directors</w:t>
      </w:r>
    </w:p>
    <w:p>
      <w:pPr>
        <w:spacing w:after="0" w:line="93" w:lineRule="exact"/>
        <w:rPr>
          <w:sz w:val="20"/>
          <w:szCs w:val="20"/>
          <w:color w:val="auto"/>
        </w:rPr>
      </w:pPr>
    </w:p>
    <w:p>
      <w:pPr>
        <w:ind w:left="220" w:right="259" w:firstLine="771"/>
        <w:spacing w:after="0" w:line="258" w:lineRule="auto"/>
        <w:rPr>
          <w:sz w:val="20"/>
          <w:szCs w:val="20"/>
          <w:color w:val="auto"/>
        </w:rPr>
      </w:pPr>
      <w:r>
        <w:rPr>
          <w:rFonts w:ascii="Times New Roman" w:cs="Times New Roman" w:eastAsia="Times New Roman" w:hAnsi="Times New Roman"/>
          <w:sz w:val="14"/>
          <w:szCs w:val="14"/>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375" w:name="page376"/>
    <w:bookmarkEnd w:id="3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VII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GENERAL MATTERS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b w:val="1"/>
          <w:bCs w:val="1"/>
          <w:u w:val="single" w:color="auto"/>
          <w:color w:val="auto"/>
        </w:rPr>
        <w:t>Checks</w:t>
      </w:r>
    </w:p>
    <w:p>
      <w:pPr>
        <w:spacing w:after="0" w:line="93" w:lineRule="exact"/>
        <w:rPr>
          <w:sz w:val="20"/>
          <w:szCs w:val="20"/>
          <w:color w:val="auto"/>
        </w:rPr>
      </w:pPr>
    </w:p>
    <w:p>
      <w:pPr>
        <w:jc w:val="both"/>
        <w:ind w:left="220" w:right="439" w:firstLine="771"/>
        <w:spacing w:after="0" w:line="266" w:lineRule="auto"/>
        <w:rPr>
          <w:sz w:val="20"/>
          <w:szCs w:val="20"/>
          <w:color w:val="auto"/>
        </w:rPr>
      </w:pPr>
      <w:r>
        <w:rPr>
          <w:rFonts w:ascii="Times New Roman" w:cs="Times New Roman" w:eastAsia="Times New Roman" w:hAnsi="Times New Roman"/>
          <w:sz w:val="14"/>
          <w:szCs w:val="14"/>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3"/>
          <w:szCs w:val="13"/>
          <w:b w:val="1"/>
          <w:bCs w:val="1"/>
          <w:u w:val="single" w:color="auto"/>
          <w:color w:val="auto"/>
        </w:rPr>
        <w:t>Execution Of Corporate Contracts And Instruments</w:t>
      </w:r>
    </w:p>
    <w:p>
      <w:pPr>
        <w:spacing w:after="0" w:line="93" w:lineRule="exact"/>
        <w:rPr>
          <w:sz w:val="20"/>
          <w:szCs w:val="20"/>
          <w:color w:val="auto"/>
        </w:rPr>
      </w:pPr>
    </w:p>
    <w:p>
      <w:pPr>
        <w:ind w:left="220" w:right="399" w:firstLine="771"/>
        <w:spacing w:after="0" w:line="258" w:lineRule="auto"/>
        <w:rPr>
          <w:sz w:val="20"/>
          <w:szCs w:val="20"/>
          <w:color w:val="auto"/>
        </w:rPr>
      </w:pPr>
      <w:r>
        <w:rPr>
          <w:rFonts w:ascii="Times New Roman" w:cs="Times New Roman" w:eastAsia="Times New Roman" w:hAnsi="Times New Roman"/>
          <w:sz w:val="14"/>
          <w:szCs w:val="14"/>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55"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3"/>
          <w:szCs w:val="13"/>
          <w:b w:val="1"/>
          <w:bCs w:val="1"/>
          <w:u w:val="single" w:color="auto"/>
          <w:color w:val="auto"/>
        </w:rPr>
        <w:t>Stock Certificates and Notices; Uncertificated Stock; Partly Paid Shares</w:t>
      </w:r>
    </w:p>
    <w:p>
      <w:pPr>
        <w:spacing w:after="0" w:line="93" w:lineRule="exact"/>
        <w:rPr>
          <w:sz w:val="20"/>
          <w:szCs w:val="20"/>
          <w:color w:val="auto"/>
        </w:rPr>
      </w:pPr>
    </w:p>
    <w:p>
      <w:pPr>
        <w:jc w:val="both"/>
        <w:ind w:left="220" w:right="339" w:firstLine="771"/>
        <w:spacing w:after="0" w:line="258" w:lineRule="auto"/>
        <w:rPr>
          <w:sz w:val="20"/>
          <w:szCs w:val="20"/>
          <w:color w:val="auto"/>
        </w:rPr>
      </w:pPr>
      <w:r>
        <w:rPr>
          <w:rFonts w:ascii="Times New Roman" w:cs="Times New Roman" w:eastAsia="Times New Roman" w:hAnsi="Times New Roman"/>
          <w:sz w:val="14"/>
          <w:szCs w:val="14"/>
          <w:color w:val="auto"/>
        </w:rPr>
        <w:t>The shares of the corporation may be certificated or uncertificated, as provided under Delaware law, and shall be entered in the books of the corporation and recorded as they are issued. Any or all of the signatures on any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42" w:lineRule="exact"/>
        <w:rPr>
          <w:sz w:val="20"/>
          <w:szCs w:val="20"/>
          <w:color w:val="auto"/>
        </w:rPr>
      </w:pPr>
    </w:p>
    <w:p>
      <w:pPr>
        <w:ind w:left="220" w:right="339" w:firstLine="771"/>
        <w:spacing w:after="0" w:line="258" w:lineRule="auto"/>
        <w:rPr>
          <w:sz w:val="20"/>
          <w:szCs w:val="20"/>
          <w:color w:val="auto"/>
        </w:rPr>
      </w:pPr>
      <w:r>
        <w:rPr>
          <w:rFonts w:ascii="Times New Roman" w:cs="Times New Roman" w:eastAsia="Times New Roman" w:hAnsi="Times New Roman"/>
          <w:sz w:val="14"/>
          <w:szCs w:val="14"/>
          <w:color w:val="auto"/>
        </w:rPr>
        <w:t>Within a reasonable time after the issuance or transfer of uncertificated stock, the corporation shall send to the record owner thereof a written notice that shall set forth the name of the corporation, that the corporation is organized under the laws of the State of Delaware, the name of the stockholder, the number and class (and the designation of the series, if any) of the shares represented, and any restrictions on the transfer or registration of such shares of stock imposed by the corporation’s certificate of incorporation, these Bylaws, any agreement among stockholders or any agreement between stockholders and the corporation.</w:t>
      </w:r>
    </w:p>
    <w:p>
      <w:pPr>
        <w:spacing w:after="0" w:line="142" w:lineRule="exact"/>
        <w:rPr>
          <w:sz w:val="20"/>
          <w:szCs w:val="20"/>
          <w:color w:val="auto"/>
        </w:rPr>
      </w:pPr>
    </w:p>
    <w:p>
      <w:pPr>
        <w:ind w:left="220" w:right="259" w:firstLine="771"/>
        <w:spacing w:after="0" w:line="258" w:lineRule="auto"/>
        <w:rPr>
          <w:sz w:val="20"/>
          <w:szCs w:val="20"/>
          <w:color w:val="auto"/>
        </w:rPr>
      </w:pPr>
      <w:r>
        <w:rPr>
          <w:rFonts w:ascii="Times New Roman" w:cs="Times New Roman" w:eastAsia="Times New Roman" w:hAnsi="Times New Roman"/>
          <w:sz w:val="14"/>
          <w:szCs w:val="14"/>
          <w:color w:val="auto"/>
        </w:rPr>
        <w:t>The corporation may issue the whole or any part of its shares as partly paid and subject to call for the remainder of the consideration to be paid therefor. Upon the face or back of each stock certificate, if any,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376" w:name="page377"/>
    <w:bookmarkEnd w:id="376"/>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7.4</w:t>
      </w:r>
      <w:r>
        <w:rPr>
          <w:sz w:val="20"/>
          <w:szCs w:val="20"/>
          <w:color w:val="auto"/>
        </w:rPr>
        <w:tab/>
      </w:r>
      <w:r>
        <w:rPr>
          <w:rFonts w:ascii="Times New Roman" w:cs="Times New Roman" w:eastAsia="Times New Roman" w:hAnsi="Times New Roman"/>
          <w:sz w:val="13"/>
          <w:szCs w:val="13"/>
          <w:b w:val="1"/>
          <w:bCs w:val="1"/>
          <w:u w:val="single" w:color="auto"/>
          <w:color w:val="auto"/>
        </w:rPr>
        <w:t>Special Designation On Certificates and Notices of Uncertificated Stock</w:t>
      </w:r>
    </w:p>
    <w:p>
      <w:pPr>
        <w:spacing w:after="0" w:line="93" w:lineRule="exact"/>
        <w:rPr>
          <w:sz w:val="20"/>
          <w:szCs w:val="20"/>
          <w:color w:val="auto"/>
        </w:rPr>
      </w:pPr>
    </w:p>
    <w:p>
      <w:pPr>
        <w:ind w:left="220" w:right="239" w:firstLine="771"/>
        <w:spacing w:after="0" w:line="254" w:lineRule="auto"/>
        <w:rPr>
          <w:sz w:val="20"/>
          <w:szCs w:val="20"/>
          <w:color w:val="auto"/>
        </w:rPr>
      </w:pPr>
      <w:r>
        <w:rPr>
          <w:rFonts w:ascii="Times New Roman" w:cs="Times New Roman" w:eastAsia="Times New Roman" w:hAnsi="Times New Roman"/>
          <w:sz w:val="14"/>
          <w:szCs w:val="14"/>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or the notice to the record owner of uncertificated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or the notice to the record owner of uncertificated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59"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3"/>
          <w:szCs w:val="13"/>
          <w:b w:val="1"/>
          <w:bCs w:val="1"/>
          <w:u w:val="single" w:color="auto"/>
          <w:color w:val="auto"/>
        </w:rPr>
        <w:t>Lost Certificates</w:t>
      </w:r>
    </w:p>
    <w:p>
      <w:pPr>
        <w:spacing w:after="0" w:line="93" w:lineRule="exact"/>
        <w:rPr>
          <w:sz w:val="20"/>
          <w:szCs w:val="20"/>
          <w:color w:val="auto"/>
        </w:rPr>
      </w:pPr>
    </w:p>
    <w:p>
      <w:pPr>
        <w:ind w:left="220" w:right="299" w:firstLine="771"/>
        <w:spacing w:after="0" w:line="256" w:lineRule="auto"/>
        <w:rPr>
          <w:sz w:val="20"/>
          <w:szCs w:val="20"/>
          <w:color w:val="auto"/>
        </w:rPr>
      </w:pPr>
      <w:r>
        <w:rPr>
          <w:rFonts w:ascii="Times New Roman" w:cs="Times New Roman" w:eastAsia="Times New Roman" w:hAnsi="Times New Roman"/>
          <w:sz w:val="14"/>
          <w:szCs w:val="14"/>
          <w:color w:val="auto"/>
        </w:rPr>
        <w:t>Except as provided in this Section 7.5, no new certificates for shares shall be issued to replace a previously issued certificate unless the latter is surrendered to the corporation and cancelled at the same time. The corporation may issue a new certificate of stock or notice of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58"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3"/>
          <w:szCs w:val="13"/>
          <w:b w:val="1"/>
          <w:bCs w:val="1"/>
          <w:u w:val="single" w:color="auto"/>
          <w:color w:val="auto"/>
        </w:rPr>
        <w:t>Construction; Definitions</w:t>
      </w:r>
    </w:p>
    <w:p>
      <w:pPr>
        <w:spacing w:after="0" w:line="93" w:lineRule="exact"/>
        <w:rPr>
          <w:sz w:val="20"/>
          <w:szCs w:val="20"/>
          <w:color w:val="auto"/>
        </w:rPr>
      </w:pPr>
    </w:p>
    <w:p>
      <w:pPr>
        <w:jc w:val="both"/>
        <w:ind w:left="220" w:right="359" w:firstLine="771"/>
        <w:spacing w:after="0" w:line="266" w:lineRule="auto"/>
        <w:rPr>
          <w:sz w:val="20"/>
          <w:szCs w:val="20"/>
          <w:color w:val="auto"/>
        </w:rPr>
      </w:pPr>
      <w:r>
        <w:rPr>
          <w:rFonts w:ascii="Times New Roman" w:cs="Times New Roman" w:eastAsia="Times New Roman" w:hAnsi="Times New Roman"/>
          <w:sz w:val="14"/>
          <w:szCs w:val="14"/>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7.7</w:t>
      </w:r>
      <w:r>
        <w:rPr>
          <w:sz w:val="20"/>
          <w:szCs w:val="20"/>
          <w:color w:val="auto"/>
        </w:rPr>
        <w:tab/>
      </w:r>
      <w:r>
        <w:rPr>
          <w:rFonts w:ascii="Times New Roman" w:cs="Times New Roman" w:eastAsia="Times New Roman" w:hAnsi="Times New Roman"/>
          <w:sz w:val="14"/>
          <w:szCs w:val="14"/>
          <w:b w:val="1"/>
          <w:bCs w:val="1"/>
          <w:u w:val="single" w:color="auto"/>
          <w:color w:val="auto"/>
        </w:rPr>
        <w:t>Dividends</w:t>
      </w:r>
    </w:p>
    <w:p>
      <w:pPr>
        <w:spacing w:after="0" w:line="93" w:lineRule="exact"/>
        <w:rPr>
          <w:sz w:val="20"/>
          <w:szCs w:val="20"/>
          <w:color w:val="auto"/>
        </w:rPr>
      </w:pPr>
    </w:p>
    <w:p>
      <w:pPr>
        <w:ind w:left="220" w:right="279" w:firstLine="771"/>
        <w:spacing w:after="0" w:line="266" w:lineRule="auto"/>
        <w:rPr>
          <w:sz w:val="20"/>
          <w:szCs w:val="20"/>
          <w:color w:val="auto"/>
        </w:rPr>
      </w:pPr>
      <w:r>
        <w:rPr>
          <w:rFonts w:ascii="Times New Roman" w:cs="Times New Roman" w:eastAsia="Times New Roman" w:hAnsi="Times New Roman"/>
          <w:sz w:val="14"/>
          <w:szCs w:val="14"/>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36" w:lineRule="exact"/>
        <w:rPr>
          <w:sz w:val="20"/>
          <w:szCs w:val="20"/>
          <w:color w:val="auto"/>
        </w:rPr>
      </w:pPr>
    </w:p>
    <w:p>
      <w:pPr>
        <w:jc w:val="both"/>
        <w:ind w:left="220" w:right="379" w:firstLine="771"/>
        <w:spacing w:after="0" w:line="266" w:lineRule="auto"/>
        <w:rPr>
          <w:sz w:val="20"/>
          <w:szCs w:val="20"/>
          <w:color w:val="auto"/>
        </w:rPr>
      </w:pPr>
      <w:r>
        <w:rPr>
          <w:rFonts w:ascii="Times New Roman" w:cs="Times New Roman" w:eastAsia="Times New Roman" w:hAnsi="Times New Roman"/>
          <w:sz w:val="14"/>
          <w:szCs w:val="14"/>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377" w:name="page378"/>
    <w:bookmarkEnd w:id="377"/>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7.8</w:t>
      </w:r>
      <w:r>
        <w:rPr>
          <w:sz w:val="20"/>
          <w:szCs w:val="20"/>
          <w:color w:val="auto"/>
        </w:rPr>
        <w:tab/>
      </w:r>
      <w:r>
        <w:rPr>
          <w:rFonts w:ascii="Times New Roman" w:cs="Times New Roman" w:eastAsia="Times New Roman" w:hAnsi="Times New Roman"/>
          <w:sz w:val="13"/>
          <w:szCs w:val="13"/>
          <w:b w:val="1"/>
          <w:bCs w:val="1"/>
          <w:u w:val="single" w:color="auto"/>
          <w:color w:val="auto"/>
        </w:rPr>
        <w:t>Fiscal Year</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fiscal year of the corporation shall be fixed by resolution of the Board of Directors and may be changed by the Board of Directors.</w:t>
      </w:r>
    </w:p>
    <w:p>
      <w:pPr>
        <w:spacing w:after="0" w:line="288"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7.9</w:t>
      </w:r>
      <w:r>
        <w:rPr>
          <w:sz w:val="20"/>
          <w:szCs w:val="20"/>
          <w:color w:val="auto"/>
        </w:rPr>
        <w:tab/>
      </w:r>
      <w:r>
        <w:rPr>
          <w:rFonts w:ascii="Times New Roman" w:cs="Times New Roman" w:eastAsia="Times New Roman" w:hAnsi="Times New Roman"/>
          <w:sz w:val="13"/>
          <w:szCs w:val="13"/>
          <w:b w:val="1"/>
          <w:bCs w:val="1"/>
          <w:u w:val="single" w:color="auto"/>
          <w:color w:val="auto"/>
        </w:rPr>
        <w:t>Transfer Of Stock</w:t>
      </w:r>
    </w:p>
    <w:p>
      <w:pPr>
        <w:spacing w:after="0" w:line="93" w:lineRule="exact"/>
        <w:rPr>
          <w:sz w:val="20"/>
          <w:szCs w:val="20"/>
          <w:color w:val="auto"/>
        </w:rPr>
      </w:pPr>
    </w:p>
    <w:p>
      <w:pPr>
        <w:ind w:left="220" w:right="459" w:firstLine="771"/>
        <w:spacing w:after="0" w:line="261" w:lineRule="auto"/>
        <w:rPr>
          <w:sz w:val="20"/>
          <w:szCs w:val="20"/>
          <w:color w:val="auto"/>
        </w:rPr>
      </w:pPr>
      <w:r>
        <w:rPr>
          <w:rFonts w:ascii="Times New Roman" w:cs="Times New Roman" w:eastAsia="Times New Roman" w:hAnsi="Times New Roman"/>
          <w:sz w:val="14"/>
          <w:szCs w:val="14"/>
          <w:color w:val="auto"/>
        </w:rPr>
        <w:t>Upon receipt by the corporation or the transfer agent of the corporation of proper transfer instructions from the record holder of uncertificated shares or upon surrender to the corporation or the transfer agent of the corporation of a certificate for shares duly endorsed or accompanied by proper evidence of succession, assignation or authority to transfer, it shall be the duty of the corporation to issue a new certificate or uncertificated shares to the person entitled thereto, cancel the old certificate, if any, and record the transaction in its books.</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7.10</w:t>
      </w:r>
      <w:r>
        <w:rPr>
          <w:sz w:val="20"/>
          <w:szCs w:val="20"/>
          <w:color w:val="auto"/>
        </w:rPr>
        <w:tab/>
      </w:r>
      <w:r>
        <w:rPr>
          <w:rFonts w:ascii="Times New Roman" w:cs="Times New Roman" w:eastAsia="Times New Roman" w:hAnsi="Times New Roman"/>
          <w:sz w:val="13"/>
          <w:szCs w:val="13"/>
          <w:b w:val="1"/>
          <w:bCs w:val="1"/>
          <w:u w:val="single" w:color="auto"/>
          <w:color w:val="auto"/>
        </w:rPr>
        <w:t>Stock Transfer Agreements</w:t>
      </w:r>
    </w:p>
    <w:p>
      <w:pPr>
        <w:spacing w:after="0" w:line="93" w:lineRule="exact"/>
        <w:rPr>
          <w:sz w:val="20"/>
          <w:szCs w:val="20"/>
          <w:color w:val="auto"/>
        </w:rPr>
      </w:pPr>
    </w:p>
    <w:p>
      <w:pPr>
        <w:ind w:left="220" w:right="299" w:firstLine="771"/>
        <w:spacing w:after="0" w:line="266" w:lineRule="auto"/>
        <w:rPr>
          <w:sz w:val="20"/>
          <w:szCs w:val="20"/>
          <w:color w:val="auto"/>
        </w:rPr>
      </w:pPr>
      <w:r>
        <w:rPr>
          <w:rFonts w:ascii="Times New Roman" w:cs="Times New Roman" w:eastAsia="Times New Roman" w:hAnsi="Times New Roman"/>
          <w:sz w:val="14"/>
          <w:szCs w:val="14"/>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250"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7.11</w:t>
      </w:r>
      <w:r>
        <w:rPr>
          <w:sz w:val="20"/>
          <w:szCs w:val="20"/>
          <w:color w:val="auto"/>
        </w:rPr>
        <w:tab/>
      </w:r>
      <w:r>
        <w:rPr>
          <w:rFonts w:ascii="Times New Roman" w:cs="Times New Roman" w:eastAsia="Times New Roman" w:hAnsi="Times New Roman"/>
          <w:sz w:val="13"/>
          <w:szCs w:val="13"/>
          <w:b w:val="1"/>
          <w:bCs w:val="1"/>
          <w:u w:val="single" w:color="auto"/>
          <w:color w:val="auto"/>
        </w:rPr>
        <w:t>Stockholders of Record</w:t>
      </w:r>
    </w:p>
    <w:p>
      <w:pPr>
        <w:spacing w:after="0" w:line="93" w:lineRule="exact"/>
        <w:rPr>
          <w:sz w:val="20"/>
          <w:szCs w:val="20"/>
          <w:color w:val="auto"/>
        </w:rPr>
      </w:pPr>
    </w:p>
    <w:p>
      <w:pPr>
        <w:ind w:left="220" w:right="439" w:firstLine="771"/>
        <w:spacing w:after="0" w:line="261" w:lineRule="auto"/>
        <w:rPr>
          <w:sz w:val="20"/>
          <w:szCs w:val="20"/>
          <w:color w:val="auto"/>
        </w:rPr>
      </w:pPr>
      <w:r>
        <w:rPr>
          <w:rFonts w:ascii="Times New Roman" w:cs="Times New Roman" w:eastAsia="Times New Roman" w:hAnsi="Times New Roman"/>
          <w:sz w:val="14"/>
          <w:szCs w:val="14"/>
          <w:color w:val="auto"/>
        </w:rPr>
        <w:t>The corporation shall be entitled to recognize the exclusive right of a person recorded on its books as the owner of shares to receive dividends and to vote as such owner, shall be entitled to hold liable for calls and assessments the person recorded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53"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7.12</w:t>
      </w:r>
      <w:r>
        <w:rPr>
          <w:sz w:val="20"/>
          <w:szCs w:val="20"/>
          <w:color w:val="auto"/>
        </w:rPr>
        <w:tab/>
      </w:r>
      <w:r>
        <w:rPr>
          <w:rFonts w:ascii="Times New Roman" w:cs="Times New Roman" w:eastAsia="Times New Roman" w:hAnsi="Times New Roman"/>
          <w:sz w:val="13"/>
          <w:szCs w:val="13"/>
          <w:b w:val="1"/>
          <w:bCs w:val="1"/>
          <w:u w:val="single" w:color="auto"/>
          <w:color w:val="auto"/>
        </w:rPr>
        <w:t>Facsimile Signature</w:t>
      </w:r>
    </w:p>
    <w:p>
      <w:pPr>
        <w:spacing w:after="0" w:line="93" w:lineRule="exact"/>
        <w:rPr>
          <w:sz w:val="20"/>
          <w:szCs w:val="20"/>
          <w:color w:val="auto"/>
        </w:rPr>
      </w:pPr>
    </w:p>
    <w:p>
      <w:pPr>
        <w:ind w:left="220" w:right="339" w:firstLine="771"/>
        <w:spacing w:after="0" w:line="282" w:lineRule="auto"/>
        <w:rPr>
          <w:sz w:val="20"/>
          <w:szCs w:val="20"/>
          <w:color w:val="auto"/>
        </w:rPr>
      </w:pPr>
      <w:r>
        <w:rPr>
          <w:rFonts w:ascii="Times New Roman" w:cs="Times New Roman" w:eastAsia="Times New Roman" w:hAnsi="Times New Roman"/>
          <w:sz w:val="14"/>
          <w:szCs w:val="14"/>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9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u w:val="single" w:color="auto"/>
          <w:color w:val="auto"/>
        </w:rPr>
        <w:t>AMENDMENTS</w:t>
      </w:r>
    </w:p>
    <w:p>
      <w:pPr>
        <w:spacing w:after="0" w:line="177" w:lineRule="exact"/>
        <w:rPr>
          <w:sz w:val="20"/>
          <w:szCs w:val="20"/>
          <w:color w:val="auto"/>
        </w:rPr>
      </w:pPr>
    </w:p>
    <w:p>
      <w:pPr>
        <w:ind w:left="220" w:right="359" w:firstLine="771"/>
        <w:spacing w:after="0" w:line="266" w:lineRule="auto"/>
        <w:rPr>
          <w:sz w:val="20"/>
          <w:szCs w:val="20"/>
          <w:color w:val="auto"/>
        </w:rPr>
      </w:pPr>
      <w:r>
        <w:rPr>
          <w:rFonts w:ascii="Times New Roman" w:cs="Times New Roman" w:eastAsia="Times New Roman" w:hAnsi="Times New Roman"/>
          <w:sz w:val="14"/>
          <w:szCs w:val="14"/>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378" w:name="page379"/>
    <w:bookmarkEnd w:id="3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CERTIFICATE OF ADOPTION OF BYLAWS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ADOPTION BY INCORPORATOR</w:t>
      </w:r>
    </w:p>
    <w:p>
      <w:pPr>
        <w:spacing w:after="0" w:line="177" w:lineRule="exact"/>
        <w:rPr>
          <w:sz w:val="20"/>
          <w:szCs w:val="20"/>
          <w:color w:val="auto"/>
        </w:rPr>
      </w:pPr>
    </w:p>
    <w:p>
      <w:pPr>
        <w:ind w:left="220" w:right="559" w:firstLine="342"/>
        <w:spacing w:after="0" w:line="282" w:lineRule="auto"/>
        <w:rPr>
          <w:sz w:val="20"/>
          <w:szCs w:val="20"/>
          <w:color w:val="auto"/>
        </w:rPr>
      </w:pPr>
      <w:r>
        <w:rPr>
          <w:rFonts w:ascii="Times New Roman" w:cs="Times New Roman" w:eastAsia="Times New Roman" w:hAnsi="Times New Roman"/>
          <w:sz w:val="14"/>
          <w:szCs w:val="14"/>
          <w:color w:val="auto"/>
        </w:rPr>
        <w:t>The undersigned person appointed in the certificate of incorporation to act as the Incorporator of BillionToOne, Inc., a Delaware corporation, hereby adopts the foregoing Bylaws as the Bylaws of the corporation.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Executed on February 12, 2016.</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INCORPORATOR: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Oguzhan Atay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13970</wp:posOffset>
            </wp:positionV>
            <wp:extent cx="217233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CERTIFICATE BY SECRETARY OF ADOPTION BY INCORPORATOR</w:t>
      </w:r>
    </w:p>
    <w:p>
      <w:pPr>
        <w:spacing w:after="0" w:line="177" w:lineRule="exact"/>
        <w:rPr>
          <w:sz w:val="20"/>
          <w:szCs w:val="20"/>
          <w:color w:val="auto"/>
        </w:rPr>
      </w:pPr>
    </w:p>
    <w:p>
      <w:pPr>
        <w:ind w:left="220" w:right="679" w:firstLine="342"/>
        <w:spacing w:after="0" w:line="266" w:lineRule="auto"/>
        <w:rPr>
          <w:sz w:val="20"/>
          <w:szCs w:val="20"/>
          <w:color w:val="auto"/>
        </w:rPr>
      </w:pPr>
      <w:r>
        <w:rPr>
          <w:rFonts w:ascii="Times New Roman" w:cs="Times New Roman" w:eastAsia="Times New Roman" w:hAnsi="Times New Roman"/>
          <w:sz w:val="14"/>
          <w:szCs w:val="14"/>
          <w:color w:val="auto"/>
        </w:rPr>
        <w:t>The undersigned hereby certifies that the undersigned is the duly elected, qualified, and acting Secretary of BillionToOne, Inc., a Delaware corporation, and that the foregoing Bylaws were adopted as the Bylaws of the corporation on February 12, 2016. by the person appointed in the certificate of incorporation to act as the Incorporator of the corporation.</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Executed on February 12, 2016</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SECRETARY:</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David Tsao</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David Tsao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13970</wp:posOffset>
            </wp:positionV>
            <wp:extent cx="2172335"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379" w:name="page380"/>
    <w:bookmarkEnd w:id="379"/>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17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BYLAWS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 2025 and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Effective    , 2025</w:t>
      </w:r>
    </w:p>
    <w:p>
      <w:pPr>
        <w:sectPr>
          <w:pgSz w:w="11900" w:h="16838" w:orient="portrait"/>
          <w:cols w:equalWidth="0" w:num="1">
            <w:col w:w="9019"/>
          </w:cols>
          <w:pgMar w:left="1440" w:top="123" w:right="1440" w:bottom="1440" w:gutter="0" w:footer="0" w:header="0"/>
        </w:sectPr>
      </w:pPr>
    </w:p>
    <w:bookmarkStart w:id="380" w:name="page381"/>
    <w:bookmarkEnd w:id="380"/>
    <w:tbl>
      <w:tblPr>
        <w:tblLayout w:type="fixed"/>
        <w:tblInd w:w="22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55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80" w:type="dxa"/>
            <w:vAlign w:val="bottom"/>
          </w:tcPr>
          <w:p>
            <w:pPr>
              <w:spacing w:after="0"/>
              <w:rPr>
                <w:sz w:val="16"/>
                <w:szCs w:val="16"/>
                <w:color w:val="auto"/>
              </w:rPr>
            </w:pPr>
          </w:p>
        </w:tc>
      </w:tr>
      <w:tr>
        <w:trPr>
          <w:trHeight w:val="342"/>
        </w:trPr>
        <w:tc>
          <w:tcPr>
            <w:tcW w:w="10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8"/>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STOCKHOLDERS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Annual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 of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Adjournments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Quorum</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1.6</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Organization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1.7</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Voting; Proxies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1.8</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Fixing Date for Determination of Stockholders of Record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1.9</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List of Stockholders Entitled to Vote</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Inspectors of Elections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Conduct of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1.12</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 of Stockholder Business; Nominations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1.13</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Action by Written Consent of Stockholders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1.14</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Delivery to the Corporation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7"/>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BOARD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Number; Qualifications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Election; Resignation; Removal; Vacancies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Regular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Remote Meetings Permitted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Quorum; Vote Required for Action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Organization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Unanimous Action by Directors in Lieu of a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Powers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7"/>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COMMITTEES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Committees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Committee Rules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7"/>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OFFICERS; CHAIRPERSON; LEAD INDEPENDENT DIRECTOR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Generally</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Chairperson of the Board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4.4</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4.5</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4.6</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4.7</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Treasurer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4.8</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4.9</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Secretary</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4.10</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Delegation of Authority</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4.11</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Removal</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9" w:right="1440"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Voting Shares in Other Business Entities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4.13</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Execution of Corporate Contracts and Instruments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7"/>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Certificates; Uncertificated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Lost, Stolen or Destroyed Stock Certificates; Issuance of New Certificates or Uncertificated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Regulations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7"/>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INDEMNIFICATION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Indemnification of Officers and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Advance of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Non-Exclusivity of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Indemnification Contracts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 of Indemnitee to Bring Suit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Nature of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Insurance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7"/>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NOTICES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Waiver of Notice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7"/>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INTERESTED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Interested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Quorum</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37"/>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MISCELLANEOUS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Fiscal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Seal</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9.3</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 of Records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9.4</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Reliance Upon Books and Records</w:t>
            </w:r>
          </w:p>
        </w:tc>
        <w:tc>
          <w:tcPr>
            <w:tcW w:w="1000" w:type="dxa"/>
            <w:vAlign w:val="bottom"/>
          </w:tcPr>
          <w:p>
            <w:pPr>
              <w:spacing w:after="0"/>
              <w:rPr>
                <w:sz w:val="14"/>
                <w:szCs w:val="14"/>
                <w:color w:val="auto"/>
              </w:rPr>
            </w:pP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9.5</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Certificate of Incorporation Governs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9.6</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Severability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3"/>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9.7</w:t>
            </w:r>
          </w:p>
        </w:tc>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Periods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AMENDMENT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83"/>
        </w:trPr>
        <w:tc>
          <w:tcPr>
            <w:tcW w:w="1080" w:type="dxa"/>
            <w:vAlign w:val="bottom"/>
          </w:tcPr>
          <w:p>
            <w:pPr>
              <w:spacing w:after="0"/>
              <w:rPr>
                <w:sz w:val="24"/>
                <w:szCs w:val="24"/>
                <w:color w:val="auto"/>
              </w:rPr>
            </w:pPr>
          </w:p>
        </w:tc>
        <w:tc>
          <w:tcPr>
            <w:tcW w:w="644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ii</w:t>
            </w:r>
          </w:p>
        </w:tc>
        <w:tc>
          <w:tcPr>
            <w:tcW w:w="100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382" w:name="page383"/>
    <w:bookmarkEnd w:id="382"/>
    <w:p>
      <w:pPr>
        <w:ind w:left="37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BILLIONTOONE, INC.</w:t>
      </w:r>
    </w:p>
    <w:p>
      <w:pPr>
        <w:spacing w:after="0" w:line="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BYLAWS</w:t>
      </w:r>
    </w:p>
    <w:p>
      <w:pPr>
        <w:spacing w:after="0" w:line="17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color w:val="auto"/>
        </w:rPr>
        <w:t>As Adopted ____________, 2025 and</w:t>
      </w:r>
    </w:p>
    <w:p>
      <w:pPr>
        <w:spacing w:after="0" w:line="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As Effective ____________,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b w:val="1"/>
          <w:bCs w:val="1"/>
          <w:color w:val="auto"/>
        </w:rPr>
        <w:t xml:space="preserve">Section 1.1 </w:t>
      </w:r>
      <w:r>
        <w:rPr>
          <w:rFonts w:ascii="Times New Roman" w:cs="Times New Roman" w:eastAsia="Times New Roman" w:hAnsi="Times New Roman"/>
          <w:sz w:val="13"/>
          <w:szCs w:val="13"/>
          <w:b w:val="1"/>
          <w:bCs w:val="1"/>
          <w:u w:val="single" w:color="auto"/>
          <w:color w:val="auto"/>
        </w:rPr>
        <w:t>Annual Meetings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required by applicable law or as otherwise determined by the Board of Directors (the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of BillionToOne,</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Inc. (the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an annual meeting of stockholders shall be held for the election of directors at such date and time as the Board shall each year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fix. The meeting may be held either at a place, within or without the State of Delaware as permitted by the Delaware General Corporation Law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or by means of remote communication as the Board in its sole discretion may determine. Any other proper business may be transacted at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annual meeting. The Corporation may postpone, reschedule or cancel any annual meeting of stockholders previously scheduled by the Board.</w:t>
      </w:r>
    </w:p>
    <w:p>
      <w:pPr>
        <w:spacing w:after="0" w:line="158" w:lineRule="exact"/>
        <w:rPr>
          <w:sz w:val="20"/>
          <w:szCs w:val="20"/>
          <w:color w:val="auto"/>
        </w:rPr>
      </w:pPr>
    </w:p>
    <w:p>
      <w:pPr>
        <w:ind w:left="220" w:right="31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1.2 </w:t>
      </w:r>
      <w:r>
        <w:rPr>
          <w:rFonts w:ascii="Times New Roman" w:cs="Times New Roman" w:eastAsia="Times New Roman" w:hAnsi="Times New Roman"/>
          <w:sz w:val="14"/>
          <w:szCs w:val="14"/>
          <w:b w:val="1"/>
          <w:bCs w:val="1"/>
          <w:u w:val="single" w:color="auto"/>
          <w:color w:val="auto"/>
        </w:rPr>
        <w:t>Special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Special meetings of stockholders for any purpose or purposes shall be called in the manner set forth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Amended and Restated Certificate of Incorporation of the Corporation (as the same may be amended and/or restated from time to time, the “</w:t>
      </w:r>
      <w:r>
        <w:rPr>
          <w:rFonts w:ascii="Times New Roman" w:cs="Times New Roman" w:eastAsia="Times New Roman" w:hAnsi="Times New Roman"/>
          <w:sz w:val="14"/>
          <w:szCs w:val="14"/>
          <w:b w:val="1"/>
          <w:bCs w:val="1"/>
          <w:i w:val="1"/>
          <w:iCs w:val="1"/>
          <w:color w:val="auto"/>
        </w:rPr>
        <w:t>Certificate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of Incorporation</w:t>
      </w:r>
      <w:r>
        <w:rPr>
          <w:rFonts w:ascii="Times New Roman" w:cs="Times New Roman" w:eastAsia="Times New Roman" w:hAnsi="Times New Roman"/>
          <w:sz w:val="14"/>
          <w:szCs w:val="14"/>
          <w:color w:val="auto"/>
        </w:rPr>
        <w:t>”). The special meeting may be held either at a place, within or without the State of Delaware, or by means of remote communication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w:t>
      </w:r>
    </w:p>
    <w:p>
      <w:pPr>
        <w:spacing w:after="0" w:line="141" w:lineRule="exact"/>
        <w:rPr>
          <w:sz w:val="20"/>
          <w:szCs w:val="20"/>
          <w:color w:val="auto"/>
        </w:rPr>
      </w:pPr>
    </w:p>
    <w:p>
      <w:pPr>
        <w:ind w:left="220" w:right="319" w:firstLine="342"/>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Section 1.3 </w:t>
      </w:r>
      <w:r>
        <w:rPr>
          <w:rFonts w:ascii="Times New Roman" w:cs="Times New Roman" w:eastAsia="Times New Roman" w:hAnsi="Times New Roman"/>
          <w:sz w:val="14"/>
          <w:szCs w:val="14"/>
          <w:b w:val="1"/>
          <w:bCs w:val="1"/>
          <w:u w:val="single" w:color="auto"/>
          <w:color w:val="auto"/>
        </w:rPr>
        <w:t>Notice of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of all meetings of stockholders shall be given in writing or by electronic transmission in the manner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ectPr>
          <w:pgSz w:w="11900" w:h="16838" w:orient="portrait"/>
          <w:cols w:equalWidth="0" w:num="1">
            <w:col w:w="9019"/>
          </w:cols>
          <w:pgMar w:left="1440" w:top="239" w:right="1440" w:bottom="1440" w:gutter="0" w:footer="0" w:header="0"/>
        </w:sectPr>
      </w:pPr>
    </w:p>
    <w:bookmarkStart w:id="383" w:name="page384"/>
    <w:bookmarkEnd w:id="383"/>
    <w:p>
      <w:pPr>
        <w:ind w:left="220" w:right="279" w:firstLine="342"/>
        <w:spacing w:after="0" w:line="25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1.4 </w:t>
      </w:r>
      <w:r>
        <w:rPr>
          <w:rFonts w:ascii="Times New Roman" w:cs="Times New Roman" w:eastAsia="Times New Roman" w:hAnsi="Times New Roman"/>
          <w:sz w:val="14"/>
          <w:szCs w:val="14"/>
          <w:b w:val="1"/>
          <w:bCs w:val="1"/>
          <w:u w:val="single" w:color="auto"/>
          <w:color w:val="auto"/>
        </w:rPr>
        <w:t>Adjournments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Section 1.5 of these Bylaws, the chairperson of the meeting shall have the power to recess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adjourn any meeting of stockholders, 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(i) announced at the meeting at which the adjournment is taken,</w:t>
      </w:r>
    </w:p>
    <w:p>
      <w:pPr>
        <w:spacing w:after="0" w:line="1" w:lineRule="exact"/>
        <w:rPr>
          <w:sz w:val="20"/>
          <w:szCs w:val="20"/>
          <w:color w:val="auto"/>
        </w:rPr>
      </w:pPr>
    </w:p>
    <w:p>
      <w:pPr>
        <w:ind w:left="220" w:right="239" w:firstLine="3"/>
        <w:spacing w:after="0" w:line="251" w:lineRule="auto"/>
        <w:tabs>
          <w:tab w:leader="none" w:pos="42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displayed, during the time scheduled for the meeting, on the same electronic network used to enable stockholders and proxyholders to participate in the meeting by means of remote communication, (iii) set forth in the notice of meeting, or (iv) provided in any other manner permitted by the DGCL;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if (x) the adjournment is for more than thirty (30) days, a notice of the adjourned meeting shall be given to each stockholder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w:t>
      </w:r>
    </w:p>
    <w:p>
      <w:pPr>
        <w:spacing w:after="0" w:line="147" w:lineRule="exact"/>
        <w:rPr>
          <w:sz w:val="20"/>
          <w:szCs w:val="20"/>
          <w:color w:val="auto"/>
        </w:rPr>
      </w:pPr>
    </w:p>
    <w:p>
      <w:pPr>
        <w:ind w:left="220" w:right="35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1.5 </w:t>
      </w:r>
      <w:r>
        <w:rPr>
          <w:rFonts w:ascii="Times New Roman" w:cs="Times New Roman" w:eastAsia="Times New Roman" w:hAnsi="Times New Roman"/>
          <w:sz w:val="14"/>
          <w:szCs w:val="14"/>
          <w:b w:val="1"/>
          <w:bCs w:val="1"/>
          <w:u w:val="single" w:color="auto"/>
          <w:color w:val="auto"/>
        </w:rPr>
        <w:t>Quorum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otherwise provided by applicable law, the Certificate of Incorporation or these Bylaws, at each meeting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A quorum, once established at a meeting, shall not be broken by the withdrawal of enough votes to leave less than a quorum.</w:t>
      </w:r>
    </w:p>
    <w:p>
      <w:pPr>
        <w:spacing w:after="0" w:line="146" w:lineRule="exact"/>
        <w:rPr>
          <w:sz w:val="20"/>
          <w:szCs w:val="20"/>
          <w:color w:val="auto"/>
        </w:rPr>
      </w:pPr>
    </w:p>
    <w:p>
      <w:pPr>
        <w:ind w:left="220" w:right="37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1.6 </w:t>
      </w:r>
      <w:r>
        <w:rPr>
          <w:rFonts w:ascii="Times New Roman" w:cs="Times New Roman" w:eastAsia="Times New Roman" w:hAnsi="Times New Roman"/>
          <w:sz w:val="14"/>
          <w:szCs w:val="14"/>
          <w:b w:val="1"/>
          <w:bCs w:val="1"/>
          <w:u w:val="single" w:color="auto"/>
          <w:color w:val="auto"/>
        </w:rPr>
        <w:t>Organization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Meetings of stockholders shall be presided over by (a) a director or officer of the Corporation as the Board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designate, or (b) in the absence of such a person, the Chairperson of the Board, or (c) in the absence of such person, the Chief Executive Officer of the Corporation, or (d) in the absence of such person, the Chief Legal Officer or General Counsel of the Corporation, or (e) in the absence of such person, the Lead Independent Director, or (f) in the absence of such person, by a Vice President. The Secretary of the Corporation or such other person as may be designated by the Board shall act as secretary of the meeting; provided that, in the absence of the Secretary or such other person, the chairperson of the meeting may appoint any other person to act as secretary of the meeting.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384" w:name="page385"/>
    <w:bookmarkEnd w:id="384"/>
    <w:p>
      <w:pPr>
        <w:ind w:left="220" w:right="29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1.7 </w:t>
      </w:r>
      <w:r>
        <w:rPr>
          <w:rFonts w:ascii="Times New Roman" w:cs="Times New Roman" w:eastAsia="Times New Roman" w:hAnsi="Times New Roman"/>
          <w:sz w:val="14"/>
          <w:szCs w:val="14"/>
          <w:b w:val="1"/>
          <w:bCs w:val="1"/>
          <w:u w:val="single" w:color="auto"/>
          <w:color w:val="auto"/>
        </w:rPr>
        <w:t>Voting; Proxies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stockholder of record entitled to vote at a meeting of stockholders, or to take corporate action by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Section 1.8 </w:t>
      </w:r>
      <w:r>
        <w:rPr>
          <w:rFonts w:ascii="Times New Roman" w:cs="Times New Roman" w:eastAsia="Times New Roman" w:hAnsi="Times New Roman"/>
          <w:sz w:val="14"/>
          <w:szCs w:val="14"/>
          <w:b w:val="1"/>
          <w:bCs w:val="1"/>
          <w:u w:val="single" w:color="auto"/>
          <w:color w:val="auto"/>
        </w:rPr>
        <w:t>Fixing Date for Determination of Stockholders of Record</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220" w:right="279" w:firstLine="771"/>
        <w:spacing w:after="0" w:line="253" w:lineRule="auto"/>
        <w:rPr>
          <w:sz w:val="20"/>
          <w:szCs w:val="20"/>
          <w:color w:val="auto"/>
        </w:rPr>
      </w:pPr>
      <w:r>
        <w:rPr>
          <w:rFonts w:ascii="Times New Roman" w:cs="Times New Roman" w:eastAsia="Times New Roman" w:hAnsi="Times New Roman"/>
          <w:sz w:val="14"/>
          <w:szCs w:val="14"/>
          <w:color w:val="auto"/>
        </w:rPr>
        <w:t xml:space="preserve">1.8.1 </w:t>
      </w:r>
      <w:r>
        <w:rPr>
          <w:rFonts w:ascii="Times New Roman" w:cs="Times New Roman" w:eastAsia="Times New Roman" w:hAnsi="Times New Roman"/>
          <w:sz w:val="14"/>
          <w:szCs w:val="14"/>
          <w:u w:val="single" w:color="auto"/>
          <w:color w:val="auto"/>
        </w:rPr>
        <w:t>Meetings</w:t>
      </w:r>
      <w:r>
        <w:rPr>
          <w:rFonts w:ascii="Times New Roman" w:cs="Times New Roman" w:eastAsia="Times New Roman" w:hAnsi="Times New Roman"/>
          <w:sz w:val="14"/>
          <w:szCs w:val="14"/>
          <w:color w:val="auto"/>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for determining stockholders entitled to notice of or to vote at a meeting of stockholders is fixed by the Board, the record date for determining stockholders entitled to notice of or to vote at the meeting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46" w:lineRule="exact"/>
        <w:rPr>
          <w:sz w:val="20"/>
          <w:szCs w:val="20"/>
          <w:color w:val="auto"/>
        </w:rPr>
      </w:pPr>
    </w:p>
    <w:p>
      <w:pPr>
        <w:ind w:left="220" w:right="239" w:firstLine="771"/>
        <w:spacing w:after="0" w:line="254" w:lineRule="auto"/>
        <w:rPr>
          <w:sz w:val="20"/>
          <w:szCs w:val="20"/>
          <w:color w:val="auto"/>
        </w:rPr>
      </w:pPr>
      <w:r>
        <w:rPr>
          <w:rFonts w:ascii="Times New Roman" w:cs="Times New Roman" w:eastAsia="Times New Roman" w:hAnsi="Times New Roman"/>
          <w:sz w:val="14"/>
          <w:szCs w:val="14"/>
          <w:color w:val="auto"/>
        </w:rPr>
        <w:t xml:space="preserve">1.8.2 </w:t>
      </w:r>
      <w:r>
        <w:rPr>
          <w:rFonts w:ascii="Times New Roman" w:cs="Times New Roman" w:eastAsia="Times New Roman" w:hAnsi="Times New Roman"/>
          <w:sz w:val="14"/>
          <w:szCs w:val="14"/>
          <w:u w:val="single" w:color="auto"/>
          <w:color w:val="auto"/>
        </w:rPr>
        <w:t>Stockholder Action by Consent in Lieu of a Meeting</w:t>
      </w:r>
      <w:r>
        <w:rPr>
          <w:rFonts w:ascii="Times New Roman" w:cs="Times New Roman" w:eastAsia="Times New Roman" w:hAnsi="Times New Roman"/>
          <w:sz w:val="14"/>
          <w:szCs w:val="14"/>
          <w:color w:val="auto"/>
        </w:rPr>
        <w:t>. If stockholders are not prohibited from acting by consent in lieu of a meeting pursuant to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not prohibited from acting by consent in lieu of a meeting pursuant to the Certificate of Incorporation), when no prior action by the Board is required by applicable law, shall be the first date on which a signed consent setting forth the action taken or proposed to be taken is delivered to the Corporation in accordance with Section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385" w:name="page386"/>
    <w:bookmarkEnd w:id="385"/>
    <w:p>
      <w:pPr>
        <w:ind w:left="220" w:right="2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228 of the DGCL.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w:t>
      </w:r>
    </w:p>
    <w:p>
      <w:pPr>
        <w:spacing w:after="0" w:line="136" w:lineRule="exact"/>
        <w:rPr>
          <w:sz w:val="20"/>
          <w:szCs w:val="20"/>
          <w:color w:val="auto"/>
        </w:rPr>
      </w:pPr>
    </w:p>
    <w:p>
      <w:pPr>
        <w:ind w:left="220" w:right="239" w:firstLine="771"/>
        <w:spacing w:after="0" w:line="256" w:lineRule="auto"/>
        <w:rPr>
          <w:sz w:val="20"/>
          <w:szCs w:val="20"/>
          <w:color w:val="auto"/>
        </w:rPr>
      </w:pPr>
      <w:r>
        <w:rPr>
          <w:rFonts w:ascii="Times New Roman" w:cs="Times New Roman" w:eastAsia="Times New Roman" w:hAnsi="Times New Roman"/>
          <w:sz w:val="14"/>
          <w:szCs w:val="14"/>
          <w:color w:val="auto"/>
        </w:rPr>
        <w:t xml:space="preserve">1.8.3 </w:t>
      </w:r>
      <w:r>
        <w:rPr>
          <w:rFonts w:ascii="Times New Roman" w:cs="Times New Roman" w:eastAsia="Times New Roman" w:hAnsi="Times New Roman"/>
          <w:sz w:val="14"/>
          <w:szCs w:val="14"/>
          <w:u w:val="single" w:color="auto"/>
          <w:color w:val="auto"/>
        </w:rPr>
        <w:t>Dividends, Distributions, or Rights</w:t>
      </w:r>
      <w:r>
        <w:rPr>
          <w:rFonts w:ascii="Times New Roman" w:cs="Times New Roman" w:eastAsia="Times New Roman" w:hAnsi="Times New Roman"/>
          <w:sz w:val="14"/>
          <w:szCs w:val="14"/>
          <w:color w:val="auto"/>
        </w:rPr>
        <w:t>.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Pacific Time on the day on which the Board adopts the resolution relating thereto.</w:t>
      </w:r>
    </w:p>
    <w:p>
      <w:pPr>
        <w:spacing w:after="0" w:line="143" w:lineRule="exact"/>
        <w:rPr>
          <w:sz w:val="20"/>
          <w:szCs w:val="20"/>
          <w:color w:val="auto"/>
        </w:rPr>
      </w:pPr>
    </w:p>
    <w:p>
      <w:pPr>
        <w:ind w:left="220" w:right="279" w:firstLine="342"/>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Section 1.9 </w:t>
      </w:r>
      <w:r>
        <w:rPr>
          <w:rFonts w:ascii="Times New Roman" w:cs="Times New Roman" w:eastAsia="Times New Roman" w:hAnsi="Times New Roman"/>
          <w:sz w:val="14"/>
          <w:szCs w:val="14"/>
          <w:b w:val="1"/>
          <w:bCs w:val="1"/>
          <w:u w:val="single" w:color="auto"/>
          <w:color w:val="auto"/>
        </w:rPr>
        <w:t>List of Stockholders Entitled to Vote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Corporation shall prepare, no later than the tenth (10</w:t>
      </w:r>
      <w:r>
        <w:rPr>
          <w:rFonts w:ascii="Times New Roman" w:cs="Times New Roman" w:eastAsia="Times New Roman" w:hAnsi="Times New Roman"/>
          <w:sz w:val="20"/>
          <w:szCs w:val="20"/>
          <w:u w:val="single" w:color="auto"/>
          <w:color w:val="auto"/>
          <w:vertAlign w:val="superscript"/>
        </w:rPr>
        <w:t>th</w:t>
      </w:r>
      <w:r>
        <w:rPr>
          <w:rFonts w:ascii="Times New Roman" w:cs="Times New Roman" w:eastAsia="Times New Roman" w:hAnsi="Times New Roman"/>
          <w:sz w:val="14"/>
          <w:szCs w:val="14"/>
          <w:color w:val="auto"/>
        </w:rPr>
        <w:t>) day before every meeting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stockholders, a complete list of stockholders entitled to vote at the meeting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(a) on a reasonably accessible electronic network as permitted by applicable law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that the information required to gain access to the list is provided with the notice of the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Section 1.10 </w:t>
      </w:r>
      <w:r>
        <w:rPr>
          <w:rFonts w:ascii="Times New Roman" w:cs="Times New Roman" w:eastAsia="Times New Roman" w:hAnsi="Times New Roman"/>
          <w:sz w:val="14"/>
          <w:szCs w:val="14"/>
          <w:b w:val="1"/>
          <w:bCs w:val="1"/>
          <w:u w:val="single" w:color="auto"/>
          <w:color w:val="auto"/>
        </w:rPr>
        <w:t>Inspectors of Elections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220" w:right="3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1.10.1 </w:t>
      </w:r>
      <w:r>
        <w:rPr>
          <w:rFonts w:ascii="Times New Roman" w:cs="Times New Roman" w:eastAsia="Times New Roman" w:hAnsi="Times New Roman"/>
          <w:sz w:val="14"/>
          <w:szCs w:val="14"/>
          <w:u w:val="single" w:color="auto"/>
          <w:color w:val="auto"/>
        </w:rPr>
        <w:t>Applicability</w:t>
      </w:r>
      <w:r>
        <w:rPr>
          <w:rFonts w:ascii="Times New Roman" w:cs="Times New Roman" w:eastAsia="Times New Roman" w:hAnsi="Times New Roman"/>
          <w:sz w:val="14"/>
          <w:szCs w:val="14"/>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39"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1.10.2 </w:t>
      </w:r>
      <w:r>
        <w:rPr>
          <w:rFonts w:ascii="Times New Roman" w:cs="Times New Roman" w:eastAsia="Times New Roman" w:hAnsi="Times New Roman"/>
          <w:sz w:val="14"/>
          <w:szCs w:val="14"/>
          <w:u w:val="single" w:color="auto"/>
          <w:color w:val="auto"/>
        </w:rPr>
        <w:t>Appointment</w:t>
      </w:r>
      <w:r>
        <w:rPr>
          <w:rFonts w:ascii="Times New Roman" w:cs="Times New Roman" w:eastAsia="Times New Roman" w:hAnsi="Times New Roman"/>
          <w:sz w:val="14"/>
          <w:szCs w:val="14"/>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86" w:name="page387"/>
    <w:bookmarkEnd w:id="386"/>
    <w:p>
      <w:pPr>
        <w:ind w:left="220" w:right="539" w:firstLine="77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1.10.3 </w:t>
      </w:r>
      <w:r>
        <w:rPr>
          <w:rFonts w:ascii="Times New Roman" w:cs="Times New Roman" w:eastAsia="Times New Roman" w:hAnsi="Times New Roman"/>
          <w:sz w:val="14"/>
          <w:szCs w:val="14"/>
          <w:u w:val="single" w:color="auto"/>
          <w:color w:val="auto"/>
        </w:rPr>
        <w:t>Inspector’s Oath</w:t>
      </w:r>
      <w:r>
        <w:rPr>
          <w:rFonts w:ascii="Times New Roman" w:cs="Times New Roman" w:eastAsia="Times New Roman" w:hAnsi="Times New Roman"/>
          <w:sz w:val="14"/>
          <w:szCs w:val="14"/>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25" w:lineRule="exact"/>
        <w:rPr>
          <w:sz w:val="20"/>
          <w:szCs w:val="20"/>
          <w:color w:val="auto"/>
        </w:rPr>
      </w:pPr>
    </w:p>
    <w:p>
      <w:pPr>
        <w:ind w:left="220" w:right="299" w:firstLine="771"/>
        <w:spacing w:after="0" w:line="258" w:lineRule="auto"/>
        <w:rPr>
          <w:sz w:val="20"/>
          <w:szCs w:val="20"/>
          <w:color w:val="auto"/>
        </w:rPr>
      </w:pPr>
      <w:r>
        <w:rPr>
          <w:rFonts w:ascii="Times New Roman" w:cs="Times New Roman" w:eastAsia="Times New Roman" w:hAnsi="Times New Roman"/>
          <w:sz w:val="14"/>
          <w:szCs w:val="14"/>
          <w:color w:val="auto"/>
        </w:rPr>
        <w:t xml:space="preserve">1.10.4 </w:t>
      </w:r>
      <w:r>
        <w:rPr>
          <w:rFonts w:ascii="Times New Roman" w:cs="Times New Roman" w:eastAsia="Times New Roman" w:hAnsi="Times New Roman"/>
          <w:sz w:val="14"/>
          <w:szCs w:val="14"/>
          <w:u w:val="single" w:color="auto"/>
          <w:color w:val="auto"/>
        </w:rPr>
        <w:t>Duties of Inspectors</w:t>
      </w:r>
      <w:r>
        <w:rPr>
          <w:rFonts w:ascii="Times New Roman" w:cs="Times New Roman" w:eastAsia="Times New Roman" w:hAnsi="Times New Roman"/>
          <w:sz w:val="14"/>
          <w:szCs w:val="14"/>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42"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1.10.5 </w:t>
      </w:r>
      <w:r>
        <w:rPr>
          <w:rFonts w:ascii="Times New Roman" w:cs="Times New Roman" w:eastAsia="Times New Roman" w:hAnsi="Times New Roman"/>
          <w:sz w:val="14"/>
          <w:szCs w:val="14"/>
          <w:u w:val="single" w:color="auto"/>
          <w:color w:val="auto"/>
        </w:rPr>
        <w:t>Opening and Closing of Polls</w:t>
      </w:r>
      <w:r>
        <w:rPr>
          <w:rFonts w:ascii="Times New Roman" w:cs="Times New Roman" w:eastAsia="Times New Roman" w:hAnsi="Times New Roman"/>
          <w:sz w:val="14"/>
          <w:szCs w:val="14"/>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9" w:lineRule="exact"/>
        <w:rPr>
          <w:sz w:val="20"/>
          <w:szCs w:val="20"/>
          <w:color w:val="auto"/>
        </w:rPr>
      </w:pPr>
    </w:p>
    <w:p>
      <w:pPr>
        <w:ind w:left="220" w:right="239" w:firstLine="771"/>
        <w:spacing w:after="0" w:line="254" w:lineRule="auto"/>
        <w:rPr>
          <w:sz w:val="20"/>
          <w:szCs w:val="20"/>
          <w:color w:val="auto"/>
        </w:rPr>
      </w:pPr>
      <w:r>
        <w:rPr>
          <w:rFonts w:ascii="Times New Roman" w:cs="Times New Roman" w:eastAsia="Times New Roman" w:hAnsi="Times New Roman"/>
          <w:sz w:val="14"/>
          <w:szCs w:val="14"/>
          <w:color w:val="auto"/>
        </w:rPr>
        <w:t xml:space="preserve">1.10.6 </w:t>
      </w:r>
      <w:r>
        <w:rPr>
          <w:rFonts w:ascii="Times New Roman" w:cs="Times New Roman" w:eastAsia="Times New Roman" w:hAnsi="Times New Roman"/>
          <w:sz w:val="14"/>
          <w:szCs w:val="14"/>
          <w:u w:val="single" w:color="auto"/>
          <w:color w:val="auto"/>
        </w:rPr>
        <w:t>Determinations</w:t>
      </w:r>
      <w:r>
        <w:rPr>
          <w:rFonts w:ascii="Times New Roman" w:cs="Times New Roman" w:eastAsia="Times New Roman" w:hAnsi="Times New Roman"/>
          <w:sz w:val="14"/>
          <w:szCs w:val="14"/>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44"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1.11 </w:t>
      </w:r>
      <w:r>
        <w:rPr>
          <w:rFonts w:ascii="Times New Roman" w:cs="Times New Roman" w:eastAsia="Times New Roman" w:hAnsi="Times New Roman"/>
          <w:sz w:val="14"/>
          <w:szCs w:val="14"/>
          <w:b w:val="1"/>
          <w:bCs w:val="1"/>
          <w:u w:val="single" w:color="auto"/>
          <w:color w:val="auto"/>
        </w:rPr>
        <w:t>Conduct of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adopt by resolution such rules and regulations for the conduct of the meeting of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87" w:name="page388"/>
    <w:bookmarkEnd w:id="387"/>
    <w:p>
      <w:pPr>
        <w:ind w:left="22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consistent with the provisions of these Bylaws, applicable laws and regulations or other requirements provided to the stockholders in accordance with applicable law,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3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Section 1.12 </w:t>
      </w:r>
      <w:r>
        <w:rPr>
          <w:rFonts w:ascii="Times New Roman" w:cs="Times New Roman" w:eastAsia="Times New Roman" w:hAnsi="Times New Roman"/>
          <w:sz w:val="14"/>
          <w:szCs w:val="14"/>
          <w:b w:val="1"/>
          <w:bCs w:val="1"/>
          <w:u w:val="single" w:color="auto"/>
          <w:color w:val="auto"/>
        </w:rPr>
        <w:t>Notice of Stockholder Business; Nominations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1.12.1 </w:t>
      </w:r>
      <w:r>
        <w:rPr>
          <w:rFonts w:ascii="Times New Roman" w:cs="Times New Roman" w:eastAsia="Times New Roman" w:hAnsi="Times New Roman"/>
          <w:sz w:val="14"/>
          <w:szCs w:val="14"/>
          <w:u w:val="single" w:color="auto"/>
          <w:color w:val="auto"/>
        </w:rPr>
        <w:t>Annual Meeting of Stockholders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116"/>
        <w:spacing w:after="0" w:line="254" w:lineRule="auto"/>
        <w:tabs>
          <w:tab w:leader="none" w:pos="1523"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14"/>
          <w:szCs w:val="14"/>
          <w:b w:val="1"/>
          <w:bCs w:val="1"/>
          <w:i w:val="1"/>
          <w:iCs w:val="1"/>
          <w:color w:val="auto"/>
        </w:rPr>
        <w:t>Record Stockholder</w:t>
      </w:r>
      <w:r>
        <w:rPr>
          <w:rFonts w:ascii="Times New Roman" w:cs="Times New Roman" w:eastAsia="Times New Roman" w:hAnsi="Times New Roman"/>
          <w:sz w:val="14"/>
          <w:szCs w:val="14"/>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at an annual meeting of stockholders, and such stockholder must fully comply with the notice and other procedures set forth in this Section 1.12 to make such nominations or propose business before an annual meeting.</w:t>
      </w:r>
    </w:p>
    <w:p>
      <w:pPr>
        <w:spacing w:after="0" w:line="145"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nominations or other business to be properly brought before an annual meeting by a Record Stockholder pursuant to</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Section 1.12.1(a) of these Bylaws:</w:t>
      </w:r>
    </w:p>
    <w:p>
      <w:pPr>
        <w:spacing w:after="0" w:line="160" w:lineRule="exact"/>
        <w:rPr>
          <w:sz w:val="20"/>
          <w:szCs w:val="20"/>
          <w:color w:val="auto"/>
        </w:rPr>
      </w:pPr>
    </w:p>
    <w:p>
      <w:pPr>
        <w:ind w:left="220" w:right="359" w:firstLine="1544"/>
        <w:spacing w:after="0" w:line="282" w:lineRule="auto"/>
        <w:tabs>
          <w:tab w:leader="none" w:pos="1928"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25" w:lineRule="exact"/>
        <w:rPr>
          <w:rFonts w:ascii="Times New Roman" w:cs="Times New Roman" w:eastAsia="Times New Roman" w:hAnsi="Times New Roman"/>
          <w:sz w:val="14"/>
          <w:szCs w:val="14"/>
          <w:color w:val="auto"/>
        </w:rPr>
      </w:pPr>
    </w:p>
    <w:p>
      <w:pPr>
        <w:ind w:left="1960" w:hanging="196"/>
        <w:spacing w:after="0"/>
        <w:tabs>
          <w:tab w:leader="none" w:pos="1960"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business (other than the nomination of persons for election to the Board) must otherwise be a proper matter for</w:t>
      </w:r>
    </w:p>
    <w:p>
      <w:pPr>
        <w:spacing w:after="0" w:line="33" w:lineRule="exact"/>
        <w:rPr>
          <w:rFonts w:ascii="Times New Roman" w:cs="Times New Roman" w:eastAsia="Times New Roman" w:hAnsi="Times New Roman"/>
          <w:sz w:val="13"/>
          <w:szCs w:val="13"/>
          <w:color w:val="auto"/>
        </w:rPr>
      </w:pPr>
    </w:p>
    <w:p>
      <w:pPr>
        <w:ind w:left="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stockholder action;</w:t>
      </w:r>
    </w:p>
    <w:p>
      <w:pPr>
        <w:spacing w:after="0" w:line="160" w:lineRule="exact"/>
        <w:rPr>
          <w:rFonts w:ascii="Times New Roman" w:cs="Times New Roman" w:eastAsia="Times New Roman" w:hAnsi="Times New Roman"/>
          <w:sz w:val="13"/>
          <w:szCs w:val="13"/>
          <w:color w:val="auto"/>
        </w:rPr>
      </w:pPr>
    </w:p>
    <w:p>
      <w:pPr>
        <w:jc w:val="both"/>
        <w:ind w:left="220" w:right="379" w:firstLine="1544"/>
        <w:spacing w:after="0" w:line="266" w:lineRule="auto"/>
        <w:tabs>
          <w:tab w:leader="none" w:pos="2006"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88" w:name="page389"/>
    <w:bookmarkEnd w:id="388"/>
    <w:p>
      <w:pPr>
        <w:ind w:left="220" w:right="3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required under the Certificate of Incorporation and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39" w:lineRule="exact"/>
        <w:rPr>
          <w:sz w:val="20"/>
          <w:szCs w:val="20"/>
          <w:color w:val="auto"/>
        </w:rPr>
      </w:pPr>
    </w:p>
    <w:p>
      <w:pPr>
        <w:ind w:left="220" w:right="259" w:firstLine="1544"/>
        <w:spacing w:after="0" w:line="272" w:lineRule="auto"/>
        <w:tabs>
          <w:tab w:leader="none" w:pos="1998" w:val="left"/>
        </w:tabs>
        <w:numPr>
          <w:ilvl w:val="2"/>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Pacific Time on the ninetieth (90th) day nor earlier than 5:00 p.m. Pacific Time on the one hundred and twentieth (120th) day prior to the first anniversary of the preceding year’s annual meeting (which date shall, for purposes of the Corporation’s first annual meeting of stockholders after its shares of Common Stock (as defined in the Certificate of Incorporation) are first publicly traded, be deemed to have occurred on May 1, 2025);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color w:val="auto"/>
        </w:rPr>
        <w:t>, that in the event that the date of the annual meeting is more than thirty (30) days before or more than seventy</w:t>
      </w:r>
    </w:p>
    <w:p>
      <w:pPr>
        <w:spacing w:after="0" w:line="4" w:lineRule="exact"/>
        <w:rPr>
          <w:rFonts w:ascii="Times New Roman" w:cs="Times New Roman" w:eastAsia="Times New Roman" w:hAnsi="Times New Roman"/>
          <w:sz w:val="13"/>
          <w:szCs w:val="13"/>
          <w:color w:val="auto"/>
        </w:rPr>
      </w:pPr>
    </w:p>
    <w:p>
      <w:pPr>
        <w:ind w:left="220" w:right="259" w:firstLine="3"/>
        <w:spacing w:after="0" w:line="252" w:lineRule="auto"/>
        <w:tabs>
          <w:tab w:leader="none" w:pos="488"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such anniversary date, notice by the Record Stockholder to be timely must be so delivered (A) no earlier than 5:00 p.m. Pacific Time on the one hundred and twentieth (120th) day prior to such annual meeting and (B) no later than 5:00 p.m. Pacific Time on the later of the ninetieth (90th) day prior to such annual meeting or 5:00 p.m. Pacific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47" w:lineRule="exact"/>
        <w:rPr>
          <w:rFonts w:ascii="Times New Roman" w:cs="Times New Roman" w:eastAsia="Times New Roman" w:hAnsi="Times New Roman"/>
          <w:sz w:val="14"/>
          <w:szCs w:val="14"/>
          <w:color w:val="auto"/>
        </w:rPr>
      </w:pPr>
    </w:p>
    <w:p>
      <w:pPr>
        <w:ind w:left="220" w:right="379" w:firstLine="1116"/>
        <w:spacing w:after="0" w:line="282" w:lineRule="auto"/>
        <w:tabs>
          <w:tab w:leader="none" w:pos="152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each person whom the Record Stockholder proposes to nominate for election or reelection as a director, in addition to the matters set forth in paragraph (e) below, such Record Stockholder’s notice shall set forth:</w:t>
      </w:r>
    </w:p>
    <w:p>
      <w:pPr>
        <w:spacing w:after="0" w:line="125" w:lineRule="exact"/>
        <w:rPr>
          <w:rFonts w:ascii="Times New Roman" w:cs="Times New Roman" w:eastAsia="Times New Roman" w:hAnsi="Times New Roman"/>
          <w:sz w:val="14"/>
          <w:szCs w:val="14"/>
          <w:color w:val="auto"/>
        </w:rPr>
      </w:pPr>
    </w:p>
    <w:p>
      <w:pPr>
        <w:ind w:left="1940" w:hanging="176"/>
        <w:spacing w:after="0"/>
        <w:tabs>
          <w:tab w:leader="none" w:pos="1940"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age, business address and residence address of such person;</w:t>
      </w:r>
    </w:p>
    <w:p>
      <w:pPr>
        <w:spacing w:after="0" w:line="174" w:lineRule="exact"/>
        <w:rPr>
          <w:rFonts w:ascii="Times New Roman" w:cs="Times New Roman" w:eastAsia="Times New Roman" w:hAnsi="Times New Roman"/>
          <w:sz w:val="14"/>
          <w:szCs w:val="14"/>
          <w:color w:val="auto"/>
        </w:rPr>
      </w:pPr>
    </w:p>
    <w:p>
      <w:pPr>
        <w:ind w:left="1960" w:hanging="196"/>
        <w:spacing w:after="0"/>
        <w:tabs>
          <w:tab w:leader="none" w:pos="1960"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or employment of such nominee;</w:t>
      </w:r>
    </w:p>
    <w:p>
      <w:pPr>
        <w:spacing w:after="0" w:line="174" w:lineRule="exact"/>
        <w:rPr>
          <w:rFonts w:ascii="Times New Roman" w:cs="Times New Roman" w:eastAsia="Times New Roman" w:hAnsi="Times New Roman"/>
          <w:sz w:val="14"/>
          <w:szCs w:val="14"/>
          <w:color w:val="auto"/>
        </w:rPr>
      </w:pPr>
    </w:p>
    <w:p>
      <w:pPr>
        <w:ind w:left="220" w:right="299" w:firstLine="1544"/>
        <w:spacing w:after="0" w:line="282" w:lineRule="auto"/>
        <w:tabs>
          <w:tab w:leader="none" w:pos="2006"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series and number of any shares of stock of the Corporation that are beneficially owned or owned of record by such person or any Associated Person (as defined below);</w:t>
      </w:r>
    </w:p>
    <w:p>
      <w:pPr>
        <w:spacing w:after="0" w:line="125"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such shares were acquired and the investment intent of such acquisition;</w:t>
      </w:r>
    </w:p>
    <w:p>
      <w:pPr>
        <w:spacing w:after="0" w:line="174" w:lineRule="exact"/>
        <w:rPr>
          <w:rFonts w:ascii="Times New Roman" w:cs="Times New Roman" w:eastAsia="Times New Roman" w:hAnsi="Times New Roman"/>
          <w:sz w:val="14"/>
          <w:szCs w:val="14"/>
          <w:color w:val="auto"/>
        </w:rPr>
      </w:pPr>
    </w:p>
    <w:p>
      <w:pPr>
        <w:ind w:left="220" w:right="299" w:firstLine="1544"/>
        <w:spacing w:after="0" w:line="266" w:lineRule="auto"/>
        <w:tabs>
          <w:tab w:leader="none" w:pos="1959"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389" w:name="page390"/>
    <w:bookmarkEnd w:id="389"/>
    <w:p>
      <w:pPr>
        <w:ind w:left="220" w:right="239" w:firstLine="1544"/>
        <w:spacing w:after="0" w:line="266" w:lineRule="auto"/>
        <w:tabs>
          <w:tab w:leader="none" w:pos="1998"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36" w:lineRule="exact"/>
        <w:rPr>
          <w:rFonts w:ascii="Times New Roman" w:cs="Times New Roman" w:eastAsia="Times New Roman" w:hAnsi="Times New Roman"/>
          <w:sz w:val="14"/>
          <w:szCs w:val="14"/>
          <w:color w:val="auto"/>
        </w:rPr>
      </w:pPr>
    </w:p>
    <w:p>
      <w:pPr>
        <w:ind w:left="220" w:right="859" w:firstLine="1544"/>
        <w:spacing w:after="0" w:line="282" w:lineRule="auto"/>
        <w:tabs>
          <w:tab w:leader="none" w:pos="2037"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person meets the independence requirements of the stock exchange upon which any class of the Corporation’s Common Stock is primarily traded;</w:t>
      </w:r>
    </w:p>
    <w:p>
      <w:pPr>
        <w:spacing w:after="0" w:line="125" w:lineRule="exact"/>
        <w:rPr>
          <w:rFonts w:ascii="Times New Roman" w:cs="Times New Roman" w:eastAsia="Times New Roman" w:hAnsi="Times New Roman"/>
          <w:sz w:val="14"/>
          <w:szCs w:val="14"/>
          <w:color w:val="auto"/>
        </w:rPr>
      </w:pPr>
    </w:p>
    <w:p>
      <w:pPr>
        <w:ind w:left="220" w:right="239" w:firstLine="1544"/>
        <w:spacing w:after="0" w:line="256" w:lineRule="auto"/>
        <w:tabs>
          <w:tab w:leader="none" w:pos="2076"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44"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completed and signed questionnaire, representation and agreement required by Section 1.12.2 of these Bylaws.</w:t>
      </w:r>
    </w:p>
    <w:p>
      <w:pPr>
        <w:spacing w:after="0" w:line="174" w:lineRule="exact"/>
        <w:rPr>
          <w:rFonts w:ascii="Times New Roman" w:cs="Times New Roman" w:eastAsia="Times New Roman" w:hAnsi="Times New Roman"/>
          <w:sz w:val="14"/>
          <w:szCs w:val="14"/>
          <w:color w:val="auto"/>
        </w:rPr>
      </w:pPr>
    </w:p>
    <w:p>
      <w:pPr>
        <w:ind w:left="220" w:right="359" w:firstLine="1116"/>
        <w:spacing w:after="0" w:line="282" w:lineRule="auto"/>
        <w:tabs>
          <w:tab w:leader="none" w:pos="1531"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25" w:lineRule="exact"/>
        <w:rPr>
          <w:rFonts w:ascii="Times New Roman" w:cs="Times New Roman" w:eastAsia="Times New Roman" w:hAnsi="Times New Roman"/>
          <w:sz w:val="14"/>
          <w:szCs w:val="14"/>
          <w:color w:val="auto"/>
        </w:rPr>
      </w:pPr>
    </w:p>
    <w:p>
      <w:pPr>
        <w:ind w:left="220" w:right="279" w:firstLine="1544"/>
        <w:spacing w:after="0" w:line="261" w:lineRule="auto"/>
        <w:tabs>
          <w:tab w:leader="none" w:pos="1928"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39" w:lineRule="exact"/>
        <w:rPr>
          <w:rFonts w:ascii="Times New Roman" w:cs="Times New Roman" w:eastAsia="Times New Roman" w:hAnsi="Times New Roman"/>
          <w:sz w:val="14"/>
          <w:szCs w:val="14"/>
          <w:color w:val="auto"/>
        </w:rPr>
      </w:pPr>
    </w:p>
    <w:p>
      <w:pPr>
        <w:jc w:val="both"/>
        <w:ind w:left="220" w:right="299" w:firstLine="1544"/>
        <w:spacing w:after="0" w:line="266" w:lineRule="auto"/>
        <w:tabs>
          <w:tab w:leader="none" w:pos="1967"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36" w:lineRule="exact"/>
        <w:rPr>
          <w:rFonts w:ascii="Times New Roman" w:cs="Times New Roman" w:eastAsia="Times New Roman" w:hAnsi="Times New Roman"/>
          <w:sz w:val="14"/>
          <w:szCs w:val="14"/>
          <w:color w:val="auto"/>
        </w:rPr>
      </w:pPr>
    </w:p>
    <w:p>
      <w:pPr>
        <w:ind w:left="1520" w:hanging="184"/>
        <w:spacing w:after="0"/>
        <w:tabs>
          <w:tab w:leader="none" w:pos="15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each Proposing Person giving the notice, such Record Stockholder’s notice shall set forth:</w:t>
      </w:r>
    </w:p>
    <w:p>
      <w:pPr>
        <w:spacing w:after="0" w:line="174" w:lineRule="exact"/>
        <w:rPr>
          <w:rFonts w:ascii="Times New Roman" w:cs="Times New Roman" w:eastAsia="Times New Roman" w:hAnsi="Times New Roman"/>
          <w:sz w:val="14"/>
          <w:szCs w:val="14"/>
          <w:color w:val="auto"/>
        </w:rPr>
      </w:pPr>
    </w:p>
    <w:p>
      <w:pPr>
        <w:ind w:left="220" w:right="399" w:firstLine="1544"/>
        <w:spacing w:after="0" w:line="282" w:lineRule="auto"/>
        <w:tabs>
          <w:tab w:leader="none" w:pos="1928"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name and address of such Proposing Person, including, if applicable, the name and address of the Proposing Person as they appear on the Corporation’s stock ledger, if different;</w:t>
      </w:r>
    </w:p>
    <w:p>
      <w:pPr>
        <w:spacing w:after="0" w:line="125" w:lineRule="exact"/>
        <w:rPr>
          <w:rFonts w:ascii="Times New Roman" w:cs="Times New Roman" w:eastAsia="Times New Roman" w:hAnsi="Times New Roman"/>
          <w:sz w:val="14"/>
          <w:szCs w:val="14"/>
          <w:color w:val="auto"/>
        </w:rPr>
      </w:pPr>
    </w:p>
    <w:p>
      <w:pPr>
        <w:ind w:left="220" w:right="299" w:firstLine="1544"/>
        <w:spacing w:after="0" w:line="266" w:lineRule="auto"/>
        <w:tabs>
          <w:tab w:leader="none" w:pos="1967"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or series and number of shares of stock of the Corporation that are directly or indirectly owned of record or beneficially owned by such Proposing Person, including any shares of any class or series of stock of the Corporation as to which such Proposing Person has a right to acquire beneficial ownership at any time in the future;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90" w:name="page391"/>
    <w:bookmarkEnd w:id="390"/>
    <w:p>
      <w:pPr>
        <w:ind w:left="220" w:right="239" w:firstLine="1544"/>
        <w:spacing w:after="0" w:line="252" w:lineRule="auto"/>
        <w:tabs>
          <w:tab w:leader="none" w:pos="2006"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stock of the Corporation or with a value derived in whole or in part from the value of any class or series of shares of stock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cs="Times New Roman" w:eastAsia="Times New Roman" w:hAnsi="Times New Roman"/>
          <w:sz w:val="14"/>
          <w:szCs w:val="14"/>
          <w:b w:val="1"/>
          <w:bCs w:val="1"/>
          <w:i w:val="1"/>
          <w:iCs w:val="1"/>
          <w:color w:val="auto"/>
        </w:rPr>
        <w:t>Derivative Instrument</w:t>
      </w:r>
      <w:r>
        <w:rPr>
          <w:rFonts w:ascii="Times New Roman" w:cs="Times New Roman" w:eastAsia="Times New Roman" w:hAnsi="Times New Roman"/>
          <w:sz w:val="14"/>
          <w:szCs w:val="14"/>
          <w:color w:val="auto"/>
        </w:rPr>
        <w:t>”), as well as any rights to dividends on the shares of any class or series of shares of stock of the Corporation that are separated or separable from the underlying shares of the Corporation) or any short interest in any security of the Corporation (it being understood that,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cs="Times New Roman" w:eastAsia="Times New Roman" w:hAnsi="Times New Roman"/>
          <w:sz w:val="14"/>
          <w:szCs w:val="14"/>
          <w:b w:val="1"/>
          <w:bCs w:val="1"/>
          <w:i w:val="1"/>
          <w:iCs w:val="1"/>
          <w:color w:val="auto"/>
        </w:rPr>
        <w:t>Short Interest</w:t>
      </w:r>
      <w:r>
        <w:rPr>
          <w:rFonts w:ascii="Times New Roman" w:cs="Times New Roman" w:eastAsia="Times New Roman" w:hAnsi="Times New Roman"/>
          <w:sz w:val="14"/>
          <w:szCs w:val="14"/>
          <w:color w:val="auto"/>
        </w:rPr>
        <w:t>”);</w:t>
      </w:r>
    </w:p>
    <w:p>
      <w:pPr>
        <w:spacing w:after="0" w:line="150" w:lineRule="exact"/>
        <w:rPr>
          <w:rFonts w:ascii="Times New Roman" w:cs="Times New Roman" w:eastAsia="Times New Roman" w:hAnsi="Times New Roman"/>
          <w:sz w:val="14"/>
          <w:szCs w:val="14"/>
          <w:color w:val="auto"/>
        </w:rPr>
      </w:pPr>
    </w:p>
    <w:p>
      <w:pPr>
        <w:jc w:val="both"/>
        <w:ind w:left="220" w:right="239" w:firstLine="1544"/>
        <w:spacing w:after="0" w:line="266" w:lineRule="auto"/>
        <w:tabs>
          <w:tab w:leader="none" w:pos="1998"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proportionate interest in shares of stock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36" w:lineRule="exact"/>
        <w:rPr>
          <w:rFonts w:ascii="Times New Roman" w:cs="Times New Roman" w:eastAsia="Times New Roman" w:hAnsi="Times New Roman"/>
          <w:sz w:val="14"/>
          <w:szCs w:val="14"/>
          <w:color w:val="auto"/>
        </w:rPr>
      </w:pPr>
    </w:p>
    <w:p>
      <w:pPr>
        <w:ind w:left="220" w:right="519" w:firstLine="1544"/>
        <w:spacing w:after="0" w:line="266" w:lineRule="auto"/>
        <w:tabs>
          <w:tab w:leader="none" w:pos="1959"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36" w:lineRule="exact"/>
        <w:rPr>
          <w:rFonts w:ascii="Times New Roman" w:cs="Times New Roman" w:eastAsia="Times New Roman" w:hAnsi="Times New Roman"/>
          <w:sz w:val="14"/>
          <w:szCs w:val="14"/>
          <w:color w:val="auto"/>
        </w:rPr>
      </w:pPr>
    </w:p>
    <w:p>
      <w:pPr>
        <w:ind w:left="220" w:right="799" w:firstLine="1544"/>
        <w:spacing w:after="0" w:line="282" w:lineRule="auto"/>
        <w:tabs>
          <w:tab w:leader="none" w:pos="1998"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equity interests or any Derivative Instruments or Short Interests in any Competitor held by such Proposing Person and/or any of its respective affiliates or associates;</w:t>
      </w:r>
    </w:p>
    <w:p>
      <w:pPr>
        <w:spacing w:after="0" w:line="125" w:lineRule="exact"/>
        <w:rPr>
          <w:rFonts w:ascii="Times New Roman" w:cs="Times New Roman" w:eastAsia="Times New Roman" w:hAnsi="Times New Roman"/>
          <w:sz w:val="14"/>
          <w:szCs w:val="14"/>
          <w:color w:val="auto"/>
        </w:rPr>
      </w:pPr>
    </w:p>
    <w:p>
      <w:pPr>
        <w:ind w:left="220" w:right="839" w:firstLine="1544"/>
        <w:spacing w:after="0" w:line="282" w:lineRule="auto"/>
        <w:tabs>
          <w:tab w:leader="none" w:pos="2037"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business or financial relationship between such Proposing Person, on the one hand, and the Corporation, any affiliate of the Corporation or any Competitor, on the other hand;</w:t>
      </w:r>
    </w:p>
    <w:p>
      <w:pPr>
        <w:spacing w:after="0" w:line="125" w:lineRule="exact"/>
        <w:rPr>
          <w:rFonts w:ascii="Times New Roman" w:cs="Times New Roman" w:eastAsia="Times New Roman" w:hAnsi="Times New Roman"/>
          <w:sz w:val="14"/>
          <w:szCs w:val="14"/>
          <w:color w:val="auto"/>
        </w:rPr>
      </w:pPr>
    </w:p>
    <w:p>
      <w:pPr>
        <w:ind w:left="220" w:right="419" w:firstLine="1544"/>
        <w:spacing w:after="0" w:line="266" w:lineRule="auto"/>
        <w:tabs>
          <w:tab w:leader="none" w:pos="2076"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91" w:name="page392"/>
    <w:bookmarkEnd w:id="391"/>
    <w:p>
      <w:pPr>
        <w:ind w:left="220" w:right="319" w:firstLine="1544"/>
        <w:spacing w:after="0" w:line="266" w:lineRule="auto"/>
        <w:tabs>
          <w:tab w:leader="none" w:pos="1998"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36" w:lineRule="exact"/>
        <w:rPr>
          <w:rFonts w:ascii="Times New Roman" w:cs="Times New Roman" w:eastAsia="Times New Roman" w:hAnsi="Times New Roman"/>
          <w:sz w:val="14"/>
          <w:szCs w:val="14"/>
          <w:color w:val="auto"/>
        </w:rPr>
      </w:pPr>
    </w:p>
    <w:p>
      <w:pPr>
        <w:ind w:left="1960" w:hanging="196"/>
        <w:spacing w:after="0"/>
        <w:tabs>
          <w:tab w:leader="none" w:pos="19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Proposing Person’s written consent to the public disclosure of information provided to the Corporation pursuant to</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1.12;</w:t>
      </w:r>
    </w:p>
    <w:p>
      <w:pPr>
        <w:spacing w:after="0" w:line="160" w:lineRule="exact"/>
        <w:rPr>
          <w:rFonts w:ascii="Times New Roman" w:cs="Times New Roman" w:eastAsia="Times New Roman" w:hAnsi="Times New Roman"/>
          <w:sz w:val="14"/>
          <w:szCs w:val="14"/>
          <w:color w:val="auto"/>
        </w:rPr>
      </w:pPr>
    </w:p>
    <w:p>
      <w:pPr>
        <w:ind w:left="220" w:right="519" w:firstLine="1544"/>
        <w:spacing w:after="0" w:line="282" w:lineRule="auto"/>
        <w:tabs>
          <w:tab w:leader="none" w:pos="1998"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25" w:lineRule="exact"/>
        <w:rPr>
          <w:rFonts w:ascii="Times New Roman" w:cs="Times New Roman" w:eastAsia="Times New Roman" w:hAnsi="Times New Roman"/>
          <w:sz w:val="14"/>
          <w:szCs w:val="14"/>
          <w:color w:val="auto"/>
        </w:rPr>
      </w:pPr>
    </w:p>
    <w:p>
      <w:pPr>
        <w:ind w:left="220" w:right="239" w:firstLine="1544"/>
        <w:spacing w:after="0" w:line="254" w:lineRule="auto"/>
        <w:tabs>
          <w:tab w:leader="none" w:pos="2037"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whether such Proposing Person will or is part of a group that will (x) deliver, in the case of a proposal of business other than nominations, through means satisfying each of the conditions that would be applicable to the Corporation under either Exchange Act Rule 14a-16(a) or Exchange Act Rule 14a-16(n), a proxy statement and/or form of proxy to holders (including any beneficial owners pursuant to Rule 14b-1 and Rule 14b-2 of the Exchange Act) of at least the percentage of the voting power of the Corporation’s outstanding capital stock required to approve or adopt the proposal or in the case of any non-exempt solicitation made with respect to any director nomination,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and/or (y) otherwise solicit proxies or votes from stockholders in support of such proposal or nomination; and</w:t>
      </w:r>
    </w:p>
    <w:p>
      <w:pPr>
        <w:spacing w:after="0" w:line="145" w:lineRule="exact"/>
        <w:rPr>
          <w:rFonts w:ascii="Times New Roman" w:cs="Times New Roman" w:eastAsia="Times New Roman" w:hAnsi="Times New Roman"/>
          <w:sz w:val="14"/>
          <w:szCs w:val="14"/>
          <w:color w:val="auto"/>
        </w:rPr>
      </w:pPr>
    </w:p>
    <w:p>
      <w:pPr>
        <w:ind w:left="220" w:right="279" w:firstLine="1544"/>
        <w:spacing w:after="0" w:line="282" w:lineRule="auto"/>
        <w:tabs>
          <w:tab w:leader="none" w:pos="2076"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proxy, contract, arrangement, or relationship pursuant to which the Proposing Person has a right to vote, directly or indirectly, any shares of any security of the Corporation.</w:t>
      </w:r>
    </w:p>
    <w:p>
      <w:pPr>
        <w:spacing w:after="0" w:line="125" w:lineRule="exact"/>
        <w:rPr>
          <w:sz w:val="20"/>
          <w:szCs w:val="20"/>
          <w:color w:val="auto"/>
        </w:rPr>
      </w:pPr>
    </w:p>
    <w:p>
      <w:pPr>
        <w:ind w:left="220" w:right="299"/>
        <w:spacing w:after="0" w:line="266" w:lineRule="auto"/>
        <w:rPr>
          <w:sz w:val="20"/>
          <w:szCs w:val="20"/>
          <w:color w:val="auto"/>
        </w:rPr>
      </w:pPr>
      <w:r>
        <w:rPr>
          <w:rFonts w:ascii="Times New Roman" w:cs="Times New Roman" w:eastAsia="Times New Roman" w:hAnsi="Times New Roman"/>
          <w:sz w:val="14"/>
          <w:szCs w:val="14"/>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36" w:lineRule="exact"/>
        <w:rPr>
          <w:sz w:val="20"/>
          <w:szCs w:val="20"/>
          <w:color w:val="auto"/>
        </w:rPr>
      </w:pPr>
    </w:p>
    <w:p>
      <w:pPr>
        <w:ind w:left="220" w:right="279" w:firstLine="1116"/>
        <w:spacing w:after="0" w:line="261" w:lineRule="auto"/>
        <w:tabs>
          <w:tab w:leader="none" w:pos="1508"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Pacific Time on the tenth (10th) business day prior to the meeting or any adjournment or postponement thereof. In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92" w:name="page393"/>
    <w:bookmarkEnd w:id="392"/>
    <w:p>
      <w:pPr>
        <w:ind w:left="220" w:right="299"/>
        <w:spacing w:after="0" w:line="27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32" w:lineRule="exact"/>
        <w:rPr>
          <w:sz w:val="20"/>
          <w:szCs w:val="20"/>
          <w:color w:val="auto"/>
        </w:rPr>
      </w:pPr>
    </w:p>
    <w:p>
      <w:pPr>
        <w:ind w:left="220" w:right="279" w:firstLine="771"/>
        <w:spacing w:after="0" w:line="253" w:lineRule="auto"/>
        <w:rPr>
          <w:sz w:val="20"/>
          <w:szCs w:val="20"/>
          <w:color w:val="auto"/>
        </w:rPr>
      </w:pPr>
      <w:r>
        <w:rPr>
          <w:rFonts w:ascii="Times New Roman" w:cs="Times New Roman" w:eastAsia="Times New Roman" w:hAnsi="Times New Roman"/>
          <w:sz w:val="14"/>
          <w:szCs w:val="14"/>
          <w:color w:val="auto"/>
        </w:rPr>
        <w:t xml:space="preserve">1.12.2 </w:t>
      </w:r>
      <w:r>
        <w:rPr>
          <w:rFonts w:ascii="Times New Roman" w:cs="Times New Roman" w:eastAsia="Times New Roman" w:hAnsi="Times New Roman"/>
          <w:sz w:val="14"/>
          <w:szCs w:val="14"/>
          <w:u w:val="single" w:color="auto"/>
          <w:color w:val="auto"/>
        </w:rPr>
        <w:t>Submission of Questionnaire, Representation and Agreement</w:t>
      </w:r>
      <w:r>
        <w:rPr>
          <w:rFonts w:ascii="Times New Roman" w:cs="Times New Roman" w:eastAsia="Times New Roman" w:hAnsi="Times New Roman"/>
          <w:sz w:val="14"/>
          <w:szCs w:val="14"/>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(10)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w:t>
      </w:r>
    </w:p>
    <w:p>
      <w:pPr>
        <w:spacing w:after="0" w:line="2" w:lineRule="exact"/>
        <w:rPr>
          <w:sz w:val="20"/>
          <w:szCs w:val="20"/>
          <w:color w:val="auto"/>
        </w:rPr>
      </w:pPr>
    </w:p>
    <w:p>
      <w:pPr>
        <w:ind w:left="220" w:right="239" w:firstLine="3"/>
        <w:spacing w:after="0" w:line="269" w:lineRule="auto"/>
        <w:tabs>
          <w:tab w:leader="none" w:pos="410"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3"/>
          <w:szCs w:val="13"/>
          <w:b w:val="1"/>
          <w:bCs w:val="1"/>
          <w:i w:val="1"/>
          <w:iCs w:val="1"/>
          <w:color w:val="auto"/>
        </w:rPr>
        <w:t>Voting Commitment</w:t>
      </w:r>
      <w:r>
        <w:rPr>
          <w:rFonts w:ascii="Times New Roman" w:cs="Times New Roman" w:eastAsia="Times New Roman" w:hAnsi="Times New Roman"/>
          <w:sz w:val="13"/>
          <w:szCs w:val="13"/>
          <w:color w:val="auto"/>
        </w:rPr>
        <w:t>”) that has not been disclosed to the Corporation or (ii) any Voting Commitment that could reasonably be expected to limit or interfere with such person’s ability to comply, if elected as a director of the Corporation, with such person’s fiduciary duties under applicable law, (b) is not and will not become a party to any Compensation Arrangement (as defined below) that has not been disclosed to the Corporation, (c) if elected as a director of the Corporation, subject to fiduciary duties as a director, will comply with all informational and similar requirements of applicable insurance policies and laws and regulations in connection with service or action as a director of the Corporation, (d) if elected as a director of the Corporation, subject to fiduciary duties as a director, will comply with all corporate governance, conflict of interest, stock ownership requirements, confidentiality and trading policies and guidelines of the Corporation publicly disclosed from time to time, (e) consents to being named as a nominee in the Corporation’s proxy statement pursuant to Rule 14a-4(d) under the Exchange Act and any associated proxy card of the Corporation and agrees to serve if elected as a director and</w:t>
      </w:r>
    </w:p>
    <w:p>
      <w:pPr>
        <w:spacing w:after="0" w:line="3" w:lineRule="exact"/>
        <w:rPr>
          <w:rFonts w:ascii="Times New Roman" w:cs="Times New Roman" w:eastAsia="Times New Roman" w:hAnsi="Times New Roman"/>
          <w:sz w:val="13"/>
          <w:szCs w:val="13"/>
          <w:color w:val="auto"/>
        </w:rPr>
      </w:pPr>
    </w:p>
    <w:p>
      <w:pPr>
        <w:ind w:left="400" w:hanging="177"/>
        <w:spacing w:after="0"/>
        <w:tabs>
          <w:tab w:leader="none" w:pos="4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intends to serve as a director for the full term for which such individual is to stand for election.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93" w:name="page394"/>
    <w:bookmarkEnd w:id="393"/>
    <w:p>
      <w:pPr>
        <w:ind w:left="220" w:right="239" w:firstLine="771"/>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1.12.3 </w:t>
      </w:r>
      <w:r>
        <w:rPr>
          <w:rFonts w:ascii="Times New Roman" w:cs="Times New Roman" w:eastAsia="Times New Roman" w:hAnsi="Times New Roman"/>
          <w:sz w:val="14"/>
          <w:szCs w:val="14"/>
          <w:u w:val="single" w:color="auto"/>
          <w:color w:val="auto"/>
        </w:rPr>
        <w:t>Special Meetings of Stockholders</w:t>
      </w:r>
      <w:r>
        <w:rPr>
          <w:rFonts w:ascii="Times New Roman" w:cs="Times New Roman" w:eastAsia="Times New Roman" w:hAnsi="Times New Roman"/>
          <w:sz w:val="14"/>
          <w:szCs w:val="14"/>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Pacific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1.12.4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116"/>
        <w:spacing w:after="0" w:line="252" w:lineRule="auto"/>
        <w:tabs>
          <w:tab w:leader="none" w:pos="1523"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(including whether each Proposing Person solicited (or is part of a group which solicited) or did not so solicit, as the case may be, proxies or votes in support of such Proposing Person’s nominee or proposal in compliance with the representation required by Section 1.12.1(e)(vii))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Notwithstanding anything to the contrary in these Bylaws, unless otherwise required by law, if any Proposing Person (i) provides notice pursuant to Rule 14a-19(b) promulgated under the Exchange Act with respect to any proposed nominee and (ii) subsequently fails to comply with the requirements of Rule 14a-19 promulgated under the Exchange Act (or fails to timely provide reasonable evidence sufficient to satisfy the Corporation that such Proposing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394" w:name="page395"/>
    <w:bookmarkEnd w:id="394"/>
    <w:p>
      <w:pPr>
        <w:ind w:left="220" w:right="2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materials for any annual meeting (or any supplement thereto) and notwithstanding that proxies or votes in respect of the election of such proposed nominees may have been received by the Corporation (which proxies and votes shall be disregarded). If any Proposing Person provides notice pursuant to Rule 14a-19(b) promulgated under the Exchange Act, such stockholder shall deliver to the Corporation, no later than five (5) business days prior to the date of the meeting and any adjournment or postponement thereof, reasonable evidence that it or such Proposing Person has met the requirements of Rule 14a-19(a)(3) promulgated under the Exchange Act.</w:t>
      </w:r>
    </w:p>
    <w:p>
      <w:pPr>
        <w:spacing w:after="0" w:line="142" w:lineRule="exact"/>
        <w:rPr>
          <w:sz w:val="20"/>
          <w:szCs w:val="20"/>
          <w:color w:val="auto"/>
        </w:rPr>
      </w:pPr>
    </w:p>
    <w:p>
      <w:pPr>
        <w:ind w:left="220" w:right="259" w:firstLine="1116"/>
        <w:spacing w:after="0" w:line="287" w:lineRule="auto"/>
        <w:tabs>
          <w:tab w:leader="none" w:pos="1531"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1.12.5 For purposes of these Bylaws the following definitions shall apply:</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associate</w:t>
      </w:r>
      <w:r>
        <w:rPr>
          <w:rFonts w:ascii="Times New Roman" w:cs="Times New Roman" w:eastAsia="Times New Roman" w:hAnsi="Times New Roman"/>
          <w:sz w:val="14"/>
          <w:szCs w:val="14"/>
          <w:color w:val="auto"/>
        </w:rPr>
        <w:t>” shall have the meanings ascribed thereto in Rule 405 under the Securities Act of 1933, as amended (the “</w:t>
      </w:r>
      <w:r>
        <w:rPr>
          <w:rFonts w:ascii="Times New Roman" w:cs="Times New Roman" w:eastAsia="Times New Roman" w:hAnsi="Times New Roman"/>
          <w:sz w:val="14"/>
          <w:szCs w:val="14"/>
          <w:b w:val="1"/>
          <w:bCs w:val="1"/>
          <w:i w:val="1"/>
          <w:iCs w:val="1"/>
          <w:color w:val="auto"/>
        </w:rPr>
        <w:t>Securities</w:t>
      </w:r>
    </w:p>
    <w:p>
      <w:pPr>
        <w:spacing w:after="0" w:line="24" w:lineRule="exact"/>
        <w:rPr>
          <w:sz w:val="20"/>
          <w:szCs w:val="20"/>
          <w:color w:val="auto"/>
        </w:rPr>
      </w:pPr>
    </w:p>
    <w:p>
      <w:pPr>
        <w:ind w:left="220" w:right="33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provided, however, that the term “partner” as used in the definition of “associate” shall not include any limited partner that is not involved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of the relevant partnership;</w:t>
      </w:r>
    </w:p>
    <w:p>
      <w:pPr>
        <w:spacing w:after="0" w:line="138" w:lineRule="exact"/>
        <w:rPr>
          <w:sz w:val="20"/>
          <w:szCs w:val="20"/>
          <w:color w:val="auto"/>
        </w:rPr>
      </w:pPr>
    </w:p>
    <w:p>
      <w:pPr>
        <w:ind w:left="220" w:right="339" w:firstLine="3"/>
        <w:spacing w:after="0" w:line="262" w:lineRule="auto"/>
        <w:tabs>
          <w:tab w:leader="none" w:pos="441"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Associated Person</w:t>
      </w:r>
      <w:r>
        <w:rPr>
          <w:rFonts w:ascii="Times New Roman" w:cs="Times New Roman" w:eastAsia="Times New Roman" w:hAnsi="Times New Roman"/>
          <w:sz w:val="14"/>
          <w:szCs w:val="14"/>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with any such Associated Person;</w:t>
      </w:r>
    </w:p>
    <w:p>
      <w:pPr>
        <w:spacing w:after="0" w:line="136" w:lineRule="exact"/>
        <w:rPr>
          <w:rFonts w:ascii="Times New Roman" w:cs="Times New Roman" w:eastAsia="Times New Roman" w:hAnsi="Times New Roman"/>
          <w:sz w:val="14"/>
          <w:szCs w:val="14"/>
          <w:color w:val="auto"/>
        </w:rPr>
      </w:pPr>
    </w:p>
    <w:p>
      <w:pPr>
        <w:ind w:left="220" w:right="279" w:firstLine="3"/>
        <w:spacing w:after="0" w:line="262" w:lineRule="auto"/>
        <w:tabs>
          <w:tab w:leader="none" w:pos="441"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Compensation Arrangement</w:t>
      </w:r>
      <w:r>
        <w:rPr>
          <w:rFonts w:ascii="Times New Roman" w:cs="Times New Roman" w:eastAsia="Times New Roman" w:hAnsi="Times New Roman"/>
          <w:sz w:val="14"/>
          <w:szCs w:val="14"/>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36" w:lineRule="exact"/>
        <w:rPr>
          <w:rFonts w:ascii="Times New Roman" w:cs="Times New Roman" w:eastAsia="Times New Roman" w:hAnsi="Times New Roman"/>
          <w:sz w:val="14"/>
          <w:szCs w:val="14"/>
          <w:color w:val="auto"/>
        </w:rPr>
      </w:pPr>
    </w:p>
    <w:p>
      <w:pPr>
        <w:ind w:left="220" w:right="499" w:firstLine="3"/>
        <w:spacing w:after="0" w:line="285" w:lineRule="auto"/>
        <w:tabs>
          <w:tab w:leader="none" w:pos="44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Competitor</w:t>
      </w:r>
      <w:r>
        <w:rPr>
          <w:rFonts w:ascii="Times New Roman" w:cs="Times New Roman" w:eastAsia="Times New Roman" w:hAnsi="Times New Roman"/>
          <w:sz w:val="14"/>
          <w:szCs w:val="14"/>
          <w:color w:val="auto"/>
        </w:rPr>
        <w:t>” shall mean any entity that provides products or services that would reasonably be understood as products or services that compete with or are alternatives to the principal products produced or services provided by the Corporation or its affiliates;</w:t>
      </w:r>
    </w:p>
    <w:p>
      <w:pPr>
        <w:spacing w:after="0" w:line="121" w:lineRule="exact"/>
        <w:rPr>
          <w:rFonts w:ascii="Times New Roman" w:cs="Times New Roman" w:eastAsia="Times New Roman" w:hAnsi="Times New Roman"/>
          <w:sz w:val="14"/>
          <w:szCs w:val="14"/>
          <w:color w:val="auto"/>
        </w:rPr>
      </w:pPr>
    </w:p>
    <w:p>
      <w:pPr>
        <w:ind w:left="220" w:right="279" w:firstLine="3"/>
        <w:spacing w:after="0" w:line="259" w:lineRule="auto"/>
        <w:tabs>
          <w:tab w:leader="none" w:pos="434"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Proposing Person</w:t>
      </w:r>
      <w:r>
        <w:rPr>
          <w:rFonts w:ascii="Times New Roman" w:cs="Times New Roman" w:eastAsia="Times New Roman" w:hAnsi="Times New Roman"/>
          <w:sz w:val="14"/>
          <w:szCs w:val="14"/>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95" w:name="page396"/>
    <w:bookmarkEnd w:id="395"/>
    <w:p>
      <w:pPr>
        <w:ind w:left="220" w:right="799" w:firstLine="3"/>
        <w:spacing w:after="0" w:line="285" w:lineRule="auto"/>
        <w:tabs>
          <w:tab w:leader="none" w:pos="426"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Public Announcement</w:t>
      </w:r>
      <w:r>
        <w:rPr>
          <w:rFonts w:ascii="Times New Roman" w:cs="Times New Roman" w:eastAsia="Times New Roman" w:hAnsi="Times New Roman"/>
          <w:sz w:val="14"/>
          <w:szCs w:val="14"/>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21" w:lineRule="exact"/>
        <w:rPr>
          <w:rFonts w:ascii="Times New Roman" w:cs="Times New Roman" w:eastAsia="Times New Roman" w:hAnsi="Times New Roman"/>
          <w:sz w:val="14"/>
          <w:szCs w:val="14"/>
          <w:color w:val="auto"/>
        </w:rPr>
      </w:pPr>
    </w:p>
    <w:p>
      <w:pPr>
        <w:ind w:left="220" w:right="239" w:firstLine="3"/>
        <w:spacing w:after="0" w:line="257" w:lineRule="auto"/>
        <w:tabs>
          <w:tab w:leader="none" w:pos="449"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considered a “</w:t>
      </w:r>
      <w:r>
        <w:rPr>
          <w:rFonts w:ascii="Times New Roman" w:cs="Times New Roman" w:eastAsia="Times New Roman" w:hAnsi="Times New Roman"/>
          <w:sz w:val="14"/>
          <w:szCs w:val="14"/>
          <w:b w:val="1"/>
          <w:bCs w:val="1"/>
          <w:i w:val="1"/>
          <w:iCs w:val="1"/>
          <w:color w:val="auto"/>
        </w:rPr>
        <w:t>Qualified Representative</w:t>
      </w:r>
      <w:r>
        <w:rPr>
          <w:rFonts w:ascii="Times New Roman" w:cs="Times New Roman" w:eastAsia="Times New Roman" w:hAnsi="Times New Roman"/>
          <w:sz w:val="14"/>
          <w:szCs w:val="14"/>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41" w:lineRule="exact"/>
        <w:rPr>
          <w:sz w:val="20"/>
          <w:szCs w:val="20"/>
          <w:color w:val="auto"/>
        </w:rPr>
      </w:pPr>
    </w:p>
    <w:p>
      <w:pPr>
        <w:ind w:left="220" w:right="31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1.13 </w:t>
      </w:r>
      <w:r>
        <w:rPr>
          <w:rFonts w:ascii="Times New Roman" w:cs="Times New Roman" w:eastAsia="Times New Roman" w:hAnsi="Times New Roman"/>
          <w:sz w:val="14"/>
          <w:szCs w:val="14"/>
          <w:b w:val="1"/>
          <w:bCs w:val="1"/>
          <w:u w:val="single" w:color="auto"/>
          <w:color w:val="auto"/>
        </w:rPr>
        <w:t>Delivery to the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this Article I, Section 1.12 requires one or more persons (including a record or beneficial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owner of stock) to 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58" w:lineRule="exact"/>
        <w:rPr>
          <w:sz w:val="20"/>
          <w:szCs w:val="20"/>
          <w:color w:val="auto"/>
        </w:rPr>
      </w:pPr>
    </w:p>
    <w:p>
      <w:pPr>
        <w:ind w:left="220" w:right="35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2.1 </w:t>
      </w:r>
      <w:r>
        <w:rPr>
          <w:rFonts w:ascii="Times New Roman" w:cs="Times New Roman" w:eastAsia="Times New Roman" w:hAnsi="Times New Roman"/>
          <w:sz w:val="14"/>
          <w:szCs w:val="14"/>
          <w:b w:val="1"/>
          <w:bCs w:val="1"/>
          <w:u w:val="single" w:color="auto"/>
          <w:color w:val="auto"/>
        </w:rPr>
        <w:t>Number; Qualifications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total number of directors constituting the Whole Board shall be fixed from time to time in the manner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36" w:lineRule="exact"/>
        <w:rPr>
          <w:sz w:val="20"/>
          <w:szCs w:val="20"/>
          <w:color w:val="auto"/>
        </w:rPr>
      </w:pPr>
    </w:p>
    <w:p>
      <w:pPr>
        <w:ind w:left="220" w:right="31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2.2 </w:t>
      </w:r>
      <w:r>
        <w:rPr>
          <w:rFonts w:ascii="Times New Roman" w:cs="Times New Roman" w:eastAsia="Times New Roman" w:hAnsi="Times New Roman"/>
          <w:sz w:val="14"/>
          <w:szCs w:val="14"/>
          <w:b w:val="1"/>
          <w:bCs w:val="1"/>
          <w:u w:val="single" w:color="auto"/>
          <w:color w:val="auto"/>
        </w:rPr>
        <w:t>Election; Resignation; Removal; Vacancies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Election of directors need not be by written ballot. Unless otherwise provided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of Incorporation and subject to the special rights of holders of any outstanding series of Preferred Stock to elect directors, the Board shall be divided into three classes, designated as Class I, Class II and Class III.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outstanding series of Preferred Stock to elect directors, directors may be removed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396" w:name="page397"/>
    <w:bookmarkEnd w:id="396"/>
    <w:p>
      <w:pPr>
        <w:jc w:val="both"/>
        <w:ind w:left="220" w:right="31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2.3 </w:t>
      </w:r>
      <w:r>
        <w:rPr>
          <w:rFonts w:ascii="Times New Roman" w:cs="Times New Roman" w:eastAsia="Times New Roman" w:hAnsi="Times New Roman"/>
          <w:sz w:val="14"/>
          <w:szCs w:val="14"/>
          <w:b w:val="1"/>
          <w:bCs w:val="1"/>
          <w:u w:val="single" w:color="auto"/>
          <w:color w:val="auto"/>
        </w:rPr>
        <w:t>Regular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Regular meetings of the Board may be held at such places, if any, within or without the State of Delaware, and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times as the Board may from time to time determine. Notice of regular meetings need not be given if the date, times and places, if any, thereof are fixed by resolution of the Board.</w:t>
      </w:r>
    </w:p>
    <w:p>
      <w:pPr>
        <w:spacing w:after="0" w:line="134" w:lineRule="exact"/>
        <w:rPr>
          <w:sz w:val="20"/>
          <w:szCs w:val="20"/>
          <w:color w:val="auto"/>
        </w:rPr>
      </w:pPr>
    </w:p>
    <w:p>
      <w:pPr>
        <w:ind w:left="220" w:right="299" w:firstLine="34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2.4 </w:t>
      </w:r>
      <w:r>
        <w:rPr>
          <w:rFonts w:ascii="Times New Roman" w:cs="Times New Roman" w:eastAsia="Times New Roman" w:hAnsi="Times New Roman"/>
          <w:sz w:val="13"/>
          <w:szCs w:val="13"/>
          <w:b w:val="1"/>
          <w:bCs w:val="1"/>
          <w:u w:val="single" w:color="auto"/>
          <w:color w:val="auto"/>
        </w:rPr>
        <w:t>Special Meetings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Special meetings of the Board may be called by the Chairperson of the Board, the Chief Executive Officer,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Lead Independent Director or a majority of the members of the Board then in office and may be held at any time, date or place, if any, within or without the State of Delaware, as the person or persons calling the meeting shall fix. Notice of the time, date and place, if any, of such meeting shall be given, orally, in writing or by electronic transmission (including electronic mail), by the person or persons calling the meeting to all directors at least four</w:t>
      </w:r>
    </w:p>
    <w:p>
      <w:pPr>
        <w:spacing w:after="0" w:line="1" w:lineRule="exact"/>
        <w:rPr>
          <w:sz w:val="20"/>
          <w:szCs w:val="20"/>
          <w:color w:val="auto"/>
        </w:rPr>
      </w:pPr>
    </w:p>
    <w:p>
      <w:pPr>
        <w:ind w:left="220" w:right="239" w:firstLine="3"/>
        <w:spacing w:after="0" w:line="252" w:lineRule="auto"/>
        <w:tabs>
          <w:tab w:leader="none" w:pos="418"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days before the meeting if the notice is mailed, or at least twenty-four (24) hours before the meeting if such notice is given by telephone, hand delivery, facsimile, electronic mail or other means of electronic transmission;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45" w:lineRule="exact"/>
        <w:rPr>
          <w:sz w:val="20"/>
          <w:szCs w:val="20"/>
          <w:color w:val="auto"/>
        </w:rPr>
      </w:pPr>
    </w:p>
    <w:p>
      <w:pPr>
        <w:jc w:val="both"/>
        <w:ind w:left="220" w:right="29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2.5 </w:t>
      </w:r>
      <w:r>
        <w:rPr>
          <w:rFonts w:ascii="Times New Roman" w:cs="Times New Roman" w:eastAsia="Times New Roman" w:hAnsi="Times New Roman"/>
          <w:sz w:val="14"/>
          <w:szCs w:val="14"/>
          <w:b w:val="1"/>
          <w:bCs w:val="1"/>
          <w:u w:val="single" w:color="auto"/>
          <w:color w:val="auto"/>
        </w:rPr>
        <w:t>Remote Meetings Permitted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Members of the Board, or any committee of the Board, may participate in a meeting of the Board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36" w:lineRule="exact"/>
        <w:rPr>
          <w:sz w:val="20"/>
          <w:szCs w:val="20"/>
          <w:color w:val="auto"/>
        </w:rPr>
      </w:pPr>
    </w:p>
    <w:p>
      <w:pPr>
        <w:ind w:left="220" w:right="33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2.6 </w:t>
      </w:r>
      <w:r>
        <w:rPr>
          <w:rFonts w:ascii="Times New Roman" w:cs="Times New Roman" w:eastAsia="Times New Roman" w:hAnsi="Times New Roman"/>
          <w:sz w:val="14"/>
          <w:szCs w:val="14"/>
          <w:b w:val="1"/>
          <w:bCs w:val="1"/>
          <w:u w:val="single" w:color="auto"/>
          <w:color w:val="auto"/>
        </w:rPr>
        <w:t>Quorum; Vote Required for 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all meetings of the Board, directors representing a majority of the Whole Board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36" w:lineRule="exact"/>
        <w:rPr>
          <w:sz w:val="20"/>
          <w:szCs w:val="20"/>
          <w:color w:val="auto"/>
        </w:rPr>
      </w:pPr>
    </w:p>
    <w:p>
      <w:pPr>
        <w:ind w:left="220" w:right="27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2.7 </w:t>
      </w:r>
      <w:r>
        <w:rPr>
          <w:rFonts w:ascii="Times New Roman" w:cs="Times New Roman" w:eastAsia="Times New Roman" w:hAnsi="Times New Roman"/>
          <w:sz w:val="14"/>
          <w:szCs w:val="14"/>
          <w:b w:val="1"/>
          <w:bCs w:val="1"/>
          <w:u w:val="single" w:color="auto"/>
          <w:color w:val="auto"/>
        </w:rPr>
        <w:t>Organization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Meetings of the Board shall be presided over by (a) the Chairperson of the Board, or (b) in the absence of such person,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Lead Independent Director, or (c) in such person’s absence, by the Chief Executive Officer (if also a director),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397" w:name="page398"/>
    <w:bookmarkEnd w:id="397"/>
    <w:p>
      <w:pPr>
        <w:ind w:left="220" w:right="23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2.8 </w:t>
      </w:r>
      <w:r>
        <w:rPr>
          <w:rFonts w:ascii="Times New Roman" w:cs="Times New Roman" w:eastAsia="Times New Roman" w:hAnsi="Times New Roman"/>
          <w:sz w:val="14"/>
          <w:szCs w:val="14"/>
          <w:b w:val="1"/>
          <w:bCs w:val="1"/>
          <w:u w:val="single" w:color="auto"/>
          <w:color w:val="auto"/>
        </w:rPr>
        <w:t>Unanimous Action by Directors in Lieu of a Meeting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action required or permitted to be taken at any meeting of the Board,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39"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2.9 </w:t>
      </w:r>
      <w:r>
        <w:rPr>
          <w:rFonts w:ascii="Times New Roman" w:cs="Times New Roman" w:eastAsia="Times New Roman" w:hAnsi="Times New Roman"/>
          <w:sz w:val="14"/>
          <w:szCs w:val="14"/>
          <w:b w:val="1"/>
          <w:bCs w:val="1"/>
          <w:u w:val="single" w:color="auto"/>
          <w:color w:val="auto"/>
        </w:rPr>
        <w:t>Powers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otherwise provided by the Certificate of Incorporation or the DGCL, the business and affairs of the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managed by or under the direction of the Board.</w:t>
      </w:r>
    </w:p>
    <w:p>
      <w:pPr>
        <w:spacing w:after="0" w:line="121" w:lineRule="exact"/>
        <w:rPr>
          <w:sz w:val="20"/>
          <w:szCs w:val="20"/>
          <w:color w:val="auto"/>
        </w:rPr>
      </w:pPr>
    </w:p>
    <w:p>
      <w:pPr>
        <w:ind w:left="220" w:right="23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Section 2.10 </w:t>
      </w:r>
      <w:r>
        <w:rPr>
          <w:rFonts w:ascii="Times New Roman" w:cs="Times New Roman" w:eastAsia="Times New Roman" w:hAnsi="Times New Roman"/>
          <w:sz w:val="14"/>
          <w:szCs w:val="14"/>
          <w:b w:val="1"/>
          <w:bCs w:val="1"/>
          <w:u w:val="single" w:color="auto"/>
          <w:color w:val="auto"/>
        </w:rPr>
        <w:t>Compensation of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Members of the Board, as such, may receive, pursuant to a duly approved director compensation policy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resolution of the Board or duly authorized committee of the Board, fees and other compensation for their services as directors, including without limitation their services as members of committees of the Board.</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COMMITTEES</w:t>
      </w:r>
    </w:p>
    <w:p>
      <w:pPr>
        <w:spacing w:after="0" w:line="158" w:lineRule="exact"/>
        <w:rPr>
          <w:sz w:val="20"/>
          <w:szCs w:val="20"/>
          <w:color w:val="auto"/>
        </w:rPr>
      </w:pPr>
    </w:p>
    <w:p>
      <w:pPr>
        <w:ind w:left="220" w:right="31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3.1 </w:t>
      </w:r>
      <w:r>
        <w:rPr>
          <w:rFonts w:ascii="Times New Roman" w:cs="Times New Roman" w:eastAsia="Times New Roman" w:hAnsi="Times New Roman"/>
          <w:sz w:val="14"/>
          <w:szCs w:val="14"/>
          <w:b w:val="1"/>
          <w:bCs w:val="1"/>
          <w:u w:val="single" w:color="auto"/>
          <w:color w:val="auto"/>
        </w:rPr>
        <w:t>Committees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designate one or more committees, each committee to consist of one or more of the directors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43" w:lineRule="exact"/>
        <w:rPr>
          <w:sz w:val="20"/>
          <w:szCs w:val="20"/>
          <w:color w:val="auto"/>
        </w:rPr>
      </w:pPr>
    </w:p>
    <w:p>
      <w:pPr>
        <w:ind w:left="220" w:right="31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3.2 </w:t>
      </w:r>
      <w:r>
        <w:rPr>
          <w:rFonts w:ascii="Times New Roman" w:cs="Times New Roman" w:eastAsia="Times New Roman" w:hAnsi="Times New Roman"/>
          <w:sz w:val="14"/>
          <w:szCs w:val="14"/>
          <w:b w:val="1"/>
          <w:bCs w:val="1"/>
          <w:u w:val="single" w:color="auto"/>
          <w:color w:val="auto"/>
        </w:rPr>
        <w:t>Committee Rules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committee shall keep records of its proceedings and make such reports as the Board may from time to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398" w:name="page399"/>
    <w:bookmarkEnd w:id="39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OFFICERS; CHAIRPERSON; LEAD INDEPENDENT DIRECTOR</w:t>
      </w:r>
    </w:p>
    <w:p>
      <w:pPr>
        <w:spacing w:after="0" w:line="158" w:lineRule="exact"/>
        <w:rPr>
          <w:sz w:val="20"/>
          <w:szCs w:val="20"/>
          <w:color w:val="auto"/>
        </w:rPr>
      </w:pPr>
    </w:p>
    <w:p>
      <w:pPr>
        <w:ind w:left="220" w:right="27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Section 4.1 </w:t>
      </w:r>
      <w:r>
        <w:rPr>
          <w:rFonts w:ascii="Times New Roman" w:cs="Times New Roman" w:eastAsia="Times New Roman" w:hAnsi="Times New Roman"/>
          <w:sz w:val="14"/>
          <w:szCs w:val="14"/>
          <w:b w:val="1"/>
          <w:bCs w:val="1"/>
          <w:u w:val="single" w:color="auto"/>
          <w:color w:val="auto"/>
        </w:rPr>
        <w:t>Generally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officers of the Corporation shall consist of a Chief Executive Officer, a Chief Financial Officer, a Secretary and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Treasurer and may consist of such other officers as may from time to time be appointed by the Board. All officers shall be elected by the Board;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the Board may empower the Chief Executive Officer of the Corporation to appoint any officer other than the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the Chief Financial Officer, the Secretary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48" w:lineRule="exact"/>
        <w:rPr>
          <w:sz w:val="20"/>
          <w:szCs w:val="20"/>
          <w:color w:val="auto"/>
        </w:rPr>
      </w:pPr>
    </w:p>
    <w:p>
      <w:pPr>
        <w:ind w:left="220" w:right="51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4.2 </w:t>
      </w:r>
      <w:r>
        <w:rPr>
          <w:rFonts w:ascii="Times New Roman" w:cs="Times New Roman" w:eastAsia="Times New Roman" w:hAnsi="Times New Roman"/>
          <w:sz w:val="14"/>
          <w:szCs w:val="14"/>
          <w:b w:val="1"/>
          <w:bCs w:val="1"/>
          <w:u w:val="single" w:color="auto"/>
          <w:color w:val="auto"/>
        </w:rPr>
        <w:t>Chief Executive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may be otherwise determined by the Board from time to time and subject to the provisions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Bylaws, the powers and duties of the Chief Executive Officer of the Corporation are:</w:t>
      </w:r>
    </w:p>
    <w:p>
      <w:pPr>
        <w:spacing w:after="0" w:line="123" w:lineRule="exact"/>
        <w:rPr>
          <w:sz w:val="20"/>
          <w:szCs w:val="20"/>
          <w:color w:val="auto"/>
        </w:rPr>
      </w:pPr>
    </w:p>
    <w:p>
      <w:pPr>
        <w:ind w:left="220" w:right="279" w:firstLine="773"/>
        <w:spacing w:after="0" w:line="282" w:lineRule="auto"/>
        <w:tabs>
          <w:tab w:leader="none" w:pos="1181"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act as the general manager and, subject to the control of the Board, to have general supervision, direction and control of the business and affairs of the Corporation;</w:t>
      </w:r>
    </w:p>
    <w:p>
      <w:pPr>
        <w:spacing w:after="0" w:line="125"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1.6 of these Bylaws, to preside at all meetings of the stockholders;</w:t>
      </w:r>
    </w:p>
    <w:p>
      <w:pPr>
        <w:spacing w:after="0" w:line="174" w:lineRule="exact"/>
        <w:rPr>
          <w:rFonts w:ascii="Times New Roman" w:cs="Times New Roman" w:eastAsia="Times New Roman" w:hAnsi="Times New Roman"/>
          <w:sz w:val="14"/>
          <w:szCs w:val="14"/>
          <w:color w:val="auto"/>
        </w:rPr>
      </w:pPr>
    </w:p>
    <w:p>
      <w:pPr>
        <w:ind w:left="220" w:right="819" w:firstLine="773"/>
        <w:spacing w:after="0" w:line="282" w:lineRule="auto"/>
        <w:tabs>
          <w:tab w:leader="none" w:pos="1181"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1.2 of these Bylaws, to call special meetings of the stockholders to be held at such times and, subject to the limitations prescribed by law or by these Bylaws, at such places as he or she shall deem proper;</w:t>
      </w:r>
    </w:p>
    <w:p>
      <w:pPr>
        <w:spacing w:after="0" w:line="125" w:lineRule="exact"/>
        <w:rPr>
          <w:rFonts w:ascii="Times New Roman" w:cs="Times New Roman" w:eastAsia="Times New Roman" w:hAnsi="Times New Roman"/>
          <w:sz w:val="14"/>
          <w:szCs w:val="14"/>
          <w:color w:val="auto"/>
        </w:rPr>
      </w:pPr>
    </w:p>
    <w:p>
      <w:pPr>
        <w:jc w:val="both"/>
        <w:ind w:left="220" w:right="399" w:firstLine="773"/>
        <w:spacing w:after="0" w:line="287" w:lineRule="auto"/>
        <w:tabs>
          <w:tab w:leader="none" w:pos="1189"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 and</w:t>
      </w:r>
    </w:p>
    <w:p>
      <w:pPr>
        <w:spacing w:after="0" w:line="124" w:lineRule="exact"/>
        <w:rPr>
          <w:rFonts w:ascii="Times New Roman" w:cs="Times New Roman" w:eastAsia="Times New Roman" w:hAnsi="Times New Roman"/>
          <w:sz w:val="13"/>
          <w:szCs w:val="13"/>
          <w:color w:val="auto"/>
        </w:rPr>
      </w:pPr>
    </w:p>
    <w:p>
      <w:pPr>
        <w:ind w:left="1180" w:hanging="187"/>
        <w:spacing w:after="0"/>
        <w:tabs>
          <w:tab w:leader="none" w:pos="118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duties and powers that are commonly incident to the office of the Chief Executive Officer.</w:t>
      </w:r>
    </w:p>
    <w:p>
      <w:pPr>
        <w:spacing w:after="0" w:line="173" w:lineRule="exact"/>
        <w:rPr>
          <w:sz w:val="20"/>
          <w:szCs w:val="20"/>
          <w:color w:val="auto"/>
        </w:rPr>
      </w:pPr>
    </w:p>
    <w:p>
      <w:pPr>
        <w:ind w:left="220" w:right="33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Section 4.3 </w:t>
      </w:r>
      <w:r>
        <w:rPr>
          <w:rFonts w:ascii="Times New Roman" w:cs="Times New Roman" w:eastAsia="Times New Roman" w:hAnsi="Times New Roman"/>
          <w:sz w:val="14"/>
          <w:szCs w:val="14"/>
          <w:b w:val="1"/>
          <w:bCs w:val="1"/>
          <w:u w:val="single" w:color="auto"/>
          <w:color w:val="auto"/>
        </w:rPr>
        <w:t>Chairperson of the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provisions of Section 2.7 of these Bylaws, the Chairperson of the Board shall have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399" w:name="page400"/>
    <w:bookmarkEnd w:id="399"/>
    <w:p>
      <w:pPr>
        <w:ind w:left="220" w:right="23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4.4 </w:t>
      </w:r>
      <w:r>
        <w:rPr>
          <w:rFonts w:ascii="Times New Roman" w:cs="Times New Roman" w:eastAsia="Times New Roman" w:hAnsi="Times New Roman"/>
          <w:sz w:val="14"/>
          <w:szCs w:val="14"/>
          <w:b w:val="1"/>
          <w:bCs w:val="1"/>
          <w:u w:val="single" w:color="auto"/>
          <w:color w:val="auto"/>
        </w:rPr>
        <w:t>Lead Independent Director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in its discretion, elect a lead independent director from among its members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Independent Directors (as defined below) (such director, the “</w:t>
      </w:r>
      <w:r>
        <w:rPr>
          <w:rFonts w:ascii="Times New Roman" w:cs="Times New Roman" w:eastAsia="Times New Roman" w:hAnsi="Times New Roman"/>
          <w:sz w:val="14"/>
          <w:szCs w:val="14"/>
          <w:b w:val="1"/>
          <w:bCs w:val="1"/>
          <w:i w:val="1"/>
          <w:iCs w:val="1"/>
          <w:color w:val="auto"/>
        </w:rPr>
        <w:t>Lead Independent Director</w:t>
      </w:r>
      <w:r>
        <w:rPr>
          <w:rFonts w:ascii="Times New Roman" w:cs="Times New Roman" w:eastAsia="Times New Roman" w:hAnsi="Times New Roman"/>
          <w:sz w:val="14"/>
          <w:szCs w:val="14"/>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cs="Times New Roman" w:eastAsia="Times New Roman" w:hAnsi="Times New Roman"/>
          <w:sz w:val="14"/>
          <w:szCs w:val="14"/>
          <w:b w:val="1"/>
          <w:bCs w:val="1"/>
          <w:i w:val="1"/>
          <w:iCs w:val="1"/>
          <w:color w:val="auto"/>
        </w:rPr>
        <w:t>Independent Director</w:t>
      </w:r>
      <w:r>
        <w:rPr>
          <w:rFonts w:ascii="Times New Roman" w:cs="Times New Roman" w:eastAsia="Times New Roman" w:hAnsi="Times New Roman"/>
          <w:sz w:val="14"/>
          <w:szCs w:val="14"/>
          <w:color w:val="auto"/>
        </w:rPr>
        <w:t>” has the meaning ascribed to such term under the rules of the exchange upon which the Corporation’s Class A Common Stock is primarily traded.</w:t>
      </w:r>
    </w:p>
    <w:p>
      <w:pPr>
        <w:spacing w:after="0" w:line="139" w:lineRule="exact"/>
        <w:rPr>
          <w:sz w:val="20"/>
          <w:szCs w:val="20"/>
          <w:color w:val="auto"/>
        </w:rPr>
      </w:pPr>
    </w:p>
    <w:p>
      <w:pPr>
        <w:ind w:left="220" w:right="31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4.5 </w:t>
      </w:r>
      <w:r>
        <w:rPr>
          <w:rFonts w:ascii="Times New Roman" w:cs="Times New Roman" w:eastAsia="Times New Roman" w:hAnsi="Times New Roman"/>
          <w:sz w:val="14"/>
          <w:szCs w:val="14"/>
          <w:b w:val="1"/>
          <w:bCs w:val="1"/>
          <w:u w:val="single" w:color="auto"/>
          <w:color w:val="auto"/>
        </w:rPr>
        <w:t>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determined by the Board, the person holding the office of Chief Executive Officer shall be the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Corporation to the extent such position is deemed necessary or advisable with respect to any corporate requirements or similar governance matters. Subject to the provisions of these Bylaws and as otherwise may be determined by the Board, the President shall perform all duties and have all powers that are commonly incident to the office of President or that are delegated to the President by the Board.</w:t>
      </w:r>
    </w:p>
    <w:p>
      <w:pPr>
        <w:spacing w:after="0" w:line="136" w:lineRule="exact"/>
        <w:rPr>
          <w:sz w:val="20"/>
          <w:szCs w:val="20"/>
          <w:color w:val="auto"/>
        </w:rPr>
      </w:pPr>
    </w:p>
    <w:p>
      <w:pPr>
        <w:ind w:left="220" w:right="23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Section 4.6 </w:t>
      </w:r>
      <w:r>
        <w:rPr>
          <w:rFonts w:ascii="Times New Roman" w:cs="Times New Roman" w:eastAsia="Times New Roman" w:hAnsi="Times New Roman"/>
          <w:sz w:val="14"/>
          <w:szCs w:val="14"/>
          <w:b w:val="1"/>
          <w:bCs w:val="1"/>
          <w:u w:val="single" w:color="auto"/>
          <w:color w:val="auto"/>
        </w:rPr>
        <w:t>Chief Financial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direction of the Board and the Chief Executive Officer, the Chief Financial Officer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 all duties and have all powers that are commonly incident to the office of Chief Financial Officer, or as the Board or the Chief Executive Officer may from time to time prescribe.</w:t>
      </w:r>
    </w:p>
    <w:p>
      <w:pPr>
        <w:spacing w:after="0" w:line="134" w:lineRule="exact"/>
        <w:rPr>
          <w:sz w:val="20"/>
          <w:szCs w:val="20"/>
          <w:color w:val="auto"/>
        </w:rPr>
      </w:pPr>
    </w:p>
    <w:p>
      <w:pPr>
        <w:ind w:left="220" w:right="31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Section 4.7 </w:t>
      </w:r>
      <w:r>
        <w:rPr>
          <w:rFonts w:ascii="Times New Roman" w:cs="Times New Roman" w:eastAsia="Times New Roman" w:hAnsi="Times New Roman"/>
          <w:sz w:val="14"/>
          <w:szCs w:val="14"/>
          <w:b w:val="1"/>
          <w:bCs w:val="1"/>
          <w:u w:val="single" w:color="auto"/>
          <w:color w:val="auto"/>
        </w:rPr>
        <w:t>Treasurer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person holding the office of Chief Financial Officer shall be the Treasurer of the Corporation unless the Board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designated another person as the Treasurer of the Corporation. 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the Chief Executive Officer or the Chief Financial Officer may from time to time prescribe.</w:t>
      </w:r>
    </w:p>
    <w:p>
      <w:pPr>
        <w:spacing w:after="0" w:line="139" w:lineRule="exact"/>
        <w:rPr>
          <w:sz w:val="20"/>
          <w:szCs w:val="20"/>
          <w:color w:val="auto"/>
        </w:rPr>
      </w:pPr>
    </w:p>
    <w:p>
      <w:pPr>
        <w:ind w:left="220" w:right="2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4.8 </w:t>
      </w:r>
      <w:r>
        <w:rPr>
          <w:rFonts w:ascii="Times New Roman" w:cs="Times New Roman" w:eastAsia="Times New Roman" w:hAnsi="Times New Roman"/>
          <w:sz w:val="14"/>
          <w:szCs w:val="14"/>
          <w:b w:val="1"/>
          <w:bCs w:val="1"/>
          <w:u w:val="single" w:color="auto"/>
          <w:color w:val="auto"/>
        </w:rPr>
        <w:t>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Vice President shall have all such powers and duties as are commonly incident to the office of Vice President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are delegated to him or her by the Board or the Chief Executive Officer.</w:t>
      </w:r>
    </w:p>
    <w:p>
      <w:pPr>
        <w:spacing w:after="0" w:line="121" w:lineRule="exact"/>
        <w:rPr>
          <w:sz w:val="20"/>
          <w:szCs w:val="20"/>
          <w:color w:val="auto"/>
        </w:rPr>
      </w:pPr>
    </w:p>
    <w:p>
      <w:pPr>
        <w:ind w:left="220" w:right="29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4.9 </w:t>
      </w:r>
      <w:r>
        <w:rPr>
          <w:rFonts w:ascii="Times New Roman" w:cs="Times New Roman" w:eastAsia="Times New Roman" w:hAnsi="Times New Roman"/>
          <w:sz w:val="14"/>
          <w:szCs w:val="14"/>
          <w:b w:val="1"/>
          <w:bCs w:val="1"/>
          <w:u w:val="single" w:color="auto"/>
          <w:color w:val="auto"/>
        </w:rPr>
        <w:t>Secretary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Secretary shall issue or cause to be issued all authorized notices for, and shall keep, or cause to be kept, minutes of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36" w:lineRule="exact"/>
        <w:rPr>
          <w:sz w:val="20"/>
          <w:szCs w:val="20"/>
          <w:color w:val="auto"/>
        </w:rPr>
      </w:pPr>
    </w:p>
    <w:p>
      <w:pPr>
        <w:ind w:left="220" w:right="41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4.10 </w:t>
      </w:r>
      <w:r>
        <w:rPr>
          <w:rFonts w:ascii="Times New Roman" w:cs="Times New Roman" w:eastAsia="Times New Roman" w:hAnsi="Times New Roman"/>
          <w:sz w:val="14"/>
          <w:szCs w:val="14"/>
          <w:b w:val="1"/>
          <w:bCs w:val="1"/>
          <w:u w:val="single" w:color="auto"/>
          <w:color w:val="auto"/>
        </w:rPr>
        <w:t>Delegation of Authority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from time to time delegate the powers or duties of any officer of the Corporation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officers or agents of the Corporation, notwithstanding any provision hereof.</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400" w:name="page401"/>
    <w:bookmarkEnd w:id="400"/>
    <w:p>
      <w:pPr>
        <w:jc w:val="both"/>
        <w:ind w:left="220" w:right="37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4.11 </w:t>
      </w:r>
      <w:r>
        <w:rPr>
          <w:rFonts w:ascii="Times New Roman" w:cs="Times New Roman" w:eastAsia="Times New Roman" w:hAnsi="Times New Roman"/>
          <w:sz w:val="14"/>
          <w:szCs w:val="14"/>
          <w:b w:val="1"/>
          <w:bCs w:val="1"/>
          <w:u w:val="single" w:color="auto"/>
          <w:color w:val="auto"/>
        </w:rPr>
        <w:t>Removal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officer of the Corporation shall serve at the pleasure of the Board and may be removed at any time, with or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cause, by the Board;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36" w:lineRule="exact"/>
        <w:rPr>
          <w:sz w:val="20"/>
          <w:szCs w:val="20"/>
          <w:color w:val="auto"/>
        </w:rPr>
      </w:pPr>
    </w:p>
    <w:p>
      <w:pPr>
        <w:ind w:left="220" w:right="23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Section 4.12 </w:t>
      </w:r>
      <w:r>
        <w:rPr>
          <w:rFonts w:ascii="Times New Roman" w:cs="Times New Roman" w:eastAsia="Times New Roman" w:hAnsi="Times New Roman"/>
          <w:sz w:val="14"/>
          <w:szCs w:val="14"/>
          <w:b w:val="1"/>
          <w:bCs w:val="1"/>
          <w:u w:val="single" w:color="auto"/>
          <w:color w:val="auto"/>
        </w:rPr>
        <w:t>Voting Shares in Other Business Entities</w:t>
      </w:r>
      <w:r>
        <w:rPr>
          <w:rFonts w:ascii="Times New Roman" w:cs="Times New Roman" w:eastAsia="Times New Roman" w:hAnsi="Times New Roman"/>
          <w:sz w:val="14"/>
          <w:szCs w:val="14"/>
          <w:color w:val="auto"/>
        </w:rPr>
        <w:t>. The Chairperson, the Chief Executive Officer, the Chief Financial Officer, the Secretary,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any other person authorized by the Board may vote, and otherwise exercise on behalf of the Corporation any and all rights and powers incident to the ownership of, any and all shares of stock or other equity interests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spacing w:after="0" w:line="139"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Section 4.13 </w:t>
      </w:r>
      <w:r>
        <w:rPr>
          <w:rFonts w:ascii="Times New Roman" w:cs="Times New Roman" w:eastAsia="Times New Roman" w:hAnsi="Times New Roman"/>
          <w:sz w:val="14"/>
          <w:szCs w:val="14"/>
          <w:b w:val="1"/>
          <w:bCs w:val="1"/>
          <w:u w:val="single" w:color="auto"/>
          <w:color w:val="auto"/>
        </w:rPr>
        <w:t>Execution of Corporate Contracts and Instruments</w:t>
      </w:r>
      <w:r>
        <w:rPr>
          <w:rFonts w:ascii="Times New Roman" w:cs="Times New Roman" w:eastAsia="Times New Roman" w:hAnsi="Times New Roman"/>
          <w:sz w:val="14"/>
          <w:szCs w:val="14"/>
          <w:color w:val="auto"/>
        </w:rPr>
        <w:t>. Except as otherwise determined by the Board or otherwise provided in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Bylaws, the Chief Executive Officer, Chief Financial Officer, Secretary and General Counsel, and any other officers, employees or agents of the Corporation designated by the Board or Chief Executive Officer, or other officers, employees or agents of the Corporation specifically delegated authority by the foregoing authorized persons, shall have power to enter into any contract or execute any instrument in the name of and on behalf of the Corporation. Such delegation may be by resolution or otherwise and the authority granted shall be general or confined to specific matters. In the absence of such designation referred to above, the officers of the Corporation shall have such power to the extent incident to the normal performance of their duties.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58" w:lineRule="exact"/>
        <w:rPr>
          <w:sz w:val="20"/>
          <w:szCs w:val="20"/>
          <w:color w:val="auto"/>
        </w:rPr>
      </w:pPr>
    </w:p>
    <w:p>
      <w:pPr>
        <w:ind w:left="220" w:right="23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Section 5.1 </w:t>
      </w:r>
      <w:r>
        <w:rPr>
          <w:rFonts w:ascii="Times New Roman" w:cs="Times New Roman" w:eastAsia="Times New Roman" w:hAnsi="Times New Roman"/>
          <w:sz w:val="14"/>
          <w:szCs w:val="14"/>
          <w:b w:val="1"/>
          <w:bCs w:val="1"/>
          <w:u w:val="single" w:color="auto"/>
          <w:color w:val="auto"/>
        </w:rPr>
        <w:t>Certificates; Uncertificated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shares of capital stock of the Corporation shall be uncertificated shares (and the Board’s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adoption of these Bylaws shall constitute a resolution of the Board that the shares of capital stock of the Corporation shall be uncertificated shares);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the resolution of the Board that the shares of capital stock of the Corporation shall be uncertificated shares shall not apply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8" w:right="1440" w:bottom="1440" w:gutter="0" w:footer="0" w:header="0"/>
        </w:sectPr>
      </w:pPr>
    </w:p>
    <w:bookmarkStart w:id="401" w:name="page402"/>
    <w:bookmarkEnd w:id="401"/>
    <w:p>
      <w:pPr>
        <w:ind w:left="220" w:right="23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5.2 </w:t>
      </w:r>
      <w:r>
        <w:rPr>
          <w:rFonts w:ascii="Times New Roman" w:cs="Times New Roman" w:eastAsia="Times New Roman" w:hAnsi="Times New Roman"/>
          <w:sz w:val="14"/>
          <w:szCs w:val="14"/>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Corporation may issue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1" w:lineRule="exact"/>
        <w:rPr>
          <w:sz w:val="20"/>
          <w:szCs w:val="20"/>
          <w:color w:val="auto"/>
        </w:rPr>
      </w:pPr>
    </w:p>
    <w:p>
      <w:pPr>
        <w:ind w:left="220" w:right="419" w:firstLine="342"/>
        <w:spacing w:after="0" w:line="325" w:lineRule="auto"/>
        <w:rPr>
          <w:sz w:val="20"/>
          <w:szCs w:val="20"/>
          <w:color w:val="auto"/>
        </w:rPr>
      </w:pPr>
      <w:r>
        <w:rPr>
          <w:rFonts w:ascii="Times New Roman" w:cs="Times New Roman" w:eastAsia="Times New Roman" w:hAnsi="Times New Roman"/>
          <w:sz w:val="13"/>
          <w:szCs w:val="13"/>
          <w:b w:val="1"/>
          <w:bCs w:val="1"/>
          <w:color w:val="auto"/>
        </w:rPr>
        <w:t xml:space="preserve">Section 5.3 </w:t>
      </w:r>
      <w:r>
        <w:rPr>
          <w:rFonts w:ascii="Times New Roman" w:cs="Times New Roman" w:eastAsia="Times New Roman" w:hAnsi="Times New Roman"/>
          <w:sz w:val="13"/>
          <w:szCs w:val="13"/>
          <w:b w:val="1"/>
          <w:bCs w:val="1"/>
          <w:u w:val="single" w:color="auto"/>
          <w:color w:val="auto"/>
        </w:rPr>
        <w:t>Other Regulations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Subject to applicable law, the Certificate of Incorporation and these Bylaws, the issue, transfer, conversion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of shares represented by certificates and of uncertificated shares shall be governed by such other regulations as the Board may establish.</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58" w:lineRule="exact"/>
        <w:rPr>
          <w:sz w:val="20"/>
          <w:szCs w:val="20"/>
          <w:color w:val="auto"/>
        </w:rPr>
      </w:pPr>
    </w:p>
    <w:p>
      <w:pPr>
        <w:ind w:left="220" w:right="23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6.1 </w:t>
      </w:r>
      <w:r>
        <w:rPr>
          <w:rFonts w:ascii="Times New Roman" w:cs="Times New Roman" w:eastAsia="Times New Roman" w:hAnsi="Times New Roman"/>
          <w:sz w:val="14"/>
          <w:szCs w:val="14"/>
          <w:b w:val="1"/>
          <w:bCs w:val="1"/>
          <w:u w:val="single" w:color="auto"/>
          <w:color w:val="auto"/>
        </w:rPr>
        <w:t>Indemnification of Officers and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person who was or is made a party to, or is threatened to be made a party to, or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involved in any threatened, pending or completed action, suit or proceeding, whether civil, criminal, administrative, legislative or any other type whatsoever (a “</w:t>
      </w:r>
      <w:r>
        <w:rPr>
          <w:rFonts w:ascii="Times New Roman" w:cs="Times New Roman" w:eastAsia="Times New Roman" w:hAnsi="Times New Roman"/>
          <w:sz w:val="14"/>
          <w:szCs w:val="14"/>
          <w:b w:val="1"/>
          <w:bCs w:val="1"/>
          <w:i w:val="1"/>
          <w:iCs w:val="1"/>
          <w:color w:val="auto"/>
        </w:rPr>
        <w:t>Proceeding</w:t>
      </w:r>
      <w:r>
        <w:rPr>
          <w:rFonts w:ascii="Times New Roman" w:cs="Times New Roman" w:eastAsia="Times New Roman" w:hAnsi="Times New Roman"/>
          <w:sz w:val="14"/>
          <w:szCs w:val="14"/>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14"/>
          <w:szCs w:val="14"/>
          <w:b w:val="1"/>
          <w:bCs w:val="1"/>
          <w:i w:val="1"/>
          <w:iCs w:val="1"/>
          <w:color w:val="auto"/>
        </w:rPr>
        <w:t>Indemnitee</w:t>
      </w:r>
      <w:r>
        <w:rPr>
          <w:rFonts w:ascii="Times New Roman" w:cs="Times New Roman" w:eastAsia="Times New Roman" w:hAnsi="Times New Roman"/>
          <w:sz w:val="14"/>
          <w:szCs w:val="14"/>
          <w:color w:val="auto"/>
        </w:rPr>
        <w:t>”), shall be indemnified and held harmless by the Corporation to the fullest extent permitted by the DGCL as the same exists or may hereafter be amended,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provided that to the extent a present or former director or officer has been successful on the merits or otherwise in defense of any Proceeding or in defense of any claim, issue or matter therein, such person shall be indemnified against expenses (including attorney’s fees) actually and reasonably incurred by such person in connection therewith without regard to whether such Indemnitee met the standard of conduct otherwise necessary to demonstrate an entitlement to indemnification.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402" w:name="page403"/>
    <w:bookmarkEnd w:id="402"/>
    <w:p>
      <w:pPr>
        <w:ind w:left="220" w:right="35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6.2 </w:t>
      </w:r>
      <w:r>
        <w:rPr>
          <w:rFonts w:ascii="Times New Roman" w:cs="Times New Roman" w:eastAsia="Times New Roman" w:hAnsi="Times New Roman"/>
          <w:sz w:val="14"/>
          <w:szCs w:val="14"/>
          <w:b w:val="1"/>
          <w:bCs w:val="1"/>
          <w:u w:val="single" w:color="auto"/>
          <w:color w:val="auto"/>
        </w:rPr>
        <w:t>Advance of Expenses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Corporation shall to the fullest extent permitted by applicable law pay all expenses (including attorneys’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fees) incurred by an Indemnitee in defending any Proceeding in advance of its final disposition;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36" w:lineRule="exact"/>
        <w:rPr>
          <w:sz w:val="20"/>
          <w:szCs w:val="20"/>
          <w:color w:val="auto"/>
        </w:rPr>
      </w:pPr>
    </w:p>
    <w:p>
      <w:pPr>
        <w:ind w:left="220" w:right="41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6.3 </w:t>
      </w:r>
      <w:r>
        <w:rPr>
          <w:rFonts w:ascii="Times New Roman" w:cs="Times New Roman" w:eastAsia="Times New Roman" w:hAnsi="Times New Roman"/>
          <w:sz w:val="14"/>
          <w:szCs w:val="14"/>
          <w:b w:val="1"/>
          <w:bCs w:val="1"/>
          <w:u w:val="single" w:color="auto"/>
          <w:color w:val="auto"/>
        </w:rPr>
        <w:t>Non-Exclusivity of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rights conferred on any person in this Article VI shall not be exclusive of any other right that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may have or hereafter acquire under any statute, provision of the Certificate of Incorporation,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36" w:lineRule="exact"/>
        <w:rPr>
          <w:sz w:val="20"/>
          <w:szCs w:val="20"/>
          <w:color w:val="auto"/>
        </w:rPr>
      </w:pPr>
    </w:p>
    <w:p>
      <w:pPr>
        <w:ind w:left="220" w:right="35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6.4 </w:t>
      </w:r>
      <w:r>
        <w:rPr>
          <w:rFonts w:ascii="Times New Roman" w:cs="Times New Roman" w:eastAsia="Times New Roman" w:hAnsi="Times New Roman"/>
          <w:sz w:val="14"/>
          <w:szCs w:val="14"/>
          <w:b w:val="1"/>
          <w:bCs w:val="1"/>
          <w:u w:val="single" w:color="auto"/>
          <w:color w:val="auto"/>
        </w:rPr>
        <w:t>Indemnification Contracts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is authorized to cause the Corporation to enter into indemnification contracts with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36" w:lineRule="exact"/>
        <w:rPr>
          <w:sz w:val="20"/>
          <w:szCs w:val="20"/>
          <w:color w:val="auto"/>
        </w:rPr>
      </w:pPr>
    </w:p>
    <w:p>
      <w:pPr>
        <w:ind w:left="220" w:right="25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6.5 </w:t>
      </w:r>
      <w:r>
        <w:rPr>
          <w:rFonts w:ascii="Times New Roman" w:cs="Times New Roman" w:eastAsia="Times New Roman" w:hAnsi="Times New Roman"/>
          <w:sz w:val="14"/>
          <w:szCs w:val="14"/>
          <w:b w:val="1"/>
          <w:bCs w:val="1"/>
          <w:u w:val="single" w:color="auto"/>
          <w:color w:val="auto"/>
        </w:rPr>
        <w:t>Right of Indemnitee to Bring Suit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following shall apply to the extent not in conflict with any indemnification contract 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in Section 6.4 of these Bylaws.</w:t>
      </w:r>
    </w:p>
    <w:p>
      <w:pPr>
        <w:spacing w:after="0" w:line="123" w:lineRule="exact"/>
        <w:rPr>
          <w:sz w:val="20"/>
          <w:szCs w:val="20"/>
          <w:color w:val="auto"/>
        </w:rPr>
      </w:pPr>
    </w:p>
    <w:p>
      <w:pPr>
        <w:ind w:left="220" w:right="259" w:firstLine="771"/>
        <w:spacing w:after="0" w:line="254" w:lineRule="auto"/>
        <w:rPr>
          <w:sz w:val="20"/>
          <w:szCs w:val="20"/>
          <w:color w:val="auto"/>
        </w:rPr>
      </w:pPr>
      <w:r>
        <w:rPr>
          <w:rFonts w:ascii="Times New Roman" w:cs="Times New Roman" w:eastAsia="Times New Roman" w:hAnsi="Times New Roman"/>
          <w:sz w:val="14"/>
          <w:szCs w:val="14"/>
          <w:color w:val="auto"/>
        </w:rPr>
        <w:t xml:space="preserve">6.5.1 </w:t>
      </w:r>
      <w:r>
        <w:rPr>
          <w:rFonts w:ascii="Times New Roman" w:cs="Times New Roman" w:eastAsia="Times New Roman" w:hAnsi="Times New Roman"/>
          <w:sz w:val="14"/>
          <w:szCs w:val="14"/>
          <w:u w:val="single" w:color="auto"/>
          <w:color w:val="auto"/>
        </w:rPr>
        <w:t>Right to Bring Suit</w:t>
      </w:r>
      <w:r>
        <w:rPr>
          <w:rFonts w:ascii="Times New Roman" w:cs="Times New Roman" w:eastAsia="Times New Roman" w:hAnsi="Times New Roman"/>
          <w:sz w:val="14"/>
          <w:szCs w:val="14"/>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48"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6.5.2 </w:t>
      </w:r>
      <w:r>
        <w:rPr>
          <w:rFonts w:ascii="Times New Roman" w:cs="Times New Roman" w:eastAsia="Times New Roman" w:hAnsi="Times New Roman"/>
          <w:sz w:val="14"/>
          <w:szCs w:val="14"/>
          <w:u w:val="single" w:color="auto"/>
          <w:color w:val="auto"/>
        </w:rPr>
        <w:t>Effect of Determination</w:t>
      </w:r>
      <w:r>
        <w:rPr>
          <w:rFonts w:ascii="Times New Roman" w:cs="Times New Roman" w:eastAsia="Times New Roman" w:hAnsi="Times New Roman"/>
          <w:sz w:val="14"/>
          <w:szCs w:val="14"/>
          <w:color w:val="auto"/>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403" w:name="page404"/>
    <w:bookmarkEnd w:id="403"/>
    <w:p>
      <w:pPr>
        <w:ind w:left="220" w:right="299" w:firstLine="77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6.5.3 </w:t>
      </w:r>
      <w:r>
        <w:rPr>
          <w:rFonts w:ascii="Times New Roman" w:cs="Times New Roman" w:eastAsia="Times New Roman" w:hAnsi="Times New Roman"/>
          <w:sz w:val="14"/>
          <w:szCs w:val="14"/>
          <w:u w:val="single" w:color="auto"/>
          <w:color w:val="auto"/>
        </w:rPr>
        <w:t>Burden of Proof</w:t>
      </w:r>
      <w:r>
        <w:rPr>
          <w:rFonts w:ascii="Times New Roman" w:cs="Times New Roman" w:eastAsia="Times New Roman" w:hAnsi="Times New Roman"/>
          <w:sz w:val="14"/>
          <w:szCs w:val="14"/>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34"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6.6 </w:t>
      </w:r>
      <w:r>
        <w:rPr>
          <w:rFonts w:ascii="Times New Roman" w:cs="Times New Roman" w:eastAsia="Times New Roman" w:hAnsi="Times New Roman"/>
          <w:sz w:val="14"/>
          <w:szCs w:val="14"/>
          <w:b w:val="1"/>
          <w:bCs w:val="1"/>
          <w:u w:val="single" w:color="auto"/>
          <w:color w:val="auto"/>
        </w:rPr>
        <w:t>Nature of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rights conferred upon Indemnitees in this Article VI shall be contract rights and such rights shall continue as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Indemnitee who has ceased to be a director or officer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spacing w:after="0" w:line="148" w:lineRule="exact"/>
        <w:rPr>
          <w:sz w:val="20"/>
          <w:szCs w:val="20"/>
          <w:color w:val="auto"/>
        </w:rPr>
      </w:pPr>
    </w:p>
    <w:p>
      <w:pPr>
        <w:ind w:left="220" w:right="31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Section 6.7 </w:t>
      </w:r>
      <w:r>
        <w:rPr>
          <w:rFonts w:ascii="Times New Roman" w:cs="Times New Roman" w:eastAsia="Times New Roman" w:hAnsi="Times New Roman"/>
          <w:sz w:val="14"/>
          <w:szCs w:val="14"/>
          <w:b w:val="1"/>
          <w:bCs w:val="1"/>
          <w:u w:val="single" w:color="auto"/>
          <w:color w:val="auto"/>
        </w:rPr>
        <w:t>Insurance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Corporation may purchase and maintain insurance, at its expense, to protect itself and any director, officer, employee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Section 7.1 </w:t>
      </w:r>
      <w:r>
        <w:rPr>
          <w:rFonts w:ascii="Times New Roman" w:cs="Times New Roman" w:eastAsia="Times New Roman" w:hAnsi="Times New Roman"/>
          <w:sz w:val="14"/>
          <w:szCs w:val="14"/>
          <w:b w:val="1"/>
          <w:bCs w:val="1"/>
          <w:u w:val="single" w:color="auto"/>
          <w:color w:val="auto"/>
        </w:rPr>
        <w:t>Notice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399" w:firstLine="771"/>
        <w:spacing w:after="0" w:line="282" w:lineRule="auto"/>
        <w:rPr>
          <w:sz w:val="20"/>
          <w:szCs w:val="20"/>
          <w:color w:val="auto"/>
        </w:rPr>
      </w:pPr>
      <w:r>
        <w:rPr>
          <w:rFonts w:ascii="Times New Roman" w:cs="Times New Roman" w:eastAsia="Times New Roman" w:hAnsi="Times New Roman"/>
          <w:sz w:val="14"/>
          <w:szCs w:val="14"/>
          <w:color w:val="auto"/>
        </w:rPr>
        <w:t xml:space="preserve">7.1.1 </w:t>
      </w:r>
      <w:r>
        <w:rPr>
          <w:rFonts w:ascii="Times New Roman" w:cs="Times New Roman" w:eastAsia="Times New Roman" w:hAnsi="Times New Roman"/>
          <w:sz w:val="14"/>
          <w:szCs w:val="14"/>
          <w:u w:val="single" w:color="auto"/>
          <w:color w:val="auto"/>
        </w:rPr>
        <w:t>Form and Delivery</w:t>
      </w:r>
      <w:r>
        <w:rPr>
          <w:rFonts w:ascii="Times New Roman" w:cs="Times New Roman" w:eastAsia="Times New Roman" w:hAnsi="Times New Roman"/>
          <w:sz w:val="14"/>
          <w:szCs w:val="14"/>
          <w:color w:val="auto"/>
        </w:rPr>
        <w:t>. Except as otherwise specifically required in these Bylaws (including, without limitation, Section 7.1.2 of these Bylaws) or by applicable law, all notices required to be given pursuant to these Bylaws may (a) in every instance in connection with</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404" w:name="page405"/>
    <w:bookmarkEnd w:id="404"/>
    <w:p>
      <w:pPr>
        <w:ind w:left="22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postage prepaid, (c) in (i) the case of delivery by overnight express courier to a director, when dispatched or (ii) the case of delivery by courier service to a stockholder, the earlier of when the 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w:t>
      </w:r>
    </w:p>
    <w:p>
      <w:pPr>
        <w:spacing w:after="0" w:line="1" w:lineRule="exact"/>
        <w:rPr>
          <w:sz w:val="20"/>
          <w:szCs w:val="20"/>
          <w:color w:val="auto"/>
        </w:rPr>
      </w:pPr>
    </w:p>
    <w:p>
      <w:pPr>
        <w:ind w:left="220" w:right="379" w:firstLine="3"/>
        <w:spacing w:after="0" w:line="260" w:lineRule="auto"/>
        <w:tabs>
          <w:tab w:leader="none" w:pos="426"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case of delivery via facsimile or other form of electronic transmission (other than electronic mail) at the time provided in Section 7.1.2 of these Bylaws.</w:t>
      </w:r>
    </w:p>
    <w:p>
      <w:pPr>
        <w:spacing w:after="0" w:line="140" w:lineRule="exact"/>
        <w:rPr>
          <w:sz w:val="20"/>
          <w:szCs w:val="20"/>
          <w:color w:val="auto"/>
        </w:rPr>
      </w:pPr>
    </w:p>
    <w:p>
      <w:pPr>
        <w:ind w:left="220" w:right="259" w:firstLine="771"/>
        <w:spacing w:after="0" w:line="275" w:lineRule="auto"/>
        <w:rPr>
          <w:sz w:val="20"/>
          <w:szCs w:val="20"/>
          <w:color w:val="auto"/>
        </w:rPr>
      </w:pPr>
      <w:r>
        <w:rPr>
          <w:rFonts w:ascii="Times New Roman" w:cs="Times New Roman" w:eastAsia="Times New Roman" w:hAnsi="Times New Roman"/>
          <w:sz w:val="13"/>
          <w:szCs w:val="13"/>
          <w:color w:val="auto"/>
        </w:rPr>
        <w:t xml:space="preserve">7.1.2 </w:t>
      </w:r>
      <w:r>
        <w:rPr>
          <w:rFonts w:ascii="Times New Roman" w:cs="Times New Roman" w:eastAsia="Times New Roman" w:hAnsi="Times New Roman"/>
          <w:sz w:val="13"/>
          <w:szCs w:val="13"/>
          <w:u w:val="single" w:color="auto"/>
          <w:color w:val="auto"/>
        </w:rPr>
        <w:t>Electronic Transmission</w:t>
      </w:r>
      <w:r>
        <w:rPr>
          <w:rFonts w:ascii="Times New Roman" w:cs="Times New Roman" w:eastAsia="Times New Roman" w:hAnsi="Times New Roman"/>
          <w:sz w:val="13"/>
          <w:szCs w:val="13"/>
          <w:color w:val="auto"/>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(other than electronic mail) consented to by the stockholder to whom the notice is given in accordance with Section 232 of the DGCL. Notice given pursuant to this Section 7.1.2 shall be deemed given: (i) if by facsimile telecommunication, when directed to a number at which the stockholder has consented to receive notice; (ii) if by a posting on an electronic network together with separate notice to the stockholder of such specific posting, upon the later of such posting and the giving of such separate notice; and (iii) if by any other form of electronic transmission (other than electronic mail), when directed to the stockholder. Notwithstanding the foregoing, a notice may not be given to stockholders by an electronic transmission from and after the time that (a) the Corporation is unable to deliver by such electronic transmission two (2) consecutive notices given by the Corporation, (b)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134" w:lineRule="exact"/>
        <w:rPr>
          <w:sz w:val="20"/>
          <w:szCs w:val="20"/>
          <w:color w:val="auto"/>
        </w:rPr>
      </w:pPr>
    </w:p>
    <w:p>
      <w:pPr>
        <w:ind w:left="220" w:right="439" w:firstLine="771"/>
        <w:spacing w:after="0" w:line="266" w:lineRule="auto"/>
        <w:rPr>
          <w:sz w:val="20"/>
          <w:szCs w:val="20"/>
          <w:color w:val="auto"/>
        </w:rPr>
      </w:pPr>
      <w:r>
        <w:rPr>
          <w:rFonts w:ascii="Times New Roman" w:cs="Times New Roman" w:eastAsia="Times New Roman" w:hAnsi="Times New Roman"/>
          <w:sz w:val="14"/>
          <w:szCs w:val="14"/>
          <w:color w:val="auto"/>
        </w:rPr>
        <w:t xml:space="preserve">7.1.3 </w:t>
      </w:r>
      <w:r>
        <w:rPr>
          <w:rFonts w:ascii="Times New Roman" w:cs="Times New Roman" w:eastAsia="Times New Roman" w:hAnsi="Times New Roman"/>
          <w:sz w:val="14"/>
          <w:szCs w:val="14"/>
          <w:u w:val="single" w:color="auto"/>
          <w:color w:val="auto"/>
        </w:rPr>
        <w:t>Affidavit of Giving Notice</w:t>
      </w:r>
      <w:r>
        <w:rPr>
          <w:rFonts w:ascii="Times New Roman" w:cs="Times New Roman" w:eastAsia="Times New Roman" w:hAnsi="Times New Roman"/>
          <w:sz w:val="14"/>
          <w:szCs w:val="14"/>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405" w:name="page406"/>
    <w:bookmarkEnd w:id="405"/>
    <w:p>
      <w:pPr>
        <w:ind w:left="220" w:right="25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7.2 </w:t>
      </w:r>
      <w:r>
        <w:rPr>
          <w:rFonts w:ascii="Times New Roman" w:cs="Times New Roman" w:eastAsia="Times New Roman" w:hAnsi="Times New Roman"/>
          <w:sz w:val="14"/>
          <w:szCs w:val="14"/>
          <w:b w:val="1"/>
          <w:bCs w:val="1"/>
          <w:u w:val="single" w:color="auto"/>
          <w:color w:val="auto"/>
        </w:rPr>
        <w:t>Waiver of Notice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notice is required to be given under any provision of the DGCL, the Certificate of Incorporation or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Section 8.1 </w:t>
      </w:r>
      <w:r>
        <w:rPr>
          <w:rFonts w:ascii="Times New Roman" w:cs="Times New Roman" w:eastAsia="Times New Roman" w:hAnsi="Times New Roman"/>
          <w:sz w:val="14"/>
          <w:szCs w:val="14"/>
          <w:b w:val="1"/>
          <w:bCs w:val="1"/>
          <w:u w:val="single" w:color="auto"/>
          <w:color w:val="auto"/>
        </w:rPr>
        <w:t>Fiscal Year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fiscal year of the Corporation shall be the calendar year, unless otherwise determined by resolution of the Board.</w:t>
      </w:r>
    </w:p>
    <w:p>
      <w:pPr>
        <w:spacing w:after="0" w:line="175" w:lineRule="exact"/>
        <w:rPr>
          <w:sz w:val="20"/>
          <w:szCs w:val="20"/>
          <w:color w:val="auto"/>
        </w:rPr>
      </w:pPr>
    </w:p>
    <w:p>
      <w:pPr>
        <w:ind w:left="220" w:right="29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8.2 </w:t>
      </w:r>
      <w:r>
        <w:rPr>
          <w:rFonts w:ascii="Times New Roman" w:cs="Times New Roman" w:eastAsia="Times New Roman" w:hAnsi="Times New Roman"/>
          <w:sz w:val="14"/>
          <w:szCs w:val="14"/>
          <w:b w:val="1"/>
          <w:bCs w:val="1"/>
          <w:u w:val="single" w:color="auto"/>
          <w:color w:val="auto"/>
        </w:rPr>
        <w:t>Seal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provide for a corporate seal, which may have the name of the Corporation inscribed thereon and shall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in such form as may be approved from time to time by the Board.</w:t>
      </w:r>
    </w:p>
    <w:p>
      <w:pPr>
        <w:spacing w:after="0" w:line="121" w:lineRule="exact"/>
        <w:rPr>
          <w:sz w:val="20"/>
          <w:szCs w:val="20"/>
          <w:color w:val="auto"/>
        </w:rPr>
      </w:pPr>
    </w:p>
    <w:p>
      <w:pPr>
        <w:ind w:left="220" w:right="25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Section 8.3 </w:t>
      </w:r>
      <w:r>
        <w:rPr>
          <w:rFonts w:ascii="Times New Roman" w:cs="Times New Roman" w:eastAsia="Times New Roman" w:hAnsi="Times New Roman"/>
          <w:sz w:val="14"/>
          <w:szCs w:val="14"/>
          <w:b w:val="1"/>
          <w:bCs w:val="1"/>
          <w:u w:val="single" w:color="auto"/>
          <w:color w:val="auto"/>
        </w:rPr>
        <w:t>Form of Records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records administered by or on behalf of the Corporation in the regular course of its business, including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39" w:lineRule="exact"/>
        <w:rPr>
          <w:sz w:val="20"/>
          <w:szCs w:val="20"/>
          <w:color w:val="auto"/>
        </w:rPr>
      </w:pPr>
    </w:p>
    <w:p>
      <w:pPr>
        <w:ind w:left="220" w:right="49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Section 8.4 </w:t>
      </w:r>
      <w:r>
        <w:rPr>
          <w:rFonts w:ascii="Times New Roman" w:cs="Times New Roman" w:eastAsia="Times New Roman" w:hAnsi="Times New Roman"/>
          <w:sz w:val="14"/>
          <w:szCs w:val="14"/>
          <w:b w:val="1"/>
          <w:bCs w:val="1"/>
          <w:u w:val="single" w:color="auto"/>
          <w:color w:val="auto"/>
        </w:rPr>
        <w:t>Certificate of Incorporation Governs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event of any conflict between the provisions of the Certificate of Incorporation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Bylaws, the provisions of the Certificate of Incorporation shall govern.</w:t>
      </w:r>
    </w:p>
    <w:p>
      <w:pPr>
        <w:spacing w:after="0" w:line="121" w:lineRule="exact"/>
        <w:rPr>
          <w:sz w:val="20"/>
          <w:szCs w:val="20"/>
          <w:color w:val="auto"/>
        </w:rPr>
      </w:pPr>
    </w:p>
    <w:p>
      <w:pPr>
        <w:ind w:left="220" w:right="27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Section 8.5 </w:t>
      </w: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any provision of these Bylaws shall be held to be invalid, illegal, unenforceable or in conflict with the provisions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39" w:lineRule="exact"/>
        <w:rPr>
          <w:sz w:val="20"/>
          <w:szCs w:val="20"/>
          <w:color w:val="auto"/>
        </w:rPr>
      </w:pPr>
    </w:p>
    <w:p>
      <w:pPr>
        <w:jc w:val="both"/>
        <w:ind w:left="220" w:right="49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Section 8.6 </w:t>
      </w:r>
      <w:r>
        <w:rPr>
          <w:rFonts w:ascii="Times New Roman" w:cs="Times New Roman" w:eastAsia="Times New Roman" w:hAnsi="Times New Roman"/>
          <w:sz w:val="14"/>
          <w:szCs w:val="14"/>
          <w:b w:val="1"/>
          <w:bCs w:val="1"/>
          <w:u w:val="single" w:color="auto"/>
          <w:color w:val="auto"/>
        </w:rPr>
        <w:t>Time Periods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applying any provision of these Bylaws which requires that an act be done or not be done a specified number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days prior to an event or that an act be done during a period of a specified number of days prior to an event, unless otherwise specifically provided, calendar days shall be used, the day of the doing of the act shall be excluded, and the day of the event shall be included.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w:t>
      </w:r>
    </w:p>
    <w:p>
      <w:pPr>
        <w:spacing w:after="0" w:line="160" w:lineRule="exact"/>
        <w:rPr>
          <w:sz w:val="20"/>
          <w:szCs w:val="20"/>
          <w:color w:val="auto"/>
        </w:rPr>
      </w:pPr>
    </w:p>
    <w:p>
      <w:pPr>
        <w:ind w:left="220" w:right="359"/>
        <w:spacing w:after="0" w:line="282" w:lineRule="auto"/>
        <w:rPr>
          <w:sz w:val="20"/>
          <w:szCs w:val="20"/>
          <w:color w:val="auto"/>
        </w:rPr>
      </w:pPr>
      <w:r>
        <w:rPr>
          <w:rFonts w:ascii="Times New Roman" w:cs="Times New Roman" w:eastAsia="Times New Roman" w:hAnsi="Times New Roman"/>
          <w:sz w:val="14"/>
          <w:szCs w:val="14"/>
          <w:color w:val="auto"/>
        </w:rPr>
        <w:t>Subject to the terms of the Certificate of Incorporation and applicable law, these Bylaws may be altered, amended or repealed, and new bylaws may be adopted, by the Board or the stockholders.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CERTIFICATION OF AMENDED AND RESTATED BYLAWS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6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 __________ certify that I am Secretary of BillionToOne, Inc., a Delaware corporation (the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that I am duly authorized to make and</w:t>
      </w:r>
    </w:p>
    <w:p>
      <w:pPr>
        <w:spacing w:after="0" w:line="24" w:lineRule="exact"/>
        <w:rPr>
          <w:sz w:val="20"/>
          <w:szCs w:val="20"/>
          <w:color w:val="auto"/>
        </w:rPr>
      </w:pPr>
    </w:p>
    <w:p>
      <w:pPr>
        <w:ind w:left="220" w:right="379"/>
        <w:spacing w:after="0" w:line="260" w:lineRule="auto"/>
        <w:rPr>
          <w:sz w:val="20"/>
          <w:szCs w:val="20"/>
          <w:color w:val="auto"/>
        </w:rPr>
      </w:pPr>
      <w:r>
        <w:rPr>
          <w:rFonts w:ascii="Times New Roman" w:cs="Times New Roman" w:eastAsia="Times New Roman" w:hAnsi="Times New Roman"/>
          <w:sz w:val="14"/>
          <w:szCs w:val="14"/>
          <w:color w:val="auto"/>
        </w:rPr>
        <w:t>deliver this certification, that the attached Bylaws are a true and complete copy of the Amended and Restated Bylaws of the Corporation in effect as of the date of this certificate.</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Dated:       , 2025</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-99060</wp:posOffset>
            </wp:positionV>
            <wp:extent cx="217233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72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-5715</wp:posOffset>
            </wp:positionV>
            <wp:extent cx="62166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21665"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Secretary</w:t>
      </w:r>
    </w:p>
    <w:p>
      <w:pPr>
        <w:sectPr>
          <w:pgSz w:w="11900" w:h="16838" w:orient="portrait"/>
          <w:cols w:equalWidth="0" w:num="1">
            <w:col w:w="9019"/>
          </w:cols>
          <w:pgMar w:left="1440" w:top="239" w:right="1440" w:bottom="1440" w:gutter="0" w:footer="0" w:header="0"/>
        </w:sectPr>
      </w:pPr>
    </w:p>
    <w:bookmarkStart w:id="408" w:name="page409"/>
    <w:bookmarkEnd w:id="40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7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INVESTORS’ RIGHTS AGREEMENT</w:t>
      </w:r>
    </w:p>
    <w:p>
      <w:pPr>
        <w:spacing w:after="0" w:line="177" w:lineRule="exact"/>
        <w:rPr>
          <w:sz w:val="20"/>
          <w:szCs w:val="20"/>
          <w:color w:val="auto"/>
        </w:rPr>
      </w:pPr>
    </w:p>
    <w:p>
      <w:pPr>
        <w:jc w:val="both"/>
        <w:ind w:left="220" w:right="319" w:firstLine="342"/>
        <w:spacing w:after="0" w:line="266" w:lineRule="auto"/>
        <w:rPr>
          <w:sz w:val="20"/>
          <w:szCs w:val="20"/>
          <w:color w:val="auto"/>
        </w:rPr>
      </w:pPr>
      <w:r>
        <w:rPr>
          <w:rFonts w:ascii="Times New Roman" w:cs="Times New Roman" w:eastAsia="Times New Roman" w:hAnsi="Times New Roman"/>
          <w:sz w:val="14"/>
          <w:szCs w:val="14"/>
          <w:color w:val="auto"/>
        </w:rPr>
        <w:t>This AMENDED AND RESTATED INVESTORS’ RIGHTS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xml:space="preserve">”) is made and entered into as of May 14, 2024, by and among </w:t>
      </w:r>
      <w:r>
        <w:rPr>
          <w:rFonts w:ascii="Times New Roman" w:cs="Times New Roman" w:eastAsia="Times New Roman" w:hAnsi="Times New Roman"/>
          <w:sz w:val="14"/>
          <w:szCs w:val="14"/>
          <w:b w:val="1"/>
          <w:bCs w:val="1"/>
          <w:color w:val="auto"/>
        </w:rPr>
        <w:t>BILLIONTOONE,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investors listed on Schedule A hereto, each of which is herein referred to as an “</w:t>
      </w:r>
      <w:r>
        <w:rPr>
          <w:rFonts w:ascii="Times New Roman" w:cs="Times New Roman" w:eastAsia="Times New Roman" w:hAnsi="Times New Roman"/>
          <w:sz w:val="14"/>
          <w:szCs w:val="14"/>
          <w:u w:val="single" w:color="auto"/>
          <w:color w:val="auto"/>
        </w:rPr>
        <w:t>Investor</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Investors</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5" w:lineRule="exact"/>
        <w:rPr>
          <w:sz w:val="20"/>
          <w:szCs w:val="20"/>
          <w:color w:val="auto"/>
        </w:rPr>
      </w:pPr>
    </w:p>
    <w:p>
      <w:pPr>
        <w:ind w:left="220" w:right="279" w:firstLine="342"/>
        <w:spacing w:after="0" w:line="25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of the Investors (the “</w:t>
      </w:r>
      <w:r>
        <w:rPr>
          <w:rFonts w:ascii="Times New Roman" w:cs="Times New Roman" w:eastAsia="Times New Roman" w:hAnsi="Times New Roman"/>
          <w:sz w:val="14"/>
          <w:szCs w:val="14"/>
          <w:u w:val="single" w:color="auto"/>
          <w:color w:val="auto"/>
        </w:rPr>
        <w:t>Existing Investors</w:t>
      </w:r>
      <w:r>
        <w:rPr>
          <w:rFonts w:ascii="Times New Roman" w:cs="Times New Roman" w:eastAsia="Times New Roman" w:hAnsi="Times New Roman"/>
          <w:sz w:val="14"/>
          <w:szCs w:val="14"/>
          <w:color w:val="auto"/>
        </w:rPr>
        <w:t>”) hold shares of the Company’s Series A-1 Preferred Stock, par value $0.00001 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Series A-2 Preferred Stock, par value $0.00001 per share, Series A-3 Preferred Stock, par value $0.0001 per share, Series A-4 Preferred Stock, par value $0.00001 per share, Series A-5 Preferred Stock, par value $0.00001 per share, and Series A-6 Preferred Stock, par value $0.00001 per share (collectively, the “</w:t>
      </w:r>
      <w:r>
        <w:rPr>
          <w:rFonts w:ascii="Times New Roman" w:cs="Times New Roman" w:eastAsia="Times New Roman" w:hAnsi="Times New Roman"/>
          <w:sz w:val="14"/>
          <w:szCs w:val="14"/>
          <w:u w:val="single" w:color="auto"/>
          <w:color w:val="auto"/>
        </w:rPr>
        <w:t>Series A Preferred Stock</w:t>
      </w:r>
      <w:r>
        <w:rPr>
          <w:rFonts w:ascii="Times New Roman" w:cs="Times New Roman" w:eastAsia="Times New Roman" w:hAnsi="Times New Roman"/>
          <w:sz w:val="14"/>
          <w:szCs w:val="14"/>
          <w:color w:val="auto"/>
        </w:rPr>
        <w:t>”), Series B-1 Preferred Stock, par value $0.00001 per share, and Series B-2 Preferred Stock, par value $0.00001 per share (collectively, the “</w:t>
      </w:r>
      <w:r>
        <w:rPr>
          <w:rFonts w:ascii="Times New Roman" w:cs="Times New Roman" w:eastAsia="Times New Roman" w:hAnsi="Times New Roman"/>
          <w:sz w:val="14"/>
          <w:szCs w:val="14"/>
          <w:u w:val="single" w:color="auto"/>
          <w:color w:val="auto"/>
        </w:rPr>
        <w:t>Series B Preferred Stock</w:t>
      </w:r>
      <w:r>
        <w:rPr>
          <w:rFonts w:ascii="Times New Roman" w:cs="Times New Roman" w:eastAsia="Times New Roman" w:hAnsi="Times New Roman"/>
          <w:sz w:val="14"/>
          <w:szCs w:val="14"/>
          <w:color w:val="auto"/>
        </w:rPr>
        <w:t>”), Series C Preferred Stock, par value $0.00001 per share (the “</w:t>
      </w:r>
      <w:r>
        <w:rPr>
          <w:rFonts w:ascii="Times New Roman" w:cs="Times New Roman" w:eastAsia="Times New Roman" w:hAnsi="Times New Roman"/>
          <w:sz w:val="14"/>
          <w:szCs w:val="14"/>
          <w:u w:val="single" w:color="auto"/>
          <w:color w:val="auto"/>
        </w:rPr>
        <w:t>Series C 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and/or shares of Common Stock issued upon conversion thereof and possess registration rights, information rights, rights of first offer and other rights pursuant to that certain Amended and Restated Investors’ Rights Agreement dated as of March 16, 2022 by and among the Company, certain holders of Common Stock, par value $0.00001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and such Existing Investors (the “</w:t>
      </w:r>
      <w:r>
        <w:rPr>
          <w:rFonts w:ascii="Times New Roman" w:cs="Times New Roman" w:eastAsia="Times New Roman" w:hAnsi="Times New Roman"/>
          <w:sz w:val="14"/>
          <w:szCs w:val="14"/>
          <w:u w:val="single" w:color="auto"/>
          <w:color w:val="auto"/>
        </w:rPr>
        <w:t>Prior Agreement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20" w:right="4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Prior Agreement may be amended, and any provision therein waived, with the consent of the Company, and the holders of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least a majority of the outstanding Registrable Securities (as such term is defined in the Prior Agreement);</w:t>
      </w:r>
    </w:p>
    <w:p>
      <w:pPr>
        <w:spacing w:after="0" w:line="121" w:lineRule="exact"/>
        <w:rPr>
          <w:sz w:val="20"/>
          <w:szCs w:val="20"/>
          <w:color w:val="auto"/>
        </w:rPr>
      </w:pPr>
    </w:p>
    <w:p>
      <w:pPr>
        <w:ind w:left="220" w:right="29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of the Existing Investors as holders of at least a majority of the outstanding Registrable Securities (as such term is defined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Prior Agreement) of the Company desire to amend and restate the Prior Agreement and to accept the rights created pursuant hereto in lieu of the rights granted to them under the Prior Agreement; and</w:t>
      </w:r>
    </w:p>
    <w:p>
      <w:pPr>
        <w:spacing w:after="0" w:line="134" w:lineRule="exact"/>
        <w:rPr>
          <w:sz w:val="20"/>
          <w:szCs w:val="20"/>
          <w:color w:val="auto"/>
        </w:rPr>
      </w:pPr>
    </w:p>
    <w:p>
      <w:pPr>
        <w:ind w:left="220" w:right="23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Investors are parties to that certain Preferred Stock Purchase Agreement of even date herewith by and among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certain of the Investors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which provides that as a condition to the closing of the sale of the Series D Preferred Stock, par value $0.00001 per share (the “</w:t>
      </w:r>
      <w:r>
        <w:rPr>
          <w:rFonts w:ascii="Times New Roman" w:cs="Times New Roman" w:eastAsia="Times New Roman" w:hAnsi="Times New Roman"/>
          <w:sz w:val="14"/>
          <w:szCs w:val="14"/>
          <w:u w:val="single" w:color="auto"/>
          <w:color w:val="auto"/>
        </w:rPr>
        <w:t>Series D Preferred Stock</w:t>
      </w:r>
      <w:r>
        <w:rPr>
          <w:rFonts w:ascii="Times New Roman" w:cs="Times New Roman" w:eastAsia="Times New Roman" w:hAnsi="Times New Roman"/>
          <w:sz w:val="14"/>
          <w:szCs w:val="14"/>
          <w:color w:val="auto"/>
        </w:rPr>
        <w:t>”) and Series C-1 Preferred Stock, par value $0.00001 per share (the “</w:t>
      </w:r>
      <w:r>
        <w:rPr>
          <w:rFonts w:ascii="Times New Roman" w:cs="Times New Roman" w:eastAsia="Times New Roman" w:hAnsi="Times New Roman"/>
          <w:sz w:val="14"/>
          <w:szCs w:val="14"/>
          <w:u w:val="single" w:color="auto"/>
          <w:color w:val="auto"/>
        </w:rPr>
        <w:t>Series C-1 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and, together with the Series A Preferred Stock, Series B Preferred Stock, Series C Preferred Stock and the Series D Preferred Stock,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this Agreement must be executed and delivered by such Investors, Existing Investors holding at a majority of the outstanding Registrable Securities (as such term is defined in the Prior Agreement) of the Company and the Company.</w:t>
      </w:r>
    </w:p>
    <w:p>
      <w:pPr>
        <w:spacing w:after="0" w:line="141" w:lineRule="exact"/>
        <w:rPr>
          <w:sz w:val="20"/>
          <w:szCs w:val="20"/>
          <w:color w:val="auto"/>
        </w:rPr>
      </w:pPr>
    </w:p>
    <w:p>
      <w:pPr>
        <w:ind w:left="220" w:right="439" w:firstLine="342"/>
        <w:spacing w:after="0" w:line="325"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mutual promises and covenants set forth herein, the Company and the Existing Investors hereby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 that the Prior Agreement shall be amended and replaced in its entirety by this Agreement, and the parties hereto further agree as follows:</w:t>
      </w:r>
    </w:p>
    <w:p>
      <w:pPr>
        <w:sectPr>
          <w:pgSz w:w="11900" w:h="16838" w:orient="portrait"/>
          <w:cols w:equalWidth="0" w:num="1">
            <w:col w:w="9019"/>
          </w:cols>
          <w:pgMar w:left="1440" w:top="123" w:right="1440" w:bottom="1440" w:gutter="0" w:footer="0" w:header="0"/>
        </w:sectPr>
      </w:pPr>
    </w:p>
    <w:bookmarkStart w:id="409" w:name="page410"/>
    <w:bookmarkEnd w:id="409"/>
    <w:p>
      <w:pPr>
        <w:ind w:left="700" w:hanging="135"/>
        <w:spacing w:after="0"/>
        <w:tabs>
          <w:tab w:leader="none" w:pos="7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Definitions</w:t>
      </w:r>
      <w:r>
        <w:rPr>
          <w:rFonts w:ascii="Times New Roman" w:cs="Times New Roman" w:eastAsia="Times New Roman" w:hAnsi="Times New Roman"/>
          <w:sz w:val="14"/>
          <w:szCs w:val="14"/>
          <w:color w:val="auto"/>
        </w:rPr>
        <w:t>. For purposes of this Agreement:</w:t>
      </w:r>
    </w:p>
    <w:p>
      <w:pPr>
        <w:spacing w:after="0" w:line="90"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74" w:lineRule="exact"/>
        <w:rPr>
          <w:rFonts w:ascii="Times New Roman" w:cs="Times New Roman" w:eastAsia="Times New Roman" w:hAnsi="Times New Roman"/>
          <w:sz w:val="14"/>
          <w:szCs w:val="14"/>
          <w:color w:val="auto"/>
        </w:rPr>
      </w:pPr>
    </w:p>
    <w:p>
      <w:pPr>
        <w:ind w:left="220" w:right="239" w:firstLine="773"/>
        <w:spacing w:after="0" w:line="261" w:lineRule="auto"/>
        <w:tabs>
          <w:tab w:leader="none" w:pos="1189"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who or which, directly or indirectly, controls, is controlled by, or is under common control with such specified Person, including, without limitation, any general partner, officer, director or manager of such Person and any venture capital, private equity or other investment fund now or hereafter existing that is controlled by one or more general partners or managing members of, or is under common investment management with, or shares the same investment manager with, such Person.</w:t>
      </w:r>
    </w:p>
    <w:p>
      <w:pPr>
        <w:spacing w:after="0" w:line="139"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Company’s Board of Directors, as constituted from time to time.</w:t>
      </w:r>
    </w:p>
    <w:p>
      <w:pPr>
        <w:spacing w:after="0" w:line="174"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CFIUS</w:t>
      </w:r>
      <w:r>
        <w:rPr>
          <w:rFonts w:ascii="Times New Roman" w:cs="Times New Roman" w:eastAsia="Times New Roman" w:hAnsi="Times New Roman"/>
          <w:sz w:val="14"/>
          <w:szCs w:val="14"/>
          <w:color w:val="auto"/>
        </w:rPr>
        <w:t>” means the Committee on Foreign Investment in the United States.</w:t>
      </w:r>
    </w:p>
    <w:p>
      <w:pPr>
        <w:spacing w:after="0" w:line="174"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CFIUS Filing</w:t>
      </w:r>
      <w:r>
        <w:rPr>
          <w:rFonts w:ascii="Times New Roman" w:cs="Times New Roman" w:eastAsia="Times New Roman" w:hAnsi="Times New Roman"/>
          <w:sz w:val="14"/>
          <w:szCs w:val="14"/>
          <w:color w:val="auto"/>
        </w:rPr>
        <w:t>” means a Mandatory Declaration or CFIUS Notice.</w:t>
      </w:r>
    </w:p>
    <w:p>
      <w:pPr>
        <w:spacing w:after="0" w:line="174"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CFIUS Notice</w:t>
      </w:r>
      <w:r>
        <w:rPr>
          <w:rFonts w:ascii="Times New Roman" w:cs="Times New Roman" w:eastAsia="Times New Roman" w:hAnsi="Times New Roman"/>
          <w:sz w:val="14"/>
          <w:szCs w:val="14"/>
          <w:color w:val="auto"/>
        </w:rPr>
        <w:t>” means a notification of a Potential CFIUS Transaction submitted to CFIUS pursuant to the DPA.</w:t>
      </w:r>
    </w:p>
    <w:p>
      <w:pPr>
        <w:spacing w:after="0" w:line="174" w:lineRule="exact"/>
        <w:rPr>
          <w:rFonts w:ascii="Times New Roman" w:cs="Times New Roman" w:eastAsia="Times New Roman" w:hAnsi="Times New Roman"/>
          <w:sz w:val="14"/>
          <w:szCs w:val="14"/>
          <w:color w:val="auto"/>
        </w:rPr>
      </w:pPr>
    </w:p>
    <w:p>
      <w:pPr>
        <w:ind w:left="220" w:right="299" w:firstLine="773"/>
        <w:spacing w:after="0" w:line="254" w:lineRule="auto"/>
        <w:tabs>
          <w:tab w:leader="none" w:pos="1189"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CFIUS Approval</w:t>
      </w:r>
      <w:r>
        <w:rPr>
          <w:rFonts w:ascii="Times New Roman" w:cs="Times New Roman" w:eastAsia="Times New Roman" w:hAnsi="Times New Roman"/>
          <w:sz w:val="14"/>
          <w:szCs w:val="14"/>
          <w:color w:val="auto"/>
        </w:rPr>
        <w:t>” means, following a CFIUS Filing with respect to a Potential CFIUS Transaction, the applicable Investor and the Company shall have received written notice from CFIUS stating that: (i) CFIUS has concluded that the Potential CFIUS Transaction is not a “covered transaction” and not subject to review under the DPA; (ii) CFIUS has completed an assessment of the Mandatory Declaration or a review or investigation of the Potential CFIUS Transaction based on a CFIUS Notice and has concluded all action under the DPA; or (iii) CFIUS has sent a report to the President of the United States (the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requesting the President’s decision and either (A) the President has announced a decision not to take any action to suspend, prohibit or place any limitations on the Potential CFIUS Transaction or (B) the President has not announced a decision to take any action to suspend or prohibit the Potential CFIUS Transaction within fifteen (15) days after the earlier of (x) the date upon which CFIUS has completed its investigation of the Potential CFIUS Transaction or (y) the date on which CFIUS has referred the Potential CFIUS Transaction to the President for action.</w:t>
      </w:r>
    </w:p>
    <w:p>
      <w:pPr>
        <w:spacing w:after="0" w:line="145" w:lineRule="exact"/>
        <w:rPr>
          <w:rFonts w:ascii="Times New Roman" w:cs="Times New Roman" w:eastAsia="Times New Roman" w:hAnsi="Times New Roman"/>
          <w:sz w:val="14"/>
          <w:szCs w:val="14"/>
          <w:color w:val="auto"/>
        </w:rPr>
      </w:pPr>
    </w:p>
    <w:p>
      <w:pPr>
        <w:ind w:left="220" w:right="299" w:firstLine="773"/>
        <w:spacing w:after="0" w:line="258" w:lineRule="auto"/>
        <w:tabs>
          <w:tab w:leader="none" w:pos="1189"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Competitor</w:t>
      </w:r>
      <w:r>
        <w:rPr>
          <w:rFonts w:ascii="Times New Roman" w:cs="Times New Roman" w:eastAsia="Times New Roman" w:hAnsi="Times New Roman"/>
          <w:sz w:val="14"/>
          <w:szCs w:val="14"/>
          <w:color w:val="auto"/>
        </w:rPr>
        <w:t>” means a Person engaged, directly or indirectly (including, without limitation, through any partnership, limited liability company, corporation, joint venture or similar arrangement (whether now existing or formed hereafter)), in the business of the Company, but shall not include any financial investment firm or collective investment vehicle that, together with its Affiliates, holds less than ten percent (10)% of the outstanding equity of any Competitor and does not, nor do any of its Affiliates, have, or have the right to designate, any members of the Board of Directors of any Competitor.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10" w:name="page411"/>
    <w:bookmarkEnd w:id="410"/>
    <w:p>
      <w:pPr>
        <w:ind w:left="1160" w:hanging="167"/>
        <w:spacing w:after="0"/>
        <w:tabs>
          <w:tab w:leader="none" w:pos="11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term “</w:t>
      </w:r>
      <w:r>
        <w:rPr>
          <w:rFonts w:ascii="Times New Roman" w:cs="Times New Roman" w:eastAsia="Times New Roman" w:hAnsi="Times New Roman"/>
          <w:sz w:val="14"/>
          <w:szCs w:val="14"/>
          <w:u w:val="single" w:color="auto"/>
          <w:color w:val="auto"/>
        </w:rPr>
        <w:t>Direct Listing</w:t>
      </w:r>
      <w:r>
        <w:rPr>
          <w:rFonts w:ascii="Times New Roman" w:cs="Times New Roman" w:eastAsia="Times New Roman" w:hAnsi="Times New Roman"/>
          <w:sz w:val="14"/>
          <w:szCs w:val="14"/>
          <w:color w:val="auto"/>
        </w:rPr>
        <w:t>” shall have the meaning given to such term in the Restated Certificate.</w:t>
      </w:r>
    </w:p>
    <w:p>
      <w:pPr>
        <w:spacing w:after="0" w:line="174"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DPA</w:t>
      </w:r>
      <w:r>
        <w:rPr>
          <w:rFonts w:ascii="Times New Roman" w:cs="Times New Roman" w:eastAsia="Times New Roman" w:hAnsi="Times New Roman"/>
          <w:sz w:val="14"/>
          <w:szCs w:val="14"/>
          <w:color w:val="auto"/>
        </w:rPr>
        <w:t>” means Section 721 of the Defense Production Act of 1950, as amended, and any interim or final rules promulgated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thereunder.</w:t>
      </w:r>
    </w:p>
    <w:p>
      <w:pPr>
        <w:spacing w:after="0" w:line="160" w:lineRule="exact"/>
        <w:rPr>
          <w:sz w:val="20"/>
          <w:szCs w:val="20"/>
          <w:color w:val="auto"/>
        </w:rPr>
      </w:pPr>
    </w:p>
    <w:p>
      <w:pPr>
        <w:ind w:left="220" w:right="279" w:firstLine="773"/>
        <w:spacing w:after="0" w:line="258" w:lineRule="auto"/>
        <w:tabs>
          <w:tab w:leader="none" w:pos="1189"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Excluded Registration</w:t>
      </w:r>
      <w:r>
        <w:rPr>
          <w:rFonts w:ascii="Times New Roman" w:cs="Times New Roman" w:eastAsia="Times New Roman" w:hAnsi="Times New Roman"/>
          <w:sz w:val="14"/>
          <w:szCs w:val="14"/>
          <w:color w:val="auto"/>
        </w:rPr>
        <w:t>” means (i) a registration relating solely to the sale of securities of participants in a Company stock plan, (ii) a registration relating to a corporate reorganization or transaction under Rule 145 of the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42"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Family Member</w:t>
      </w:r>
      <w:r>
        <w:rPr>
          <w:rFonts w:ascii="Times New Roman" w:cs="Times New Roman" w:eastAsia="Times New Roman" w:hAnsi="Times New Roman"/>
          <w:sz w:val="14"/>
          <w:szCs w:val="14"/>
          <w:color w:val="auto"/>
        </w:rPr>
        <w:t>” means a spouse, child, stepchild, grandchild, parent, stepparent, grandparent, spouse, sibling,</w:t>
      </w:r>
    </w:p>
    <w:p>
      <w:pPr>
        <w:spacing w:after="0" w:line="22" w:lineRule="exact"/>
        <w:rPr>
          <w:sz w:val="20"/>
          <w:szCs w:val="20"/>
          <w:color w:val="auto"/>
        </w:rPr>
      </w:pPr>
    </w:p>
    <w:p>
      <w:pPr>
        <w:ind w:left="220" w:right="339"/>
        <w:spacing w:after="0" w:line="260" w:lineRule="auto"/>
        <w:rPr>
          <w:sz w:val="20"/>
          <w:szCs w:val="20"/>
          <w:color w:val="auto"/>
        </w:rPr>
      </w:pPr>
      <w:r>
        <w:rPr>
          <w:rFonts w:ascii="Times New Roman" w:cs="Times New Roman" w:eastAsia="Times New Roman" w:hAnsi="Times New Roman"/>
          <w:sz w:val="14"/>
          <w:szCs w:val="14"/>
          <w:color w:val="auto"/>
        </w:rPr>
        <w:t>mother-in-law, father-in-law, son-in-law, daughter-in-law, brother-in-law, or sister-in-law, including, adoptive relationships, of a natural person referred to herein.</w:t>
      </w:r>
    </w:p>
    <w:p>
      <w:pPr>
        <w:spacing w:after="0" w:line="140" w:lineRule="exact"/>
        <w:rPr>
          <w:sz w:val="20"/>
          <w:szCs w:val="20"/>
          <w:color w:val="auto"/>
        </w:rPr>
      </w:pPr>
    </w:p>
    <w:p>
      <w:pPr>
        <w:ind w:left="220" w:right="739" w:firstLine="773"/>
        <w:spacing w:after="0" w:line="266" w:lineRule="auto"/>
        <w:tabs>
          <w:tab w:leader="none" w:pos="1227"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Form S-3</w:t>
      </w:r>
      <w:r>
        <w:rPr>
          <w:rFonts w:ascii="Times New Roman" w:cs="Times New Roman" w:eastAsia="Times New Roman" w:hAnsi="Times New Roman"/>
          <w:sz w:val="14"/>
          <w:szCs w:val="14"/>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36"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Free Writing Prospectus</w:t>
      </w:r>
      <w:r>
        <w:rPr>
          <w:rFonts w:ascii="Times New Roman" w:cs="Times New Roman" w:eastAsia="Times New Roman" w:hAnsi="Times New Roman"/>
          <w:sz w:val="14"/>
          <w:szCs w:val="14"/>
          <w:color w:val="auto"/>
        </w:rPr>
        <w:t>” means a free-writing prospectus, as defined in Rule 405.</w:t>
      </w:r>
    </w:p>
    <w:p>
      <w:pPr>
        <w:spacing w:after="0" w:line="174" w:lineRule="exact"/>
        <w:rPr>
          <w:rFonts w:ascii="Times New Roman" w:cs="Times New Roman" w:eastAsia="Times New Roman" w:hAnsi="Times New Roman"/>
          <w:sz w:val="14"/>
          <w:szCs w:val="14"/>
          <w:color w:val="auto"/>
        </w:rPr>
      </w:pPr>
    </w:p>
    <w:p>
      <w:pPr>
        <w:ind w:left="220" w:right="879" w:firstLine="773"/>
        <w:spacing w:after="0" w:line="282" w:lineRule="auto"/>
        <w:tabs>
          <w:tab w:leader="none" w:pos="1189"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any Person owning or having the right to acquire Registrable Securities or any assignee thereof in accordance with Section 2.10 of this Agreement.</w:t>
      </w:r>
    </w:p>
    <w:p>
      <w:pPr>
        <w:spacing w:after="0" w:line="125"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Initial Offering</w:t>
      </w:r>
      <w:r>
        <w:rPr>
          <w:rFonts w:ascii="Times New Roman" w:cs="Times New Roman" w:eastAsia="Times New Roman" w:hAnsi="Times New Roman"/>
          <w:sz w:val="14"/>
          <w:szCs w:val="14"/>
          <w:color w:val="auto"/>
        </w:rPr>
        <w:t>” means the Company’s first Offering.</w:t>
      </w:r>
    </w:p>
    <w:p>
      <w:pPr>
        <w:spacing w:after="0" w:line="174"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Liquidation Event</w:t>
      </w:r>
      <w:r>
        <w:rPr>
          <w:rFonts w:ascii="Times New Roman" w:cs="Times New Roman" w:eastAsia="Times New Roman" w:hAnsi="Times New Roman"/>
          <w:sz w:val="14"/>
          <w:szCs w:val="14"/>
          <w:color w:val="auto"/>
        </w:rPr>
        <w:t>” shall have the meaning given to such term in the Restated Certificate.</w:t>
      </w:r>
    </w:p>
    <w:p>
      <w:pPr>
        <w:spacing w:after="0" w:line="174"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Mandatory Declaration</w:t>
      </w:r>
      <w:r>
        <w:rPr>
          <w:rFonts w:ascii="Times New Roman" w:cs="Times New Roman" w:eastAsia="Times New Roman" w:hAnsi="Times New Roman"/>
          <w:sz w:val="14"/>
          <w:szCs w:val="14"/>
          <w:color w:val="auto"/>
        </w:rPr>
        <w:t>” means a declaration of a Potential CFIUS Transaction filed with CFIUS pursuant to the DPA.</w:t>
      </w:r>
    </w:p>
    <w:p>
      <w:pPr>
        <w:spacing w:after="0" w:line="174"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74" w:lineRule="exact"/>
        <w:rPr>
          <w:rFonts w:ascii="Times New Roman" w:cs="Times New Roman" w:eastAsia="Times New Roman" w:hAnsi="Times New Roman"/>
          <w:sz w:val="14"/>
          <w:szCs w:val="14"/>
          <w:color w:val="auto"/>
        </w:rPr>
      </w:pPr>
    </w:p>
    <w:p>
      <w:pPr>
        <w:ind w:left="220" w:right="719" w:firstLine="773"/>
        <w:spacing w:after="0" w:line="282" w:lineRule="auto"/>
        <w:tabs>
          <w:tab w:leader="none" w:pos="1158"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means the Company’s firm commitment underwritten public offering of its Common Stock or other equity securities to the public under the Act.</w:t>
      </w:r>
    </w:p>
    <w:p>
      <w:pPr>
        <w:spacing w:after="0" w:line="125"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Potential CFIUS Transaction</w:t>
      </w:r>
      <w:r>
        <w:rPr>
          <w:rFonts w:ascii="Times New Roman" w:cs="Times New Roman" w:eastAsia="Times New Roman" w:hAnsi="Times New Roman"/>
          <w:sz w:val="14"/>
          <w:szCs w:val="14"/>
          <w:color w:val="auto"/>
        </w:rPr>
        <w:t>” means any subsequent offering or issuance of Shares pursuant to Section 3.4.</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11" w:name="page412"/>
    <w:bookmarkEnd w:id="411"/>
    <w:p>
      <w:pPr>
        <w:ind w:left="1200" w:hanging="207"/>
        <w:spacing w:after="0"/>
        <w:tabs>
          <w:tab w:leader="none" w:pos="120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term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shall mean any individual, corporation, partnership, trust, limited liability company, association or other entity.</w:t>
      </w:r>
    </w:p>
    <w:p>
      <w:pPr>
        <w:spacing w:after="0" w:line="174" w:lineRule="exact"/>
        <w:rPr>
          <w:rFonts w:ascii="Times New Roman" w:cs="Times New Roman" w:eastAsia="Times New Roman" w:hAnsi="Times New Roman"/>
          <w:sz w:val="14"/>
          <w:szCs w:val="14"/>
          <w:color w:val="auto"/>
        </w:rPr>
      </w:pPr>
    </w:p>
    <w:p>
      <w:pPr>
        <w:ind w:left="1220" w:hanging="227"/>
        <w:spacing w:after="0"/>
        <w:tabs>
          <w:tab w:leader="none" w:pos="122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Preferred Director</w:t>
      </w:r>
      <w:r>
        <w:rPr>
          <w:rFonts w:ascii="Times New Roman" w:cs="Times New Roman" w:eastAsia="Times New Roman" w:hAnsi="Times New Roman"/>
          <w:sz w:val="14"/>
          <w:szCs w:val="14"/>
          <w:color w:val="auto"/>
        </w:rPr>
        <w:t>” shall have the meaning given to such term in the Restated Certificate.</w:t>
      </w:r>
    </w:p>
    <w:p>
      <w:pPr>
        <w:spacing w:after="0" w:line="174" w:lineRule="exact"/>
        <w:rPr>
          <w:rFonts w:ascii="Times New Roman" w:cs="Times New Roman" w:eastAsia="Times New Roman" w:hAnsi="Times New Roman"/>
          <w:sz w:val="14"/>
          <w:szCs w:val="14"/>
          <w:color w:val="auto"/>
        </w:rPr>
      </w:pPr>
    </w:p>
    <w:p>
      <w:pPr>
        <w:ind w:left="220" w:right="359" w:firstLine="773"/>
        <w:spacing w:after="0" w:line="282" w:lineRule="auto"/>
        <w:tabs>
          <w:tab w:leader="none" w:pos="1189"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25"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Registrable Securities</w:t>
      </w:r>
      <w:r>
        <w:rPr>
          <w:rFonts w:ascii="Times New Roman" w:cs="Times New Roman" w:eastAsia="Times New Roman" w:hAnsi="Times New Roman"/>
          <w:sz w:val="14"/>
          <w:szCs w:val="14"/>
          <w:color w:val="auto"/>
        </w:rPr>
        <w:t>” means (i) the Common Stock issuable or issued upon conversion of the Preferred Stock; and</w:t>
      </w:r>
    </w:p>
    <w:p>
      <w:pPr>
        <w:spacing w:after="0" w:line="21" w:lineRule="exact"/>
        <w:rPr>
          <w:rFonts w:ascii="Times New Roman" w:cs="Times New Roman" w:eastAsia="Times New Roman" w:hAnsi="Times New Roman"/>
          <w:sz w:val="14"/>
          <w:szCs w:val="14"/>
          <w:color w:val="auto"/>
        </w:rPr>
      </w:pPr>
    </w:p>
    <w:p>
      <w:pPr>
        <w:ind w:left="220" w:right="319" w:firstLine="3"/>
        <w:spacing w:after="0" w:line="253" w:lineRule="auto"/>
        <w:tabs>
          <w:tab w:leader="none" w:pos="426"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or Common Stock issuable upon the conversion and/or exercise of any other securities of the Company, acquired by Investors after the date hereof.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45"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1"/>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u w:val="single" w:color="auto"/>
          <w:color w:val="auto"/>
        </w:rPr>
        <w:t>Restated Certificate</w:t>
      </w:r>
      <w:r>
        <w:rPr>
          <w:rFonts w:ascii="Times New Roman" w:cs="Times New Roman" w:eastAsia="Times New Roman" w:hAnsi="Times New Roman"/>
          <w:sz w:val="13"/>
          <w:szCs w:val="13"/>
          <w:color w:val="auto"/>
        </w:rPr>
        <w:t>” shall mean the Company’s Restated Certificate of Incorporation, as amended and/or restated from time</w:t>
      </w:r>
    </w:p>
    <w:p>
      <w:pPr>
        <w:spacing w:after="0" w:line="33" w:lineRule="exact"/>
        <w:rPr>
          <w:rFonts w:ascii="Times New Roman" w:cs="Times New Roman" w:eastAsia="Times New Roman" w:hAnsi="Times New Roman"/>
          <w:sz w:val="13"/>
          <w:szCs w:val="13"/>
          <w:color w:val="auto"/>
        </w:rPr>
      </w:pPr>
    </w:p>
    <w:p>
      <w:pPr>
        <w:ind w:left="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to time.</w:t>
      </w:r>
    </w:p>
    <w:p>
      <w:pPr>
        <w:spacing w:after="0" w:line="160" w:lineRule="exact"/>
        <w:rPr>
          <w:sz w:val="20"/>
          <w:szCs w:val="20"/>
          <w:color w:val="auto"/>
        </w:rPr>
      </w:pPr>
    </w:p>
    <w:p>
      <w:pPr>
        <w:ind w:left="220" w:right="819" w:firstLine="773"/>
        <w:spacing w:after="0" w:line="282" w:lineRule="auto"/>
        <w:tabs>
          <w:tab w:leader="none" w:pos="1243"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shall mean the securities of the Company required to be notated with the legend set forth in Subsection 2.13(b) hereof.</w:t>
      </w:r>
    </w:p>
    <w:p>
      <w:pPr>
        <w:spacing w:after="0" w:line="125" w:lineRule="exact"/>
        <w:rPr>
          <w:rFonts w:ascii="Times New Roman" w:cs="Times New Roman" w:eastAsia="Times New Roman" w:hAnsi="Times New Roman"/>
          <w:sz w:val="14"/>
          <w:szCs w:val="14"/>
          <w:color w:val="auto"/>
        </w:rPr>
      </w:pPr>
    </w:p>
    <w:p>
      <w:pPr>
        <w:ind w:left="1260" w:hanging="267"/>
        <w:spacing w:after="0"/>
        <w:tabs>
          <w:tab w:leader="none" w:pos="126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Rule 144</w:t>
      </w:r>
      <w:r>
        <w:rPr>
          <w:rFonts w:ascii="Times New Roman" w:cs="Times New Roman" w:eastAsia="Times New Roman" w:hAnsi="Times New Roman"/>
          <w:sz w:val="14"/>
          <w:szCs w:val="14"/>
          <w:color w:val="auto"/>
        </w:rPr>
        <w:t>” shall mean Rule 144 under the Act.</w:t>
      </w:r>
    </w:p>
    <w:p>
      <w:pPr>
        <w:spacing w:after="0" w:line="174" w:lineRule="exact"/>
        <w:rPr>
          <w:rFonts w:ascii="Times New Roman" w:cs="Times New Roman" w:eastAsia="Times New Roman" w:hAnsi="Times New Roman"/>
          <w:sz w:val="14"/>
          <w:szCs w:val="14"/>
          <w:color w:val="auto"/>
        </w:rPr>
      </w:pPr>
    </w:p>
    <w:p>
      <w:pPr>
        <w:ind w:left="220" w:right="339" w:firstLine="773"/>
        <w:spacing w:after="0" w:line="282" w:lineRule="auto"/>
        <w:tabs>
          <w:tab w:leader="none" w:pos="1243"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Rule 144(b)(1)(i)</w:t>
      </w:r>
      <w:r>
        <w:rPr>
          <w:rFonts w:ascii="Times New Roman" w:cs="Times New Roman" w:eastAsia="Times New Roman" w:hAnsi="Times New Roman"/>
          <w:sz w:val="14"/>
          <w:szCs w:val="14"/>
          <w:color w:val="auto"/>
        </w:rPr>
        <w:t>” shall mean subsection (b)(1)(i) of Rule 144 under the Act as it applies to Persons who have held shares for more than one (1) year.</w:t>
      </w:r>
    </w:p>
    <w:p>
      <w:pPr>
        <w:spacing w:after="0" w:line="125" w:lineRule="exact"/>
        <w:rPr>
          <w:rFonts w:ascii="Times New Roman" w:cs="Times New Roman" w:eastAsia="Times New Roman" w:hAnsi="Times New Roman"/>
          <w:sz w:val="14"/>
          <w:szCs w:val="14"/>
          <w:color w:val="auto"/>
        </w:rPr>
      </w:pPr>
    </w:p>
    <w:p>
      <w:pPr>
        <w:ind w:left="1260" w:hanging="267"/>
        <w:spacing w:after="0"/>
        <w:tabs>
          <w:tab w:leader="none" w:pos="126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Rule 405</w:t>
      </w:r>
      <w:r>
        <w:rPr>
          <w:rFonts w:ascii="Times New Roman" w:cs="Times New Roman" w:eastAsia="Times New Roman" w:hAnsi="Times New Roman"/>
          <w:sz w:val="14"/>
          <w:szCs w:val="14"/>
          <w:color w:val="auto"/>
        </w:rPr>
        <w:t>” shall mean Rule 405 under the Act.</w:t>
      </w:r>
    </w:p>
    <w:p>
      <w:pPr>
        <w:spacing w:after="0" w:line="174" w:lineRule="exact"/>
        <w:rPr>
          <w:rFonts w:ascii="Times New Roman" w:cs="Times New Roman" w:eastAsia="Times New Roman" w:hAnsi="Times New Roman"/>
          <w:sz w:val="14"/>
          <w:szCs w:val="14"/>
          <w:color w:val="auto"/>
        </w:rPr>
      </w:pPr>
    </w:p>
    <w:p>
      <w:pPr>
        <w:ind w:left="1240" w:hanging="247"/>
        <w:spacing w:after="0"/>
        <w:tabs>
          <w:tab w:leader="none" w:pos="124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shall mean the Securities and Exchange Commission.</w:t>
      </w:r>
    </w:p>
    <w:p>
      <w:pPr>
        <w:spacing w:after="0" w:line="175" w:lineRule="exact"/>
        <w:rPr>
          <w:sz w:val="20"/>
          <w:szCs w:val="20"/>
          <w:color w:val="auto"/>
        </w:rPr>
      </w:pPr>
    </w:p>
    <w:p>
      <w:pPr>
        <w:ind w:left="1000" w:right="4499" w:hanging="435"/>
        <w:spacing w:after="0" w:line="407" w:lineRule="auto"/>
        <w:tabs>
          <w:tab w:leader="none" w:pos="71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xml:space="preserve">. The Company covenants and agrees as follows: 2.1 </w:t>
      </w:r>
      <w:r>
        <w:rPr>
          <w:rFonts w:ascii="Times New Roman" w:cs="Times New Roman" w:eastAsia="Times New Roman" w:hAnsi="Times New Roman"/>
          <w:sz w:val="14"/>
          <w:szCs w:val="14"/>
          <w:u w:val="single" w:color="auto"/>
          <w:color w:val="auto"/>
        </w:rPr>
        <w:t>Request for Registration</w:t>
      </w:r>
      <w:r>
        <w:rPr>
          <w:rFonts w:ascii="Times New Roman" w:cs="Times New Roman" w:eastAsia="Times New Roman" w:hAnsi="Times New Roman"/>
          <w:sz w:val="14"/>
          <w:szCs w:val="14"/>
          <w:i w:val="1"/>
          <w:iCs w:val="1"/>
          <w:color w:val="auto"/>
        </w:rPr>
        <w:t>.</w:t>
      </w:r>
    </w:p>
    <w:p>
      <w:pPr>
        <w:spacing w:after="0" w:line="41" w:lineRule="exact"/>
        <w:rPr>
          <w:rFonts w:ascii="Times New Roman" w:cs="Times New Roman" w:eastAsia="Times New Roman" w:hAnsi="Times New Roman"/>
          <w:sz w:val="14"/>
          <w:szCs w:val="14"/>
          <w:color w:val="auto"/>
        </w:rPr>
      </w:pPr>
    </w:p>
    <w:p>
      <w:pPr>
        <w:ind w:left="220" w:right="279" w:firstLine="1116"/>
        <w:spacing w:after="0" w:line="255" w:lineRule="auto"/>
        <w:tabs>
          <w:tab w:leader="none" w:pos="1523"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conditions of this Section 2.1, if the Company shall receive at any time after six (6) months after the effective date of the Initial Offering or a Direct Listing, a written request from the Holders of a majority of the Registrable Securities then outstanding (for purposes of this Section 2.1, the “</w:t>
      </w:r>
      <w:r>
        <w:rPr>
          <w:rFonts w:ascii="Times New Roman" w:cs="Times New Roman" w:eastAsia="Times New Roman" w:hAnsi="Times New Roman"/>
          <w:sz w:val="14"/>
          <w:szCs w:val="14"/>
          <w:u w:val="single" w:color="auto"/>
          <w:color w:val="auto"/>
        </w:rPr>
        <w:t>Initiating Holders</w:t>
      </w:r>
      <w:r>
        <w:rPr>
          <w:rFonts w:ascii="Times New Roman" w:cs="Times New Roman" w:eastAsia="Times New Roman" w:hAnsi="Times New Roman"/>
          <w:sz w:val="14"/>
          <w:szCs w:val="14"/>
          <w:color w:val="auto"/>
        </w:rPr>
        <w:t>”) that the Company file a registration statement under the Act covering the registration of Registrable Securities with an anticipated aggregate offering price of at least $20,000,000, then the Company shall, within twenty (20) days of the receipt thereof, give written notice of such request to all Holders, and subject to the limitations of this Section 2.1, use its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2.1(a).</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412" w:name="page413"/>
    <w:bookmarkEnd w:id="412"/>
    <w:p>
      <w:pPr>
        <w:ind w:left="220" w:right="259" w:firstLine="1116"/>
        <w:spacing w:after="0" w:line="252" w:lineRule="auto"/>
        <w:tabs>
          <w:tab w:leader="none" w:pos="153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then held by all Initiating Holders). 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 To facilitate the allocation of shares in accordance with the above provisions, the Company or the underwriters may round the number of shares allocated to any Holder to the nearest one hundred (100) shares.</w:t>
      </w:r>
    </w:p>
    <w:p>
      <w:pPr>
        <w:spacing w:after="0" w:line="150" w:lineRule="exact"/>
        <w:rPr>
          <w:rFonts w:ascii="Times New Roman" w:cs="Times New Roman" w:eastAsia="Times New Roman" w:hAnsi="Times New Roman"/>
          <w:sz w:val="14"/>
          <w:szCs w:val="14"/>
          <w:color w:val="auto"/>
        </w:rPr>
      </w:pPr>
    </w:p>
    <w:p>
      <w:pPr>
        <w:ind w:left="1520" w:hanging="184"/>
        <w:spacing w:after="0"/>
        <w:tabs>
          <w:tab w:leader="none" w:pos="152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the Company shall not be required to effect a registration pursuant to this Section 2.1:</w:t>
      </w:r>
    </w:p>
    <w:p>
      <w:pPr>
        <w:spacing w:after="0" w:line="90" w:lineRule="exact"/>
        <w:rPr>
          <w:rFonts w:ascii="Times New Roman" w:cs="Times New Roman" w:eastAsia="Times New Roman" w:hAnsi="Times New Roman"/>
          <w:sz w:val="14"/>
          <w:szCs w:val="14"/>
          <w:color w:val="auto"/>
        </w:rPr>
      </w:pPr>
    </w:p>
    <w:p>
      <w:pPr>
        <w:ind w:left="220" w:right="359" w:firstLine="1544"/>
        <w:spacing w:after="0" w:line="322" w:lineRule="auto"/>
        <w:tabs>
          <w:tab w:leader="none" w:pos="1928"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02" w:lineRule="exact"/>
        <w:rPr>
          <w:rFonts w:ascii="Times New Roman" w:cs="Times New Roman" w:eastAsia="Times New Roman" w:hAnsi="Times New Roman"/>
          <w:sz w:val="13"/>
          <w:szCs w:val="13"/>
          <w:color w:val="auto"/>
        </w:rPr>
      </w:pPr>
    </w:p>
    <w:p>
      <w:pPr>
        <w:ind w:left="220" w:right="679" w:firstLine="1544"/>
        <w:spacing w:after="0" w:line="282" w:lineRule="auto"/>
        <w:tabs>
          <w:tab w:leader="none" w:pos="1967"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Company has effected two (2) registrations pursuant to this Section 2.1, and such registrations have been declared or ordered effective; or</w:t>
      </w:r>
    </w:p>
    <w:p>
      <w:pPr>
        <w:spacing w:after="0" w:line="125" w:lineRule="exact"/>
        <w:rPr>
          <w:rFonts w:ascii="Times New Roman" w:cs="Times New Roman" w:eastAsia="Times New Roman" w:hAnsi="Times New Roman"/>
          <w:sz w:val="14"/>
          <w:szCs w:val="14"/>
          <w:color w:val="auto"/>
        </w:rPr>
      </w:pPr>
    </w:p>
    <w:p>
      <w:pPr>
        <w:jc w:val="both"/>
        <w:ind w:left="220" w:right="239" w:firstLine="1544"/>
        <w:spacing w:after="0" w:line="261" w:lineRule="auto"/>
        <w:tabs>
          <w:tab w:leader="none" w:pos="2006"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starting with the date sixty (60) days prior to the Company’s good faith estimate of the date of the filing of and ending on a date one hundred eighty (180) days following the effective date of a Company-initiated registration subject to Section 2.2 below, provided that the Company is actively employing in good faith its commercially reasonable efforts to cause such registration statement to become effective; or</w:t>
      </w:r>
    </w:p>
    <w:p>
      <w:pPr>
        <w:spacing w:after="0" w:line="139"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Initiating Holders propose to dispose of Registrable Securities that may be registered on Form S-3 pursuant to</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2.3 hereof;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13" w:name="page414"/>
    <w:bookmarkEnd w:id="413"/>
    <w:p>
      <w:pPr>
        <w:ind w:left="220" w:right="379" w:firstLine="1544"/>
        <w:spacing w:after="0" w:line="255" w:lineRule="auto"/>
        <w:tabs>
          <w:tab w:leader="none" w:pos="1959"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Company shall furnish to Holders requesting a registration statement pursuant to this Section 2.1 a certificate signed by the Company’s Chief Executive Officer or Chairman of the Board of Directors stating that in the good faith judgment of the Board, it would be seriously detrimental to the Company and its stockholders for such registration statement to be effected or remain effective at such time, in which event the Company shall have the right to defer such filing for a period of not more than one hundred twenty (120)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one hundred twenty (120) day period (other than an Excluded Registration).</w:t>
      </w:r>
    </w:p>
    <w:p>
      <w:pPr>
        <w:spacing w:after="0" w:line="145" w:lineRule="exact"/>
        <w:rPr>
          <w:rFonts w:ascii="Times New Roman" w:cs="Times New Roman" w:eastAsia="Times New Roman" w:hAnsi="Times New Roman"/>
          <w:sz w:val="14"/>
          <w:szCs w:val="14"/>
          <w:color w:val="auto"/>
        </w:rPr>
      </w:pPr>
    </w:p>
    <w:p>
      <w:pPr>
        <w:ind w:left="220" w:right="379" w:firstLine="1116"/>
        <w:spacing w:after="0" w:line="266" w:lineRule="auto"/>
        <w:tabs>
          <w:tab w:leader="none" w:pos="1531"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Subsection 2.1(c)(ii), a registration shall not be counted as “effected” if, as a result of an exercise of the underwriter’s cutback provisions in Subsection 2.1(b), fewer than twenty-five percent (25%) of the total number of Registrable Securities that Holders have requested to be included in such registration statement are actually included.</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Company Registration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1116"/>
        <w:spacing w:after="0" w:line="255" w:lineRule="auto"/>
        <w:tabs>
          <w:tab w:leader="none" w:pos="1523"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solely for cash (other than (i) a registration relating to a demand pursuant to Section 2.1 of this Agreement or (ii) an Excluded Registration), the Company shall, at such time, promptly give each Holder written notice of such registration. Upon the written request of each Holder given within twenty (20) days after mailing of such notice by the Company in accordance with Section 4.5 of this Agreement, the Company shall, subject to the provisions of Section 2.2(c) of this Agreement, use its commercially reasonable efforts to cause to be registered under the Act all of the Registrable Securities that each such Holder requests to be registered.</w:t>
      </w:r>
    </w:p>
    <w:p>
      <w:pPr>
        <w:spacing w:after="0" w:line="145" w:lineRule="exact"/>
        <w:rPr>
          <w:rFonts w:ascii="Times New Roman" w:cs="Times New Roman" w:eastAsia="Times New Roman" w:hAnsi="Times New Roman"/>
          <w:sz w:val="14"/>
          <w:szCs w:val="14"/>
          <w:color w:val="auto"/>
        </w:rPr>
      </w:pPr>
    </w:p>
    <w:p>
      <w:pPr>
        <w:ind w:left="220" w:right="279" w:firstLine="1116"/>
        <w:spacing w:after="0" w:line="266" w:lineRule="auto"/>
        <w:tabs>
          <w:tab w:leader="none" w:pos="1531"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Terminate Registration</w:t>
      </w:r>
      <w:r>
        <w:rPr>
          <w:rFonts w:ascii="Times New Roman" w:cs="Times New Roman" w:eastAsia="Times New Roman" w:hAnsi="Times New Roman"/>
          <w:sz w:val="14"/>
          <w:szCs w:val="14"/>
          <w:color w:val="auto"/>
        </w:rPr>
        <w:t>. The Company shall have the right to terminate or withdraw any registration initiated by it under this Section 2.2 prior to the effectiveness of such registration whether or not any Holder has elected to include securities in such registration. The expenses of such withdrawn registration shall be borne by the Company in accordance with Section 2.6 hereof.</w:t>
      </w:r>
    </w:p>
    <w:p>
      <w:pPr>
        <w:spacing w:after="0" w:line="136" w:lineRule="exact"/>
        <w:rPr>
          <w:rFonts w:ascii="Times New Roman" w:cs="Times New Roman" w:eastAsia="Times New Roman" w:hAnsi="Times New Roman"/>
          <w:sz w:val="14"/>
          <w:szCs w:val="14"/>
          <w:color w:val="auto"/>
        </w:rPr>
      </w:pPr>
    </w:p>
    <w:p>
      <w:pPr>
        <w:ind w:left="220" w:right="259" w:firstLine="1116"/>
        <w:spacing w:after="0" w:line="276" w:lineRule="auto"/>
        <w:tabs>
          <w:tab w:leader="none" w:pos="1523"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Underwriting Requirements</w:t>
      </w:r>
      <w:r>
        <w:rPr>
          <w:rFonts w:ascii="Times New Roman" w:cs="Times New Roman" w:eastAsia="Times New Roman" w:hAnsi="Times New Roman"/>
          <w:sz w:val="13"/>
          <w:szCs w:val="13"/>
          <w:color w:val="auto"/>
        </w:rPr>
        <w:t>.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414" w:name="page415"/>
    <w:bookmarkEnd w:id="414"/>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(i) any Registrable Securities be excluded from such offering unless all other stockholders’ securities have been first excluded from the offering and(ii) the amount of securities of the selling Holders included in the offering be reduced below twenty percent (20%)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 To facilitate the allocation of shares in accordance with the above provisions, the Company or the underwriters may round the number of shares allocated to any Holder to the nearest one hundred (100) shares.</w:t>
      </w:r>
    </w:p>
    <w:p>
      <w:pPr>
        <w:spacing w:after="0" w:line="146" w:lineRule="exact"/>
        <w:rPr>
          <w:sz w:val="20"/>
          <w:szCs w:val="20"/>
          <w:color w:val="auto"/>
        </w:rPr>
      </w:pPr>
    </w:p>
    <w:p>
      <w:pPr>
        <w:ind w:left="220" w:right="239" w:firstLine="771"/>
        <w:spacing w:after="0" w:line="261"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Form S-3 Registration</w:t>
      </w:r>
      <w:r>
        <w:rPr>
          <w:rFonts w:ascii="Times New Roman" w:cs="Times New Roman" w:eastAsia="Times New Roman" w:hAnsi="Times New Roman"/>
          <w:sz w:val="14"/>
          <w:szCs w:val="14"/>
          <w:color w:val="auto"/>
        </w:rPr>
        <w:t xml:space="preserve"> . In case the Company shall receive from the Holders of at least thirty percent (30%) of the Registrable Securities (for purposes of this Section 2.3, the “</w:t>
      </w:r>
      <w:r>
        <w:rPr>
          <w:rFonts w:ascii="Times New Roman" w:cs="Times New Roman" w:eastAsia="Times New Roman" w:hAnsi="Times New Roman"/>
          <w:sz w:val="14"/>
          <w:szCs w:val="14"/>
          <w:u w:val="single" w:color="auto"/>
          <w:color w:val="auto"/>
        </w:rPr>
        <w:t>S-3 Initiating Holders</w:t>
      </w:r>
      <w:r>
        <w:rPr>
          <w:rFonts w:ascii="Times New Roman" w:cs="Times New Roman" w:eastAsia="Times New Roman" w:hAnsi="Times New Roman"/>
          <w:sz w:val="14"/>
          <w:szCs w:val="14"/>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55" w:lineRule="exact"/>
        <w:rPr>
          <w:sz w:val="20"/>
          <w:szCs w:val="20"/>
          <w:color w:val="auto"/>
        </w:rPr>
      </w:pPr>
    </w:p>
    <w:p>
      <w:pPr>
        <w:ind w:left="1520" w:hanging="184"/>
        <w:spacing w:after="0"/>
        <w:tabs>
          <w:tab w:leader="none" w:pos="15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give written notice of the proposed registration, and any related qualification or compliance, to all other Holders; and</w:t>
      </w:r>
    </w:p>
    <w:p>
      <w:pPr>
        <w:spacing w:after="0" w:line="174" w:lineRule="exact"/>
        <w:rPr>
          <w:rFonts w:ascii="Times New Roman" w:cs="Times New Roman" w:eastAsia="Times New Roman" w:hAnsi="Times New Roman"/>
          <w:sz w:val="14"/>
          <w:szCs w:val="14"/>
          <w:color w:val="auto"/>
        </w:rPr>
      </w:pPr>
    </w:p>
    <w:p>
      <w:pPr>
        <w:ind w:left="220" w:right="339" w:firstLine="1116"/>
        <w:spacing w:after="0" w:line="258" w:lineRule="auto"/>
        <w:tabs>
          <w:tab w:leader="none" w:pos="1531"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2.3:</w:t>
      </w:r>
    </w:p>
    <w:p>
      <w:pPr>
        <w:spacing w:after="0" w:line="58" w:lineRule="exact"/>
        <w:rPr>
          <w:rFonts w:ascii="Times New Roman" w:cs="Times New Roman" w:eastAsia="Times New Roman" w:hAnsi="Times New Roman"/>
          <w:sz w:val="14"/>
          <w:szCs w:val="14"/>
          <w:color w:val="auto"/>
        </w:rPr>
      </w:pPr>
    </w:p>
    <w:p>
      <w:pPr>
        <w:ind w:left="1940" w:hanging="176"/>
        <w:spacing w:after="0"/>
        <w:tabs>
          <w:tab w:leader="none" w:pos="1940"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Form S-3 is not available for such offering by the Holders;</w:t>
      </w:r>
    </w:p>
    <w:p>
      <w:pPr>
        <w:spacing w:after="0" w:line="174" w:lineRule="exact"/>
        <w:rPr>
          <w:rFonts w:ascii="Times New Roman" w:cs="Times New Roman" w:eastAsia="Times New Roman" w:hAnsi="Times New Roman"/>
          <w:sz w:val="14"/>
          <w:szCs w:val="14"/>
          <w:color w:val="auto"/>
        </w:rPr>
      </w:pPr>
    </w:p>
    <w:p>
      <w:pPr>
        <w:ind w:left="220" w:right="319" w:firstLine="1544"/>
        <w:spacing w:after="0" w:line="266" w:lineRule="auto"/>
        <w:tabs>
          <w:tab w:leader="none" w:pos="1967"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$10,000,000;</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15" w:name="page416"/>
    <w:bookmarkEnd w:id="415"/>
    <w:p>
      <w:pPr>
        <w:ind w:left="220" w:right="259" w:firstLine="1544"/>
        <w:spacing w:after="0" w:line="256" w:lineRule="auto"/>
        <w:tabs>
          <w:tab w:leader="none" w:pos="2006" w:val="left"/>
        </w:tabs>
        <w:numPr>
          <w:ilvl w:val="2"/>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Company shall furnish to all Holders requesting a registration statement pursuant to this Section 2.3 a certificate signed by the Company’s Chief Executive Officer or Chairman of the Board of Directors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provided that such right shall be exercised by the Company not more than once in any twelve (12) month period ; and provided further that the Company shall not register any securities for the account of itself or any other stockholder during such ninety (90) day period (other than an Excluded Registration);</w:t>
      </w:r>
    </w:p>
    <w:p>
      <w:pPr>
        <w:spacing w:after="0" w:line="144" w:lineRule="exact"/>
        <w:rPr>
          <w:rFonts w:ascii="Times New Roman" w:cs="Times New Roman" w:eastAsia="Times New Roman" w:hAnsi="Times New Roman"/>
          <w:sz w:val="14"/>
          <w:szCs w:val="14"/>
          <w:color w:val="auto"/>
        </w:rPr>
      </w:pPr>
    </w:p>
    <w:p>
      <w:pPr>
        <w:ind w:left="2000" w:hanging="236"/>
        <w:spacing w:after="0"/>
        <w:tabs>
          <w:tab w:leader="none" w:pos="2000" w:val="left"/>
        </w:tabs>
        <w:numPr>
          <w:ilvl w:val="2"/>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within the twelve (12) month period preceding the date of such request, already effected two</w:t>
      </w:r>
    </w:p>
    <w:p>
      <w:pPr>
        <w:spacing w:after="0" w:line="21" w:lineRule="exact"/>
        <w:rPr>
          <w:rFonts w:ascii="Times New Roman" w:cs="Times New Roman" w:eastAsia="Times New Roman" w:hAnsi="Times New Roman"/>
          <w:sz w:val="14"/>
          <w:szCs w:val="14"/>
          <w:color w:val="auto"/>
        </w:rPr>
      </w:pPr>
    </w:p>
    <w:p>
      <w:pPr>
        <w:ind w:left="420" w:hanging="197"/>
        <w:spacing w:after="0"/>
        <w:tabs>
          <w:tab w:leader="none" w:pos="42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registrations on Form S-3 pursuant to this Section 2.3;</w:t>
      </w:r>
    </w:p>
    <w:p>
      <w:pPr>
        <w:spacing w:after="0" w:line="160" w:lineRule="exact"/>
        <w:rPr>
          <w:rFonts w:ascii="Times New Roman" w:cs="Times New Roman" w:eastAsia="Times New Roman" w:hAnsi="Times New Roman"/>
          <w:sz w:val="14"/>
          <w:szCs w:val="14"/>
          <w:color w:val="auto"/>
        </w:rPr>
      </w:pPr>
    </w:p>
    <w:p>
      <w:pPr>
        <w:ind w:left="220" w:right="399" w:firstLine="1544"/>
        <w:spacing w:after="0" w:line="282" w:lineRule="auto"/>
        <w:tabs>
          <w:tab w:leader="none" w:pos="1959" w:val="left"/>
        </w:tabs>
        <w:numPr>
          <w:ilvl w:val="2"/>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particular jurisdiction in which the Company would be required to qualify to do business or to execute a general consent to service of process in effecting such registration, qualification or compliance;</w:t>
      </w:r>
    </w:p>
    <w:p>
      <w:pPr>
        <w:spacing w:after="0" w:line="125" w:lineRule="exact"/>
        <w:rPr>
          <w:rFonts w:ascii="Times New Roman" w:cs="Times New Roman" w:eastAsia="Times New Roman" w:hAnsi="Times New Roman"/>
          <w:sz w:val="14"/>
          <w:szCs w:val="14"/>
          <w:color w:val="auto"/>
        </w:rPr>
      </w:pPr>
    </w:p>
    <w:p>
      <w:pPr>
        <w:ind w:left="220" w:right="299" w:firstLine="1544"/>
        <w:spacing w:after="0" w:line="261" w:lineRule="auto"/>
        <w:tabs>
          <w:tab w:leader="none" w:pos="1998" w:val="left"/>
        </w:tabs>
        <w:numPr>
          <w:ilvl w:val="2"/>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within thirty (30) days of receipt of the request of such S-3 Initiating Holders, gives notice of its bona fide intention to effect the filing of a registration statement with the SEC within one hundred twenty (120) days of receipt of such request (other than an Excluded Registration), (other than a registration specified in clause (iii) of the definition of Excluded Registration), provided that the Company is actively employing in good faith its commercially reasonable efforts to cause such registration statement to become effective; or</w:t>
      </w:r>
    </w:p>
    <w:p>
      <w:pPr>
        <w:spacing w:after="0" w:line="139" w:lineRule="exact"/>
        <w:rPr>
          <w:rFonts w:ascii="Times New Roman" w:cs="Times New Roman" w:eastAsia="Times New Roman" w:hAnsi="Times New Roman"/>
          <w:sz w:val="14"/>
          <w:szCs w:val="14"/>
          <w:color w:val="auto"/>
        </w:rPr>
      </w:pPr>
    </w:p>
    <w:p>
      <w:pPr>
        <w:ind w:left="220" w:right="299" w:firstLine="1544"/>
        <w:spacing w:after="0" w:line="261" w:lineRule="auto"/>
        <w:tabs>
          <w:tab w:leader="none" w:pos="2037" w:val="left"/>
        </w:tabs>
        <w:numPr>
          <w:ilvl w:val="2"/>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starting with the date thirty (30) days prior to the Company’s good faith estimate of the date of the filing of and ending on a date ninety (90) days following the effective date of a Company-initiated registration subject to Section 2.2 of this Agreement, provided that the Company is actively employing in good faith its commercially reasonable efforts to cause such registration statement to become effective.</w:t>
      </w:r>
    </w:p>
    <w:p>
      <w:pPr>
        <w:spacing w:after="0" w:line="139" w:lineRule="exact"/>
        <w:rPr>
          <w:rFonts w:ascii="Times New Roman" w:cs="Times New Roman" w:eastAsia="Times New Roman" w:hAnsi="Times New Roman"/>
          <w:sz w:val="14"/>
          <w:szCs w:val="14"/>
          <w:color w:val="auto"/>
        </w:rPr>
      </w:pPr>
    </w:p>
    <w:p>
      <w:pPr>
        <w:ind w:left="220" w:right="319" w:firstLine="1116"/>
        <w:spacing w:after="0" w:line="261" w:lineRule="auto"/>
        <w:tabs>
          <w:tab w:leader="none" w:pos="1523"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w:t>
      </w:r>
    </w:p>
    <w:p>
      <w:pPr>
        <w:spacing w:after="0" w:line="139" w:lineRule="exact"/>
        <w:rPr>
          <w:rFonts w:ascii="Times New Roman" w:cs="Times New Roman" w:eastAsia="Times New Roman" w:hAnsi="Times New Roman"/>
          <w:sz w:val="14"/>
          <w:szCs w:val="14"/>
          <w:color w:val="auto"/>
        </w:rPr>
      </w:pPr>
    </w:p>
    <w:p>
      <w:pPr>
        <w:ind w:left="220" w:right="239" w:firstLine="1116"/>
        <w:spacing w:after="0" w:line="266" w:lineRule="auto"/>
        <w:tabs>
          <w:tab w:leader="none" w:pos="1531"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416" w:name="page417"/>
    <w:bookmarkEnd w:id="416"/>
    <w:p>
      <w:pPr>
        <w:ind w:left="10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2.4 </w:t>
      </w:r>
      <w:r>
        <w:rPr>
          <w:rFonts w:ascii="Times New Roman" w:cs="Times New Roman" w:eastAsia="Times New Roman" w:hAnsi="Times New Roman"/>
          <w:sz w:val="14"/>
          <w:szCs w:val="14"/>
          <w:u w:val="single" w:color="auto"/>
          <w:color w:val="auto"/>
        </w:rPr>
        <w:t>Obligations of the Company</w:t>
      </w:r>
      <w:r>
        <w:rPr>
          <w:rFonts w:ascii="Times New Roman" w:cs="Times New Roman" w:eastAsia="Times New Roman" w:hAnsi="Times New Roman"/>
          <w:sz w:val="14"/>
          <w:szCs w:val="14"/>
          <w:color w:val="auto"/>
        </w:rPr>
        <w:t>. Whenever required under this Section 2 to effect the registration of any Registrable Securities,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Company shall, as expeditiously as reasonably possible:</w:t>
      </w:r>
    </w:p>
    <w:p>
      <w:pPr>
        <w:spacing w:after="0" w:line="76" w:lineRule="exact"/>
        <w:rPr>
          <w:sz w:val="20"/>
          <w:szCs w:val="20"/>
          <w:color w:val="auto"/>
        </w:rPr>
      </w:pPr>
    </w:p>
    <w:p>
      <w:pPr>
        <w:ind w:left="220" w:right="299" w:firstLine="1116"/>
        <w:spacing w:after="0" w:line="256" w:lineRule="auto"/>
        <w:tabs>
          <w:tab w:leader="none" w:pos="1523"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provided, however,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44" w:lineRule="exact"/>
        <w:rPr>
          <w:rFonts w:ascii="Times New Roman" w:cs="Times New Roman" w:eastAsia="Times New Roman" w:hAnsi="Times New Roman"/>
          <w:sz w:val="14"/>
          <w:szCs w:val="14"/>
          <w:color w:val="auto"/>
        </w:rPr>
      </w:pPr>
    </w:p>
    <w:p>
      <w:pPr>
        <w:ind w:left="220" w:right="299" w:firstLine="1116"/>
        <w:spacing w:after="0" w:line="266" w:lineRule="auto"/>
        <w:tabs>
          <w:tab w:leader="none" w:pos="153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36" w:lineRule="exact"/>
        <w:rPr>
          <w:rFonts w:ascii="Times New Roman" w:cs="Times New Roman" w:eastAsia="Times New Roman" w:hAnsi="Times New Roman"/>
          <w:sz w:val="14"/>
          <w:szCs w:val="14"/>
          <w:color w:val="auto"/>
        </w:rPr>
      </w:pPr>
    </w:p>
    <w:p>
      <w:pPr>
        <w:jc w:val="both"/>
        <w:ind w:left="220" w:right="859" w:firstLine="1116"/>
        <w:spacing w:after="0" w:line="266" w:lineRule="auto"/>
        <w:tabs>
          <w:tab w:leader="none" w:pos="1523"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36" w:lineRule="exact"/>
        <w:rPr>
          <w:rFonts w:ascii="Times New Roman" w:cs="Times New Roman" w:eastAsia="Times New Roman" w:hAnsi="Times New Roman"/>
          <w:sz w:val="14"/>
          <w:szCs w:val="14"/>
          <w:color w:val="auto"/>
        </w:rPr>
      </w:pPr>
    </w:p>
    <w:p>
      <w:pPr>
        <w:ind w:left="220" w:right="319" w:firstLine="1116"/>
        <w:spacing w:after="0" w:line="261" w:lineRule="auto"/>
        <w:tabs>
          <w:tab w:leader="none" w:pos="153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39" w:lineRule="exact"/>
        <w:rPr>
          <w:rFonts w:ascii="Times New Roman" w:cs="Times New Roman" w:eastAsia="Times New Roman" w:hAnsi="Times New Roman"/>
          <w:sz w:val="14"/>
          <w:szCs w:val="14"/>
          <w:color w:val="auto"/>
        </w:rPr>
      </w:pPr>
    </w:p>
    <w:p>
      <w:pPr>
        <w:ind w:left="220" w:right="279" w:firstLine="1116"/>
        <w:spacing w:after="0" w:line="282" w:lineRule="auto"/>
        <w:tabs>
          <w:tab w:leader="none" w:pos="1523"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underwritten public offering, enter into and perform its obligations under an underwriting agreement, in usual and customary form, with the managing underwriter of such offering;</w:t>
      </w:r>
    </w:p>
    <w:p>
      <w:pPr>
        <w:spacing w:after="0" w:line="125" w:lineRule="exact"/>
        <w:rPr>
          <w:rFonts w:ascii="Times New Roman" w:cs="Times New Roman" w:eastAsia="Times New Roman" w:hAnsi="Times New Roman"/>
          <w:sz w:val="14"/>
          <w:szCs w:val="14"/>
          <w:color w:val="auto"/>
        </w:rPr>
      </w:pPr>
    </w:p>
    <w:p>
      <w:pPr>
        <w:ind w:left="220" w:right="239" w:firstLine="1116"/>
        <w:spacing w:after="0" w:line="254" w:lineRule="auto"/>
        <w:tabs>
          <w:tab w:leader="none" w:pos="1508"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47" w:lineRule="exact"/>
        <w:rPr>
          <w:rFonts w:ascii="Times New Roman" w:cs="Times New Roman" w:eastAsia="Times New Roman" w:hAnsi="Times New Roman"/>
          <w:sz w:val="14"/>
          <w:szCs w:val="14"/>
          <w:color w:val="auto"/>
        </w:rPr>
      </w:pPr>
    </w:p>
    <w:p>
      <w:pPr>
        <w:ind w:left="220" w:right="439" w:firstLine="1116"/>
        <w:spacing w:after="0" w:line="282" w:lineRule="auto"/>
        <w:tabs>
          <w:tab w:leader="none" w:pos="153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all such Registrable Securities registered pursuant to this Section 2 to be listed on a national exchange or trading system and on each securities exchange and trading system on which similar securities issued by the Company are then listed; and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17" w:name="page418"/>
    <w:bookmarkEnd w:id="417"/>
    <w:p>
      <w:pPr>
        <w:ind w:left="220" w:right="419" w:firstLine="1116"/>
        <w:spacing w:after="0" w:line="282" w:lineRule="auto"/>
        <w:tabs>
          <w:tab w:leader="none" w:pos="1531"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provide a transfer agent and registrar for all Registrable Securities registered pursuant to this Agreement and a CUSIP number for all such Registrable Securities, in each case not later than the effective date of such registration.</w:t>
      </w:r>
    </w:p>
    <w:p>
      <w:pPr>
        <w:spacing w:after="0" w:line="125"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Notwithstanding the provisions of this Section 2,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w:t>
      </w:r>
    </w:p>
    <w:p>
      <w:pPr>
        <w:spacing w:after="0" w:line="52" w:lineRule="exact"/>
        <w:rPr>
          <w:sz w:val="20"/>
          <w:szCs w:val="20"/>
          <w:color w:val="auto"/>
        </w:rPr>
      </w:pPr>
    </w:p>
    <w:p>
      <w:pPr>
        <w:ind w:left="220" w:right="999" w:firstLine="1544"/>
        <w:spacing w:after="0" w:line="282" w:lineRule="auto"/>
        <w:tabs>
          <w:tab w:leader="none" w:pos="1928"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impede, delay or interfere with any material pending or proposed financing, acquisition, corporate reorganization or other similar transaction involving the Company for which the Board has authorized negotiations;</w:t>
      </w:r>
    </w:p>
    <w:p>
      <w:pPr>
        <w:spacing w:after="0" w:line="125" w:lineRule="exact"/>
        <w:rPr>
          <w:rFonts w:ascii="Times New Roman" w:cs="Times New Roman" w:eastAsia="Times New Roman" w:hAnsi="Times New Roman"/>
          <w:sz w:val="14"/>
          <w:szCs w:val="14"/>
          <w:color w:val="auto"/>
        </w:rPr>
      </w:pPr>
    </w:p>
    <w:p>
      <w:pPr>
        <w:ind w:left="1960" w:hanging="196"/>
        <w:spacing w:after="0"/>
        <w:tabs>
          <w:tab w:leader="none" w:pos="196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and adversely impair the consummation of any pending or proposed material offering or sale of any class of</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by the Company; or</w:t>
      </w:r>
    </w:p>
    <w:p>
      <w:pPr>
        <w:spacing w:after="0" w:line="160" w:lineRule="exact"/>
        <w:rPr>
          <w:rFonts w:ascii="Times New Roman" w:cs="Times New Roman" w:eastAsia="Times New Roman" w:hAnsi="Times New Roman"/>
          <w:sz w:val="14"/>
          <w:szCs w:val="14"/>
          <w:color w:val="auto"/>
        </w:rPr>
      </w:pPr>
    </w:p>
    <w:p>
      <w:pPr>
        <w:jc w:val="both"/>
        <w:ind w:left="220" w:right="399" w:firstLine="1544"/>
        <w:spacing w:after="0" w:line="266" w:lineRule="auto"/>
        <w:tabs>
          <w:tab w:leader="none" w:pos="2006"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disclosure of material nonpublic information that, if disclosed at such time, would be materially harmful to the interests of the Company and its stockholders; provided, however, that during any such period all executive officers and directors of the Company are also prohibited from selling securities of the Company (or any security of any of the Company’s subsidiaries or Affiliates).</w:t>
      </w:r>
    </w:p>
    <w:p>
      <w:pPr>
        <w:spacing w:after="0" w:line="136" w:lineRule="exact"/>
        <w:rPr>
          <w:sz w:val="20"/>
          <w:szCs w:val="20"/>
          <w:color w:val="auto"/>
        </w:rPr>
      </w:pPr>
    </w:p>
    <w:p>
      <w:pPr>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w:t>
      </w:r>
    </w:p>
    <w:p>
      <w:pPr>
        <w:spacing w:after="0" w:line="136" w:lineRule="exact"/>
        <w:rPr>
          <w:sz w:val="20"/>
          <w:szCs w:val="20"/>
          <w:color w:val="auto"/>
        </w:rPr>
      </w:pPr>
    </w:p>
    <w:p>
      <w:pPr>
        <w:ind w:left="220" w:right="5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Information from Holder</w:t>
      </w:r>
      <w:r>
        <w:rPr>
          <w:rFonts w:ascii="Times New Roman" w:cs="Times New Roman" w:eastAsia="Times New Roman" w:hAnsi="Times New Roman"/>
          <w:sz w:val="14"/>
          <w:szCs w:val="14"/>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39" w:lineRule="exact"/>
        <w:rPr>
          <w:sz w:val="20"/>
          <w:szCs w:val="20"/>
          <w:color w:val="auto"/>
        </w:rPr>
      </w:pPr>
    </w:p>
    <w:p>
      <w:pPr>
        <w:ind w:left="220" w:right="259" w:firstLine="771"/>
        <w:spacing w:after="0" w:line="253"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Expenses of Registration</w:t>
      </w:r>
      <w:r>
        <w:rPr>
          <w:rFonts w:ascii="Times New Roman" w:cs="Times New Roman" w:eastAsia="Times New Roman" w:hAnsi="Times New Roman"/>
          <w:sz w:val="14"/>
          <w:szCs w:val="14"/>
          <w:color w:val="auto"/>
        </w:rPr>
        <w:t>. All expenses other than underwriting discounts and commissions incurred in connection with registrations, filings or qualifications pursuant to Sections 2.1, and 2.2 and 2.3 of this Agreement, including, without limitation, all registration, filing and qualification fees, printers’ and accounting fees, fees and disbursements of counsel for the Company and the reasonable fees and disbursements of one counsel for the selling Holders (not to exceed $25,000) shall be borne by the Company. Notwithstanding the foregoing, the Company shall not be required to pay for any expenses of any registration proceeding begun pursuant to Section 2.1 or Section 2.3 of this Agreement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Sections 2.1 and 2.3 of this Agreement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418" w:name="page419"/>
    <w:bookmarkEnd w:id="418"/>
    <w:p>
      <w:pPr>
        <w:ind w:left="220" w:right="679" w:firstLine="77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2.7 </w:t>
      </w:r>
      <w:r>
        <w:rPr>
          <w:rFonts w:ascii="Times New Roman" w:cs="Times New Roman" w:eastAsia="Times New Roman" w:hAnsi="Times New Roman"/>
          <w:sz w:val="14"/>
          <w:szCs w:val="14"/>
          <w:u w:val="single" w:color="auto"/>
          <w:color w:val="auto"/>
        </w:rPr>
        <w:t>Delay of Registration</w:t>
      </w:r>
      <w:r>
        <w:rPr>
          <w:rFonts w:ascii="Times New Roman" w:cs="Times New Roman" w:eastAsia="Times New Roman" w:hAnsi="Times New Roman"/>
          <w:sz w:val="14"/>
          <w:szCs w:val="14"/>
          <w:color w:val="auto"/>
        </w:rPr>
        <w:t>. No Holder shall have any right to obtain or seek an injunction restraining or otherwise delaying any such registration as the result of any controversy that might arise with respect to the interpretation or implementation of this Section 2.</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In the event any Registrable Securities are included in a registration statement under this Section 2:</w:t>
      </w:r>
    </w:p>
    <w:p>
      <w:pPr>
        <w:spacing w:after="0" w:line="91" w:lineRule="exact"/>
        <w:rPr>
          <w:sz w:val="20"/>
          <w:szCs w:val="20"/>
          <w:color w:val="auto"/>
        </w:rPr>
      </w:pPr>
    </w:p>
    <w:p>
      <w:pPr>
        <w:ind w:left="220" w:right="239" w:firstLine="1116"/>
        <w:spacing w:after="0" w:line="252" w:lineRule="auto"/>
        <w:tabs>
          <w:tab w:leader="none" w:pos="1523"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law, the Company will indemnify and hold harmless each Holder, the partners, members, officers, directors and stockholders of each Holder, legal counsel, accountants and investment managers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 w:cs="Times New Roman" w:eastAsia="Times New Roman" w:hAnsi="Times New Roman"/>
          <w:sz w:val="14"/>
          <w:szCs w:val="14"/>
          <w:u w:val="single" w:color="auto"/>
          <w:color w:val="auto"/>
        </w:rPr>
        <w:t>Violation</w:t>
      </w:r>
      <w:r>
        <w:rPr>
          <w:rFonts w:ascii="Times New Roman" w:cs="Times New Roman" w:eastAsia="Times New Roman" w:hAnsi="Times New Roman"/>
          <w:sz w:val="14"/>
          <w:szCs w:val="14"/>
          <w:color w:val="auto"/>
        </w:rPr>
        <w:t>”): (i) 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provided, however,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46" w:lineRule="exact"/>
        <w:rPr>
          <w:rFonts w:ascii="Times New Roman" w:cs="Times New Roman" w:eastAsia="Times New Roman" w:hAnsi="Times New Roman"/>
          <w:sz w:val="14"/>
          <w:szCs w:val="14"/>
          <w:color w:val="auto"/>
        </w:rPr>
      </w:pPr>
    </w:p>
    <w:p>
      <w:pPr>
        <w:ind w:left="220" w:right="279" w:firstLine="1116"/>
        <w:spacing w:after="0" w:line="266" w:lineRule="auto"/>
        <w:tabs>
          <w:tab w:leader="none" w:pos="1531"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419" w:name="page420"/>
    <w:bookmarkEnd w:id="419"/>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provided, however,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provided that in no event shall any indemnity under this Section 2.8(b) exceed the net proceeds from the offering received by such Holder, except in the case of fraud or willful misconduct by such Holder.</w:t>
      </w:r>
    </w:p>
    <w:p>
      <w:pPr>
        <w:spacing w:after="0" w:line="148" w:lineRule="exact"/>
        <w:rPr>
          <w:sz w:val="20"/>
          <w:szCs w:val="20"/>
          <w:color w:val="auto"/>
        </w:rPr>
      </w:pPr>
    </w:p>
    <w:p>
      <w:pPr>
        <w:ind w:left="220" w:right="259" w:firstLine="1116"/>
        <w:spacing w:after="0" w:line="252" w:lineRule="auto"/>
        <w:tabs>
          <w:tab w:leader="none" w:pos="1523"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or proceeding, if prejudicial to its ability to defend such action or proceeding, shall relieve such indemnifying party of any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w:t>
      </w:r>
    </w:p>
    <w:p>
      <w:pPr>
        <w:spacing w:after="0" w:line="153" w:lineRule="exact"/>
        <w:rPr>
          <w:rFonts w:ascii="Times New Roman" w:cs="Times New Roman" w:eastAsia="Times New Roman" w:hAnsi="Times New Roman"/>
          <w:sz w:val="14"/>
          <w:szCs w:val="14"/>
          <w:color w:val="auto"/>
        </w:rPr>
      </w:pPr>
    </w:p>
    <w:p>
      <w:pPr>
        <w:ind w:left="220" w:right="359" w:firstLine="1116"/>
        <w:spacing w:after="0" w:line="256" w:lineRule="auto"/>
        <w:tabs>
          <w:tab w:leader="none" w:pos="1531"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(i) no contribution by any Holder, when combined with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420" w:name="page421"/>
    <w:bookmarkEnd w:id="420"/>
    <w:p>
      <w:pPr>
        <w:ind w:left="22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amounts paid by such Holder pursuant to Section 2.8(b),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provided further that in no event shall a Holder’s liability pursuant to this Section 2.8(d), when combined with the amounts paid or payable by such Holder pursuant to Section 2.8(b), exceed the net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48" w:lineRule="exact"/>
        <w:rPr>
          <w:sz w:val="20"/>
          <w:szCs w:val="20"/>
          <w:color w:val="auto"/>
        </w:rPr>
      </w:pPr>
    </w:p>
    <w:p>
      <w:pPr>
        <w:ind w:left="220" w:right="359" w:firstLine="1116"/>
        <w:spacing w:after="0" w:line="266" w:lineRule="auto"/>
        <w:tabs>
          <w:tab w:leader="none" w:pos="1523"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6" w:lineRule="exact"/>
        <w:rPr>
          <w:rFonts w:ascii="Times New Roman" w:cs="Times New Roman" w:eastAsia="Times New Roman" w:hAnsi="Times New Roman"/>
          <w:sz w:val="14"/>
          <w:szCs w:val="14"/>
          <w:color w:val="auto"/>
        </w:rPr>
      </w:pPr>
    </w:p>
    <w:p>
      <w:pPr>
        <w:ind w:left="220" w:right="419" w:firstLine="1116"/>
        <w:spacing w:after="0" w:line="282" w:lineRule="auto"/>
        <w:tabs>
          <w:tab w:leader="none" w:pos="1508"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and Holders under this Section 2.8 shall survive the completion of any offering of Registrable Securities in a registration statement under this Section 2 and otherwise.</w:t>
      </w:r>
    </w:p>
    <w:p>
      <w:pPr>
        <w:spacing w:after="0" w:line="125" w:lineRule="exact"/>
        <w:rPr>
          <w:sz w:val="20"/>
          <w:szCs w:val="20"/>
          <w:color w:val="auto"/>
        </w:rPr>
      </w:pPr>
    </w:p>
    <w:p>
      <w:pPr>
        <w:jc w:val="both"/>
        <w:ind w:left="220" w:right="259" w:firstLine="771"/>
        <w:spacing w:after="0" w:line="266"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Reports Under the 1934 Act</w:t>
      </w:r>
      <w:r>
        <w:rPr>
          <w:rFonts w:ascii="Times New Roman" w:cs="Times New Roman" w:eastAsia="Times New Roman" w:hAnsi="Times New Roman"/>
          <w:sz w:val="14"/>
          <w:szCs w:val="14"/>
          <w:color w:val="auto"/>
        </w:rPr>
        <w:t xml:space="preserve"> .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52" w:lineRule="exact"/>
        <w:rPr>
          <w:sz w:val="20"/>
          <w:szCs w:val="20"/>
          <w:color w:val="auto"/>
        </w:rPr>
      </w:pPr>
    </w:p>
    <w:p>
      <w:pPr>
        <w:ind w:left="220" w:right="279" w:firstLine="1116"/>
        <w:spacing w:after="0" w:line="282" w:lineRule="auto"/>
        <w:tabs>
          <w:tab w:leader="none" w:pos="1523"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and keep adequate current public information available, as those terms are understood and defined in Rule 144, at all times after the effective date of the Initial Offering or Direct Listing;</w:t>
      </w:r>
    </w:p>
    <w:p>
      <w:pPr>
        <w:spacing w:after="0" w:line="125"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with the SEC in a timely manner all reports and other documents required of the Company under the Act and the 1934 Act;</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w:t>
      </w:r>
    </w:p>
    <w:p>
      <w:pPr>
        <w:spacing w:after="0" w:line="160" w:lineRule="exact"/>
        <w:rPr>
          <w:rFonts w:ascii="Times New Roman" w:cs="Times New Roman" w:eastAsia="Times New Roman" w:hAnsi="Times New Roman"/>
          <w:sz w:val="14"/>
          <w:szCs w:val="14"/>
          <w:color w:val="auto"/>
        </w:rPr>
      </w:pPr>
    </w:p>
    <w:p>
      <w:pPr>
        <w:ind w:left="220" w:right="259" w:firstLine="1116"/>
        <w:spacing w:after="0" w:line="255" w:lineRule="auto"/>
        <w:tabs>
          <w:tab w:leader="none" w:pos="1523"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421" w:name="page422"/>
    <w:bookmarkEnd w:id="421"/>
    <w:p>
      <w:pPr>
        <w:ind w:left="220" w:right="299" w:firstLine="771"/>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2.10 </w:t>
      </w:r>
      <w:r>
        <w:rPr>
          <w:rFonts w:ascii="Times New Roman" w:cs="Times New Roman" w:eastAsia="Times New Roman" w:hAnsi="Times New Roman"/>
          <w:sz w:val="13"/>
          <w:szCs w:val="13"/>
          <w:u w:val="single" w:color="auto"/>
          <w:color w:val="auto"/>
        </w:rPr>
        <w:t>Assignment of Registration Rights</w:t>
      </w:r>
      <w:r>
        <w:rPr>
          <w:rFonts w:ascii="Times New Roman" w:cs="Times New Roman" w:eastAsia="Times New Roman" w:hAnsi="Times New Roman"/>
          <w:sz w:val="13"/>
          <w:szCs w:val="13"/>
          <w:color w:val="auto"/>
        </w:rPr>
        <w:t>. The rights to cause the Company to register Registrable Securities pursuant to this Section 2 may be assigned (but only with all related obligations) by a Holder to a transferee or assignee of such securities that (a) is an Affiliate, subsidiary, parent, partner, limited partner, retired partner, member or stockholder of a Holder or (b) is a Holder’s Family Member or trust for the benefit of an individual Holder or any of such Holder’s Family Members, provided: (i) the Company is, within a reasonable time after such transfer, furnished with written notice of the name and address of such transferee or assignee and the securities with respect to which such registration rights are being assigned;</w:t>
      </w:r>
    </w:p>
    <w:p>
      <w:pPr>
        <w:spacing w:after="0" w:line="1" w:lineRule="exact"/>
        <w:rPr>
          <w:sz w:val="20"/>
          <w:szCs w:val="20"/>
          <w:color w:val="auto"/>
        </w:rPr>
      </w:pPr>
    </w:p>
    <w:p>
      <w:pPr>
        <w:ind w:left="220" w:right="279" w:firstLine="3"/>
        <w:spacing w:after="0" w:line="255" w:lineRule="auto"/>
        <w:tabs>
          <w:tab w:leader="none" w:pos="426"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transferee or assignee agrees in writing to be bound by and 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w:t>
      </w:r>
    </w:p>
    <w:p>
      <w:pPr>
        <w:spacing w:after="0" w:line="144" w:lineRule="exact"/>
        <w:rPr>
          <w:sz w:val="20"/>
          <w:szCs w:val="20"/>
          <w:color w:val="auto"/>
        </w:rPr>
      </w:pPr>
    </w:p>
    <w:p>
      <w:pPr>
        <w:ind w:left="220" w:right="259" w:firstLine="771"/>
        <w:spacing w:after="0" w:line="255"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Limitations on Subsequent Registration Rights</w:t>
      </w:r>
      <w:r>
        <w:rPr>
          <w:rFonts w:ascii="Times New Roman" w:cs="Times New Roman" w:eastAsia="Times New Roman" w:hAnsi="Times New Roman"/>
          <w:sz w:val="14"/>
          <w:szCs w:val="14"/>
          <w:color w:val="auto"/>
        </w:rPr>
        <w:t>. From and after the date of this Agreement, the Company shall not, without the prior written consent of the Holders holding a majority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provided that this limitation shall not apply to any additional Investor who becomes a party to this Agreement in accordance with Subsection 4.10.</w:t>
      </w:r>
    </w:p>
    <w:p>
      <w:pPr>
        <w:spacing w:after="0" w:line="1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116"/>
        <w:spacing w:after="0" w:line="273" w:lineRule="auto"/>
        <w:tabs>
          <w:tab w:leader="none" w:pos="1523"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hereby agrees that it will not, without the prior written consent of the managing underwriter, during the period commencing on the date of the final prospectus relating to the Initial Offering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the Initial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2.12 (i) shall apply only to the Initial Offering and (ii) shall not apply to (A) the sale of any shares to an underwriter pursuant to an underwriting agreement, or (B) the transfer of any shares to any trust for the direct or indirect benefit of a Holder or any Family Member of such Holder, provided that the trustee of the trust agrees to be bound in writing by the restrictions set forth herein, and provided, further, that any such transfer shall not involve a disposition for value and (iii) shall only be applicable to the Holders if all officers, directors and greater than one percent (1%) stockholders of the Company enter into similar agreements. Notwithstanding the foregoing, the Company and the managing underwriter may extend the market stand-off period specified above solely to the extent necessary to accommodate regulatory restrictions on (1) the publication or other distribution of research reports, and (2) analyst recommendations and opinions, including, without limitation, the restrictions, if any, contained in FINRA Rule 2241 or any successor provisions or amendments thereto.</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422" w:name="page423"/>
    <w:bookmarkEnd w:id="422"/>
    <w:p>
      <w:pPr>
        <w:ind w:left="220" w:right="279" w:firstLine="1116"/>
        <w:spacing w:after="0" w:line="253" w:lineRule="auto"/>
        <w:tabs>
          <w:tab w:leader="none" w:pos="1531"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underwriters in connection with the Initial Offering are intended third-party beneficiaries of this Section 2.12 and shall have the right, power and authority to enforce the provisions hereof as though they were a party hereto. Each Holder further agrees to execute such agreements as may be reasonably requested by the underwriters in the Initial Offering that are consistent with this Section 2.12 or that are necessary to give further effect thereto. In order to enforce the foregoing covenant, the Company may impose stop-transfer instructions with respect to the Registrable Securities of each Holder (and the shares or securities of every other Person subject to the foregoing restriction) until the end of such period. In the event that the Company or the managing underwriter waives or terminates any of the restrictions contained in this Section 2.12 or in a lock-up agreement with respect to the securities of any Holder, officer, director or greater than one-percent stockholder of the Company (in any such case, the “</w:t>
      </w:r>
      <w:r>
        <w:rPr>
          <w:rFonts w:ascii="Times New Roman" w:cs="Times New Roman" w:eastAsia="Times New Roman" w:hAnsi="Times New Roman"/>
          <w:sz w:val="14"/>
          <w:szCs w:val="14"/>
          <w:u w:val="single" w:color="auto"/>
          <w:color w:val="auto"/>
        </w:rPr>
        <w:t>Released Securities</w:t>
      </w:r>
      <w:r>
        <w:rPr>
          <w:rFonts w:ascii="Times New Roman" w:cs="Times New Roman" w:eastAsia="Times New Roman" w:hAnsi="Times New Roman"/>
          <w:sz w:val="14"/>
          <w:szCs w:val="14"/>
          <w:color w:val="auto"/>
        </w:rPr>
        <w:t>”), the restrictions contained in this Section 2.12 and in any lock-up agreements executed by the Investors shall be waived or terminated, as applicable, to the same extent and with respect to the same percentage of securities of each Investor as the percentage of Released Securities represent with respect to the securities held by the applicable Holder, officer, director or greater than one-percent stockholder.</w:t>
      </w: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116"/>
        <w:spacing w:after="0" w:line="255" w:lineRule="auto"/>
        <w:tabs>
          <w:tab w:leader="none" w:pos="1523"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pursuant to the conditions specified in this Agreement, which conditions are intended to ensure compliance with the provisions of the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Initial Offering, Rule 144 to be bound by the terms of this Agreement.</w:t>
      </w:r>
    </w:p>
    <w:p>
      <w:pPr>
        <w:spacing w:after="0" w:line="145" w:lineRule="exact"/>
        <w:rPr>
          <w:rFonts w:ascii="Times New Roman" w:cs="Times New Roman" w:eastAsia="Times New Roman" w:hAnsi="Times New Roman"/>
          <w:sz w:val="14"/>
          <w:szCs w:val="14"/>
          <w:color w:val="auto"/>
        </w:rPr>
      </w:pPr>
    </w:p>
    <w:p>
      <w:pPr>
        <w:ind w:left="220" w:right="319" w:firstLine="1116"/>
        <w:spacing w:after="0" w:line="296" w:lineRule="auto"/>
        <w:tabs>
          <w:tab w:leader="none" w:pos="1531"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Subsection 2.13(c)) be notated with legends substantially in the following form:</w:t>
      </w:r>
    </w:p>
    <w:p>
      <w:pPr>
        <w:spacing w:after="0" w:line="35" w:lineRule="exact"/>
        <w:rPr>
          <w:sz w:val="20"/>
          <w:szCs w:val="20"/>
          <w:color w:val="auto"/>
        </w:rPr>
      </w:pPr>
    </w:p>
    <w:p>
      <w:pPr>
        <w:ind w:left="560" w:right="439"/>
        <w:spacing w:after="0" w:line="256" w:lineRule="auto"/>
        <w:rPr>
          <w:sz w:val="20"/>
          <w:szCs w:val="20"/>
          <w:color w:val="auto"/>
        </w:rPr>
      </w:pPr>
      <w:r>
        <w:rPr>
          <w:rFonts w:ascii="Times New Roman" w:cs="Times New Roman" w:eastAsia="Times New Roman" w:hAnsi="Times New Roman"/>
          <w:sz w:val="14"/>
          <w:szCs w:val="14"/>
          <w:color w:val="auto"/>
        </w:rPr>
        <w:t>“THE SECURITIES REPRESENTED HEREBY HAVE NOT BEEN REGISTERED UNDER THE SECURITIES ACT OF 1933, AS AMENDED. SUCH SECURITIES MAY NOT BE SOLD, OFFERED FOR SALE, PLEDGED, HYPOTHECATED OR OTHERWISE TRANSFERRED IN THE ABSENCE OF A REGISTRATION STATEMENT IN EFFECT WITH RESPECT TO THE SECURITIES UNDER SUCH ACT OR AN OPINION OF COUNSEL SATISFACTORY TO THE COMPANY THAT SUCH REGISTRATION IS NOT REQUIRED PURSUANT TO A VALID EXEMPTION FROM THE REGISTRATION AND PROSPECTUS DELIVERY REQUIREMENTS OF SUCH ACT.”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423" w:name="page424"/>
    <w:bookmarkEnd w:id="423"/>
    <w:p>
      <w:pPr>
        <w:ind w:left="560" w:right="3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SECURITIES REPRESENTED HEREBY MAY BE TRANSFERRED ONLY IN ACCORDANCE WITH THE TERMS OF AN INVESTORS’ RIGHTS AGREEMENT BETWEEN THE COMPANY AND THE STOCKHOLDER, A COPY OF WHICH IS ON FILE WITH THE SECRETARY OF THE COMPANY.”</w:t>
      </w:r>
    </w:p>
    <w:p>
      <w:pPr>
        <w:spacing w:after="0" w:line="136" w:lineRule="exact"/>
        <w:rPr>
          <w:sz w:val="20"/>
          <w:szCs w:val="20"/>
          <w:color w:val="auto"/>
        </w:rPr>
      </w:pPr>
    </w:p>
    <w:p>
      <w:pPr>
        <w:ind w:left="220" w:right="239" w:firstLine="1116"/>
        <w:spacing w:after="0" w:line="252" w:lineRule="auto"/>
        <w:tabs>
          <w:tab w:leader="none" w:pos="1523"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such Restricted Securities, by acceptance of ownership thereof, agrees to comply in all respects with the provisions of this Section 2.13. Before any proposed sale, pledge or transfer of any Restricted Securities, unless there is in effect a registration statement under the Act covering the proposed transaction or, following the Initial Offering, the transfer is made pursuant to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Rule 144 or pursuant to an effective registration statement; or (y) in any transaction in which such Holder distributes Restricted Securities to an Affiliate of such Holder for no consideration. Each certificate, instrument or book entry representing the Restricted Securities transferred as above provided shall be notated with, except if such transfer is made pursuant to SEC Rule 144, the appropriate restrictive legend set forth in Subsection 2.13(b), except that such certificate, instrument or book entry shall not be notated with such restrictive legend if, in the opinion of counsel for such Holder and the Company, such legend is not required in order to establish compliance with any provisions of the Act.</w:t>
      </w:r>
    </w:p>
    <w:p>
      <w:pPr>
        <w:spacing w:after="0" w:line="148" w:lineRule="exact"/>
        <w:rPr>
          <w:sz w:val="20"/>
          <w:szCs w:val="20"/>
          <w:color w:val="auto"/>
        </w:rPr>
      </w:pPr>
    </w:p>
    <w:p>
      <w:pPr>
        <w:ind w:left="220" w:right="239" w:firstLine="771"/>
        <w:spacing w:after="0" w:line="258"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Termination of Registration Rights</w:t>
      </w:r>
      <w:r>
        <w:rPr>
          <w:rFonts w:ascii="Times New Roman" w:cs="Times New Roman" w:eastAsia="Times New Roman" w:hAnsi="Times New Roman"/>
          <w:sz w:val="14"/>
          <w:szCs w:val="14"/>
          <w:color w:val="auto"/>
        </w:rPr>
        <w:t>. No Holder shall be entitled to exercise any right provided for in this Section 2: (a) after five (5)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424" w:name="page425"/>
    <w:bookmarkEnd w:id="424"/>
    <w:p>
      <w:pPr>
        <w:ind w:left="700" w:hanging="135"/>
        <w:spacing w:after="0"/>
        <w:tabs>
          <w:tab w:leader="none" w:pos="7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Covenants of the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Delivery of Financial Statements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116"/>
        <w:spacing w:after="0" w:line="254" w:lineRule="auto"/>
        <w:tabs>
          <w:tab w:leader="none" w:pos="1523"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upon request, deliver to each Investor (or transferee of an Investor) that, together with its Affiliates, holds at least 2,000,000 shares of Registrable Securities (as appropriately adjusted for any stock split, dividend, combination or other recapitalization) (a “</w:t>
      </w:r>
      <w:r>
        <w:rPr>
          <w:rFonts w:ascii="Times New Roman" w:cs="Times New Roman" w:eastAsia="Times New Roman" w:hAnsi="Times New Roman"/>
          <w:sz w:val="14"/>
          <w:szCs w:val="14"/>
          <w:u w:val="single" w:color="auto"/>
          <w:color w:val="auto"/>
        </w:rPr>
        <w:t>Major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Investor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Board, including at least one Preferred Director, has not reasonably determined that such Major Investor is a Competitor of the Company, (ii) subject to subclause (i) of this proviso, Four Rivers Partners IV, L.P. shall be deemed to be a Major Investor so long as such Investor, together with its Affiliates, holds at least 565,344 shares of Registrable Securities, (iii) subject to subclause (i) of this proviso, Adams Street 2022 Direct Growth Equity Fund LP shall be deemed a Major Investor so long as such Investor, together with its Affiliates, holds at least 1,000,247 shares of Registrable Securities, and (iv) subject to subclause (i) of this proviso, Wipro Enterprises Private Limited and its Affiliates including, but not limited to, Napean Trading and Investment Company (Singapore PTE. LTD.) (collectively, “</w:t>
      </w:r>
      <w:r>
        <w:rPr>
          <w:rFonts w:ascii="Times New Roman" w:cs="Times New Roman" w:eastAsia="Times New Roman" w:hAnsi="Times New Roman"/>
          <w:sz w:val="14"/>
          <w:szCs w:val="14"/>
          <w:u w:val="single" w:color="auto"/>
          <w:color w:val="auto"/>
        </w:rPr>
        <w:t>Premji Invest</w:t>
      </w:r>
      <w:r>
        <w:rPr>
          <w:rFonts w:ascii="Times New Roman" w:cs="Times New Roman" w:eastAsia="Times New Roman" w:hAnsi="Times New Roman"/>
          <w:sz w:val="14"/>
          <w:szCs w:val="14"/>
          <w:color w:val="auto"/>
        </w:rPr>
        <w:t>”) shall be deemed a Major Investor so long as such Investor, together with its Affiliates, holds at least 1,516,752 shares of Registrable Securities:</w:t>
      </w:r>
    </w:p>
    <w:p>
      <w:pPr>
        <w:spacing w:after="0" w:line="61" w:lineRule="exact"/>
        <w:rPr>
          <w:rFonts w:ascii="Times New Roman" w:cs="Times New Roman" w:eastAsia="Times New Roman" w:hAnsi="Times New Roman"/>
          <w:sz w:val="14"/>
          <w:szCs w:val="14"/>
          <w:color w:val="auto"/>
        </w:rPr>
      </w:pPr>
    </w:p>
    <w:p>
      <w:pPr>
        <w:ind w:left="220" w:right="239" w:firstLine="1544"/>
        <w:spacing w:after="0" w:line="261" w:lineRule="auto"/>
        <w:tabs>
          <w:tab w:leader="none" w:pos="1928" w:val="left"/>
        </w:tabs>
        <w:numPr>
          <w:ilvl w:val="2"/>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one hundred eighty (180) days after the end of each fiscal year of the Company, an audited income statement for such fiscal year, an audited balance sheet of the Company and statement of stockholders’ equity as of the end of such year, and an audited statement of cash flows for such year, such year-end financial reports to be in reasonable detail, prepared in accordance with generally accepted accounting principles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220" w:right="239" w:firstLine="1544"/>
        <w:spacing w:after="0" w:line="277" w:lineRule="auto"/>
        <w:tabs>
          <w:tab w:leader="none" w:pos="1967" w:val="left"/>
        </w:tabs>
        <w:numPr>
          <w:ilvl w:val="2"/>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but in any event within forty-five (45) days after the end of each of the first three (3) quarters of each fiscal year of the Company, an unaudited income statement and statement of cash flows for such fiscal quarter and an unaudited balance sheet and a statement of stockholders’ equity as of the end of such fiscal quarter, all prepared in accordance with GAAP (except that such financial statements may</w:t>
      </w:r>
    </w:p>
    <w:p>
      <w:pPr>
        <w:ind w:left="460" w:hanging="237"/>
        <w:spacing w:after="0"/>
        <w:tabs>
          <w:tab w:leader="none" w:pos="46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normal year-end audit adjustments and (B) not contain all notes thereto that may be required in accordance with GAAP);</w:t>
      </w:r>
    </w:p>
    <w:p>
      <w:pPr>
        <w:spacing w:after="0" w:line="160" w:lineRule="exact"/>
        <w:rPr>
          <w:rFonts w:ascii="Times New Roman" w:cs="Times New Roman" w:eastAsia="Times New Roman" w:hAnsi="Times New Roman"/>
          <w:sz w:val="14"/>
          <w:szCs w:val="14"/>
          <w:color w:val="auto"/>
        </w:rPr>
      </w:pPr>
    </w:p>
    <w:p>
      <w:pPr>
        <w:ind w:left="220" w:right="259" w:firstLine="1544"/>
        <w:spacing w:after="0" w:line="258" w:lineRule="auto"/>
        <w:tabs>
          <w:tab w:leader="none" w:pos="2006" w:val="left"/>
        </w:tabs>
        <w:numPr>
          <w:ilvl w:val="2"/>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request,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w:t>
      </w:r>
    </w:p>
    <w:p>
      <w:pPr>
        <w:spacing w:after="0" w:line="142" w:lineRule="exact"/>
        <w:rPr>
          <w:rFonts w:ascii="Times New Roman" w:cs="Times New Roman" w:eastAsia="Times New Roman" w:hAnsi="Times New Roman"/>
          <w:sz w:val="14"/>
          <w:szCs w:val="14"/>
          <w:color w:val="auto"/>
        </w:rPr>
      </w:pPr>
    </w:p>
    <w:p>
      <w:pPr>
        <w:ind w:left="220" w:right="279" w:firstLine="1544"/>
        <w:spacing w:after="0" w:line="266" w:lineRule="auto"/>
        <w:tabs>
          <w:tab w:leader="none" w:pos="1998" w:val="left"/>
        </w:tabs>
        <w:numPr>
          <w:ilvl w:val="2"/>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at least thirty (30) days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425" w:name="page426"/>
    <w:bookmarkEnd w:id="425"/>
    <w:p>
      <w:pPr>
        <w:ind w:left="220" w:right="259" w:firstLine="1116"/>
        <w:spacing w:after="0" w:line="256" w:lineRule="auto"/>
        <w:tabs>
          <w:tab w:leader="none" w:pos="1531"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such other information relating to the financial condition, business or corporate affairs of the Company as the Major Investor may from time to time reasonably request; provided, however, that the Company shall not be obligated under this subsection (vi) or any other subsection of Section 3.1 to provide information that (A) it deems in good faith to be a trade secret or similar confidential information or (B) the disclosure of which would adversely affect the attorney-client privilege between the Company and its counsel.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44" w:lineRule="exact"/>
        <w:rPr>
          <w:rFonts w:ascii="Times New Roman" w:cs="Times New Roman" w:eastAsia="Times New Roman" w:hAnsi="Times New Roman"/>
          <w:sz w:val="14"/>
          <w:szCs w:val="14"/>
          <w:color w:val="auto"/>
        </w:rPr>
      </w:pPr>
    </w:p>
    <w:p>
      <w:pPr>
        <w:ind w:left="220" w:right="339" w:firstLine="1116"/>
        <w:spacing w:after="0" w:line="254" w:lineRule="auto"/>
        <w:tabs>
          <w:tab w:leader="none" w:pos="1523"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else in this Section 3.1 to the contrary, the Company may cease providing the information set forth in this Section 3.1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Section 3.1 shall be reinstated at such time as the Company is no longer actively employing its commercially reasonable efforts to cause such registration statement to become effective. Additionally, notwithstanding anything to the contrary set forth in this Agreement or any other agreement between the Company and any Investor(s), with the exception of performance-related financial information, no Investor shall have access to (i) any information developed by the Company that is not in the public domain and is necessary to design, fabricate, develop, test, produce, or manufacture the Company’s genetic testing platform or (ii) any patient-related data.</w:t>
      </w:r>
    </w:p>
    <w:p>
      <w:pPr>
        <w:spacing w:after="0" w:line="148" w:lineRule="exact"/>
        <w:rPr>
          <w:sz w:val="20"/>
          <w:szCs w:val="20"/>
          <w:color w:val="auto"/>
        </w:rPr>
      </w:pPr>
    </w:p>
    <w:p>
      <w:pPr>
        <w:ind w:left="220" w:right="319" w:firstLine="771"/>
        <w:spacing w:after="0" w:line="256"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Inspection</w:t>
      </w:r>
      <w:r>
        <w:rPr>
          <w:rFonts w:ascii="Times New Roman" w:cs="Times New Roman" w:eastAsia="Times New Roman" w:hAnsi="Times New Roman"/>
          <w:sz w:val="14"/>
          <w:szCs w:val="14"/>
          <w:color w:val="auto"/>
        </w:rPr>
        <w:t>. The Company shall permit each Major Investor, provided that the Board, including at least one Preferred Director, has not reasonably determined that such Major Investor is a Competitor of the Company,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3.2 to provide access to any information that (a) it deems in good faith to be a trade secret or similar confidential information or (b) the disclosure of which would adversely affect the attorney-client privilege between the Company and its counsel.</w:t>
      </w:r>
    </w:p>
    <w:p>
      <w:pPr>
        <w:spacing w:after="0" w:line="145" w:lineRule="exact"/>
        <w:rPr>
          <w:sz w:val="20"/>
          <w:szCs w:val="20"/>
          <w:color w:val="auto"/>
        </w:rPr>
      </w:pPr>
    </w:p>
    <w:p>
      <w:pPr>
        <w:jc w:val="both"/>
        <w:ind w:left="220" w:right="459" w:firstLine="771"/>
        <w:spacing w:after="0" w:line="258"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Termination of Information and Inspection Covenants</w:t>
      </w:r>
      <w:r>
        <w:rPr>
          <w:rFonts w:ascii="Times New Roman" w:cs="Times New Roman" w:eastAsia="Times New Roman" w:hAnsi="Times New Roman"/>
          <w:sz w:val="14"/>
          <w:szCs w:val="14"/>
          <w:color w:val="auto"/>
        </w:rPr>
        <w:t>. The covenants set forth in Sections 3.1 and 3.2 shall terminate and be of no further force or effect upon the earlier to occur of (a) the consummation of the sale of securities pursuant to a registration statement under the Act in connection with the firm commitment underwritten offering of its securities to the general public, (b) when the Company first becomes subject to the periodic reporting requirements of Sections 12(g) or 15(d) of the 1934 Act, whichever event shall first occur, (c) the consummation of a Liquidation Event, or (d) the consummation of a Direct Listing.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426" w:name="page427"/>
    <w:bookmarkEnd w:id="426"/>
    <w:p>
      <w:pPr>
        <w:ind w:left="220" w:right="239" w:firstLine="771"/>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3.4 </w:t>
      </w:r>
      <w:r>
        <w:rPr>
          <w:rFonts w:ascii="Times New Roman" w:cs="Times New Roman" w:eastAsia="Times New Roman" w:hAnsi="Times New Roman"/>
          <w:sz w:val="13"/>
          <w:szCs w:val="13"/>
          <w:u w:val="single" w:color="auto"/>
          <w:color w:val="auto"/>
        </w:rPr>
        <w:t>Right of First Offer</w:t>
      </w:r>
      <w:r>
        <w:rPr>
          <w:rFonts w:ascii="Times New Roman" w:cs="Times New Roman" w:eastAsia="Times New Roman" w:hAnsi="Times New Roman"/>
          <w:sz w:val="13"/>
          <w:szCs w:val="13"/>
          <w:color w:val="auto"/>
        </w:rPr>
        <w:t>. Subject to the terms and conditions specified in this Section 3.4 and applicable securities laws, the Company hereby grants to each Major Investor a right of first offer with respect to future sales by the Company of its Shares (as hereinafter defined). For purposes of this Section 3.4, the term “</w:t>
      </w:r>
      <w:r>
        <w:rPr>
          <w:rFonts w:ascii="Times New Roman" w:cs="Times New Roman" w:eastAsia="Times New Roman" w:hAnsi="Times New Roman"/>
          <w:sz w:val="13"/>
          <w:szCs w:val="13"/>
          <w:u w:val="single" w:color="auto"/>
          <w:color w:val="auto"/>
        </w:rPr>
        <w:t>Major Investor</w:t>
      </w:r>
      <w:r>
        <w:rPr>
          <w:rFonts w:ascii="Times New Roman" w:cs="Times New Roman" w:eastAsia="Times New Roman" w:hAnsi="Times New Roman"/>
          <w:sz w:val="13"/>
          <w:szCs w:val="13"/>
          <w:color w:val="auto"/>
        </w:rPr>
        <w:t>” includes any Affiliates of a Major Investor. A Major Investor shall be entitled to apportion the right of first offer hereby granted it among itself and its partners and Affiliates in such proportions as it deems appropriate; provided that each such party and Affiliate (x) has not been determined to be a Competitor by the Board, including at least one Preferred Director, and (y) agrees to enter into this Agreement and each of the Voting Agreement and Right of First Refusal and Co-Sale Agreement (as such terms are defined in the Purchase Agreement), as an investor under each such agreement (provided that any person reasonably determined by the Board, including at least one Preferred Director, to be a Competitor shall not be entitled to any rights as a Major Investor or Major Investor under Subsections 3.1, 3.2 and 3.4 hereof, if applicable).</w:t>
      </w:r>
    </w:p>
    <w:p>
      <w:pPr>
        <w:spacing w:after="0" w:line="131"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Each time the Company proposes to offer any shares of, or securities convertible into or exchangeable or exercisable for any shares of, its capital stock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the Company shall first make an offering of such Shares to each Major Investor in accordance with the following provisions:</w:t>
      </w:r>
    </w:p>
    <w:p>
      <w:pPr>
        <w:spacing w:after="0" w:line="41" w:lineRule="exact"/>
        <w:rPr>
          <w:sz w:val="20"/>
          <w:szCs w:val="20"/>
          <w:color w:val="auto"/>
        </w:rPr>
      </w:pPr>
    </w:p>
    <w:p>
      <w:pPr>
        <w:jc w:val="both"/>
        <w:ind w:left="220" w:right="539" w:firstLine="1116"/>
        <w:spacing w:after="0" w:line="322" w:lineRule="auto"/>
        <w:tabs>
          <w:tab w:leader="none" w:pos="1523"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a notice in accordance with Section 4.5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to the Major Investors stating (i) its bona fide intention to offer such Shares, (ii) the number of such Shares to be offered and (iii) the price and terms upon which it proposes to offer such Shares.</w:t>
      </w:r>
    </w:p>
    <w:p>
      <w:pPr>
        <w:spacing w:after="0" w:line="102" w:lineRule="exact"/>
        <w:rPr>
          <w:rFonts w:ascii="Times New Roman" w:cs="Times New Roman" w:eastAsia="Times New Roman" w:hAnsi="Times New Roman"/>
          <w:sz w:val="13"/>
          <w:szCs w:val="13"/>
          <w:color w:val="auto"/>
        </w:rPr>
      </w:pPr>
    </w:p>
    <w:p>
      <w:pPr>
        <w:ind w:left="220" w:right="339" w:firstLine="1116"/>
        <w:spacing w:after="0" w:line="258" w:lineRule="auto"/>
        <w:tabs>
          <w:tab w:leader="none" w:pos="1531"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Registrable Securities issued and held by such Major Investor (assuming full conversion, exercise and/or exchange of all convertible, exercisable and/or exchangeable securities then outstanding) bears to the total number of shares of Common Stock of the Company then outstanding (assuming full conversion, exercise and/or exchange of all convertible, exercisable and/or exchangeable securities then outstanding).</w:t>
      </w:r>
    </w:p>
    <w:p>
      <w:pPr>
        <w:spacing w:after="0" w:line="142" w:lineRule="exact"/>
        <w:rPr>
          <w:rFonts w:ascii="Times New Roman" w:cs="Times New Roman" w:eastAsia="Times New Roman" w:hAnsi="Times New Roman"/>
          <w:sz w:val="14"/>
          <w:szCs w:val="14"/>
          <w:color w:val="auto"/>
        </w:rPr>
      </w:pPr>
    </w:p>
    <w:p>
      <w:pPr>
        <w:ind w:left="220" w:right="259" w:firstLine="1116"/>
        <w:spacing w:after="0" w:line="256" w:lineRule="auto"/>
        <w:tabs>
          <w:tab w:leader="none" w:pos="1523"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all Shares that Major Investors are entitled to obtain pursuant to Section 3.4(b) of this Agreement are not elected to be obtained as provided in Section 3.4(b) of this Agreement, the Company may, during the ninety (90) day period following the expiration of the period provided in Section 3.4(b) of this Agreement,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Major Investors in accordance herewith.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427" w:name="page428"/>
    <w:bookmarkEnd w:id="427"/>
    <w:p>
      <w:pPr>
        <w:ind w:left="220" w:right="259" w:firstLine="1116"/>
        <w:spacing w:after="0" w:line="253" w:lineRule="auto"/>
        <w:tabs>
          <w:tab w:leader="none" w:pos="1531"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right of first offer in this Section 3.4 shall not be applicable to (i) offers of securities exempted from the definition of “Additional Stock” pursuant to subsection 4(d)(ii) of Article IV.B of the Restated Certificate (including any securities from which such exemptions from Additional Stock were derived), (ii) the issuance and sale of Series D Preferred Stock and Series C-1 Preferred Stock pursuant to the Purchase Agreement or (iii) the issuance of securities that are specifically deemed not to be subject to the right of first offer in this Section 3.4 by the written consent or affirmative vote of the Major Investors holding a majority of the Registrable Securities then held by all Major Investors. In addition to the foregoing, the right of first offer in this Section 3.4 shall not be applicable with respect to any Major Investor in any subsequent offering of Shares if (1)</w:t>
      </w:r>
    </w:p>
    <w:p>
      <w:pPr>
        <w:spacing w:after="0" w:line="3" w:lineRule="exact"/>
        <w:rPr>
          <w:rFonts w:ascii="Times New Roman" w:cs="Times New Roman" w:eastAsia="Times New Roman" w:hAnsi="Times New Roman"/>
          <w:sz w:val="14"/>
          <w:szCs w:val="14"/>
          <w:color w:val="auto"/>
        </w:rPr>
      </w:pPr>
    </w:p>
    <w:p>
      <w:pPr>
        <w:ind w:left="220" w:right="299" w:firstLine="3"/>
        <w:spacing w:after="0" w:line="253" w:lineRule="auto"/>
        <w:tabs>
          <w:tab w:leader="none" w:pos="449"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such offering, the Major Investor is not an “accredited investor,” as that term is then defined in Rule 501(a) of the Act and (B) such offering of Shares is otherwise being offered only to accredited investors or (2) the issuance of securities, which constitutes a Potential CFIUS Transaction, to such Major Investor constitutes a “pilot program covered transaction” or “covered transaction” requiring, pursuant to the DPA, a CFIUS Filing.</w:t>
      </w:r>
    </w:p>
    <w:p>
      <w:pPr>
        <w:spacing w:after="0" w:line="145" w:lineRule="exact"/>
        <w:rPr>
          <w:rFonts w:ascii="Times New Roman" w:cs="Times New Roman" w:eastAsia="Times New Roman" w:hAnsi="Times New Roman"/>
          <w:sz w:val="14"/>
          <w:szCs w:val="14"/>
          <w:color w:val="auto"/>
        </w:rPr>
      </w:pPr>
    </w:p>
    <w:p>
      <w:pPr>
        <w:ind w:left="220" w:right="259" w:firstLine="1116"/>
        <w:spacing w:after="0" w:line="261" w:lineRule="auto"/>
        <w:tabs>
          <w:tab w:leader="none" w:pos="1523"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this Section 3.4 may not be assigned or transferred by any Major Investor; provided, however, that a Major Investor that is a venture capital or other investment fund, including Four Rivers Partners IV, L.P., Adams Street 2022 Direct Growth Equity Fund LP, NeoTribe Ventures I, L.P. and NeoTribe Ignite Fund I, L.P. (together, “</w:t>
      </w:r>
      <w:r>
        <w:rPr>
          <w:rFonts w:ascii="Times New Roman" w:cs="Times New Roman" w:eastAsia="Times New Roman" w:hAnsi="Times New Roman"/>
          <w:sz w:val="14"/>
          <w:szCs w:val="14"/>
          <w:u w:val="single" w:color="auto"/>
          <w:color w:val="auto"/>
        </w:rPr>
        <w:t>NeoTribe</w:t>
      </w:r>
      <w:r>
        <w:rPr>
          <w:rFonts w:ascii="Times New Roman" w:cs="Times New Roman" w:eastAsia="Times New Roman" w:hAnsi="Times New Roman"/>
          <w:sz w:val="14"/>
          <w:szCs w:val="14"/>
          <w:color w:val="auto"/>
        </w:rPr>
        <w:t>”), Hummingbird Ventures III Comm. VA (“</w:t>
      </w:r>
      <w:r>
        <w:rPr>
          <w:rFonts w:ascii="Times New Roman" w:cs="Times New Roman" w:eastAsia="Times New Roman" w:hAnsi="Times New Roman"/>
          <w:sz w:val="14"/>
          <w:szCs w:val="14"/>
          <w:u w:val="single" w:color="auto"/>
          <w:color w:val="auto"/>
        </w:rPr>
        <w:t>Hummingbird</w:t>
      </w:r>
      <w:r>
        <w:rPr>
          <w:rFonts w:ascii="Times New Roman" w:cs="Times New Roman" w:eastAsia="Times New Roman" w:hAnsi="Times New Roman"/>
          <w:sz w:val="14"/>
          <w:szCs w:val="14"/>
          <w:color w:val="auto"/>
        </w:rPr>
        <w:t>”) and Premji Invest, may assign or transfer such rights to its Affiliates.</w:t>
      </w:r>
    </w:p>
    <w:p>
      <w:pPr>
        <w:spacing w:after="0" w:line="139" w:lineRule="exact"/>
        <w:rPr>
          <w:rFonts w:ascii="Times New Roman" w:cs="Times New Roman" w:eastAsia="Times New Roman" w:hAnsi="Times New Roman"/>
          <w:sz w:val="14"/>
          <w:szCs w:val="14"/>
          <w:color w:val="auto"/>
        </w:rPr>
      </w:pPr>
    </w:p>
    <w:p>
      <w:pPr>
        <w:ind w:left="220" w:right="419" w:firstLine="1116"/>
        <w:spacing w:after="0" w:line="266" w:lineRule="auto"/>
        <w:tabs>
          <w:tab w:leader="none" w:pos="1508"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covenants set forth in this Section 3.4 shall terminate and be of no further force or effect upon the consummation of (i) the Initial Offering (other than a registration statement relating either to the sale of securities to employees of the Company pursuant to its stock option, stock purchase or similar plan or a SEC Rule 145 transaction), (ii) a Liquidation Event, or (iii) a Direct Listing.</w:t>
      </w:r>
    </w:p>
    <w:p>
      <w:pPr>
        <w:spacing w:after="0" w:line="136" w:lineRule="exact"/>
        <w:rPr>
          <w:sz w:val="20"/>
          <w:szCs w:val="20"/>
          <w:color w:val="auto"/>
        </w:rPr>
      </w:pPr>
    </w:p>
    <w:p>
      <w:pPr>
        <w:jc w:val="both"/>
        <w:ind w:left="220" w:right="279" w:firstLine="771"/>
        <w:spacing w:after="0" w:line="261"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Directors’ and Officers’ Insurance</w:t>
      </w:r>
      <w:r>
        <w:rPr>
          <w:rFonts w:ascii="Times New Roman" w:cs="Times New Roman" w:eastAsia="Times New Roman" w:hAnsi="Times New Roman"/>
          <w:sz w:val="14"/>
          <w:szCs w:val="14"/>
          <w:color w:val="auto"/>
        </w:rPr>
        <w:t>. Subject to Section 3.16, The Company has as of the date hereof and shall maintain from financially sound and reputable insurers directors and officers liability insurance in an amount of at least $3 million and on terms and conditions satisfactory to the Board, including at least one Preferred Director, and the Company shall annually, within one hundred twenty (120) days after the end of each fiscal year of the Company, deliver to the Preferred Directors a certification that such insurance policy remains in effect.</w:t>
      </w:r>
    </w:p>
    <w:p>
      <w:pPr>
        <w:spacing w:after="0" w:line="139" w:lineRule="exact"/>
        <w:rPr>
          <w:sz w:val="20"/>
          <w:szCs w:val="20"/>
          <w:color w:val="auto"/>
        </w:rPr>
      </w:pPr>
    </w:p>
    <w:p>
      <w:pPr>
        <w:ind w:left="220" w:right="439" w:firstLine="771"/>
        <w:spacing w:after="0" w:line="261"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Proprietary Information and Inventions Agreements</w:t>
      </w:r>
      <w:r>
        <w:rPr>
          <w:rFonts w:ascii="Times New Roman" w:cs="Times New Roman" w:eastAsia="Times New Roman" w:hAnsi="Times New Roman"/>
          <w:sz w:val="14"/>
          <w:szCs w:val="14"/>
          <w:color w:val="auto"/>
        </w:rPr>
        <w:t>. The Company shall require all employees and consultants with access to confidential information to execute and deliver a Proprietary Information and Inventions Agreement in substantially the form approved by the Board, including at least one Preferred Director, or a consulting agreement containing substantially similar proprietary rights assignment and confidentiality provisions.</w:t>
      </w:r>
    </w:p>
    <w:p>
      <w:pPr>
        <w:spacing w:after="0" w:line="139" w:lineRule="exact"/>
        <w:rPr>
          <w:sz w:val="20"/>
          <w:szCs w:val="20"/>
          <w:color w:val="auto"/>
        </w:rPr>
      </w:pPr>
    </w:p>
    <w:p>
      <w:pPr>
        <w:ind w:left="220" w:right="319" w:firstLine="771"/>
        <w:spacing w:after="0" w:line="255"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Employee Agreements</w:t>
      </w:r>
      <w:r>
        <w:rPr>
          <w:rFonts w:ascii="Times New Roman" w:cs="Times New Roman" w:eastAsia="Times New Roman" w:hAnsi="Times New Roman"/>
          <w:sz w:val="14"/>
          <w:szCs w:val="14"/>
          <w:color w:val="auto"/>
        </w:rPr>
        <w:t>. Unless approved by the Board, including at least one Preferred Director,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 (36) months thereafter and (b) a one hundred and eighty (180)-day lockup period in connection with the Initial Offering, plus an additional period as specified in Section 2.12. The Company shall retain a right of first refusal on transfers until the Initial Offering and the right to repurchase unvested shares at cost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428" w:name="page429"/>
    <w:bookmarkEnd w:id="428"/>
    <w:p>
      <w:pPr>
        <w:ind w:left="220" w:right="239" w:firstLine="771"/>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3.8 </w:t>
      </w:r>
      <w:r>
        <w:rPr>
          <w:rFonts w:ascii="Times New Roman" w:cs="Times New Roman" w:eastAsia="Times New Roman" w:hAnsi="Times New Roman"/>
          <w:sz w:val="14"/>
          <w:szCs w:val="14"/>
          <w:u w:val="single" w:color="auto"/>
          <w:color w:val="auto"/>
        </w:rPr>
        <w:t>Indemnification Matters</w:t>
      </w:r>
      <w:r>
        <w:rPr>
          <w:rFonts w:ascii="Times New Roman" w:cs="Times New Roman" w:eastAsia="Times New Roman" w:hAnsi="Times New Roman"/>
          <w:sz w:val="14"/>
          <w:szCs w:val="14"/>
          <w:color w:val="auto"/>
        </w:rPr>
        <w:t>. The Company hereby acknowledges that one (1) or more of the directors nominated to serve on the Board by the Investors (each a “</w:t>
      </w:r>
      <w:r>
        <w:rPr>
          <w:rFonts w:ascii="Times New Roman" w:cs="Times New Roman" w:eastAsia="Times New Roman" w:hAnsi="Times New Roman"/>
          <w:sz w:val="14"/>
          <w:szCs w:val="14"/>
          <w:u w:val="single" w:color="auto"/>
          <w:color w:val="auto"/>
        </w:rPr>
        <w:t>Fund Director</w:t>
      </w:r>
      <w:r>
        <w:rPr>
          <w:rFonts w:ascii="Times New Roman" w:cs="Times New Roman" w:eastAsia="Times New Roman" w:hAnsi="Times New Roman"/>
          <w:sz w:val="14"/>
          <w:szCs w:val="14"/>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4"/>
          <w:szCs w:val="14"/>
          <w:u w:val="single" w:color="auto"/>
          <w:color w:val="auto"/>
        </w:rPr>
        <w:t>Fund Indemnitors</w:t>
      </w:r>
      <w:r>
        <w:rPr>
          <w:rFonts w:ascii="Times New Roman" w:cs="Times New Roman" w:eastAsia="Times New Roman" w:hAnsi="Times New Roman"/>
          <w:sz w:val="14"/>
          <w:szCs w:val="14"/>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53" w:lineRule="exact"/>
        <w:rPr>
          <w:sz w:val="20"/>
          <w:szCs w:val="20"/>
          <w:color w:val="auto"/>
        </w:rPr>
      </w:pPr>
    </w:p>
    <w:p>
      <w:pPr>
        <w:ind w:left="220" w:right="259" w:firstLine="771"/>
        <w:spacing w:after="0" w:line="273" w:lineRule="auto"/>
        <w:rPr>
          <w:sz w:val="20"/>
          <w:szCs w:val="20"/>
          <w:color w:val="auto"/>
        </w:rPr>
      </w:pPr>
      <w:r>
        <w:rPr>
          <w:rFonts w:ascii="Times New Roman" w:cs="Times New Roman" w:eastAsia="Times New Roman" w:hAnsi="Times New Roman"/>
          <w:sz w:val="13"/>
          <w:szCs w:val="13"/>
          <w:color w:val="auto"/>
        </w:rPr>
        <w:t xml:space="preserve">3.9 </w:t>
      </w: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Each Investor agrees, severally and not jointly, that such Investor (a) will keep confidential, (b) will not disclose, divulge or use for any purpose (other than to monitor its investment in the Company) and (c) will protect to the same degree as it protects its own confidential information any confidential information obtained from the Company pursuant to the terms of this Agreement (including, without limitation, notice of the Company’s intention to file a registration statement), unless such confidential information (i) is known or becomes known to the public in general (other than as a result of a breach of this Subsection 3.9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provided, however, that an Investor may disclose confidential information (A) to its attorneys, accountants, consultants and other professionals to the extent necessary to obtain their services in connection with monitoring its investment in the Company, provided that such Persons are under a contractual or legal obligation to preserve the confidentiality of such information; (B) to any prospective purchaser of any Registrable Securities from such Investor, if such prospective purchaser agrees to be bound by the provisions of this Subsection 3.9; (C) to any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(D) as may otherwise be required by law, provided that the Investor promptly notifies the Company of such disclosure and takes reasonable steps to minimize the extent of any such required disclosure (each Person contemplated by clause (A),</w:t>
      </w:r>
    </w:p>
    <w:p>
      <w:pPr>
        <w:spacing w:after="0" w:line="155" w:lineRule="exact"/>
        <w:rPr>
          <w:sz w:val="20"/>
          <w:szCs w:val="20"/>
          <w:color w:val="auto"/>
        </w:rPr>
      </w:pPr>
    </w:p>
    <w:p>
      <w:pPr>
        <w:ind w:left="220" w:right="639" w:firstLine="3"/>
        <w:spacing w:after="0" w:line="260" w:lineRule="auto"/>
        <w:tabs>
          <w:tab w:leader="none" w:pos="441"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(C), a “</w:t>
      </w:r>
      <w:r>
        <w:rPr>
          <w:rFonts w:ascii="Times New Roman" w:cs="Times New Roman" w:eastAsia="Times New Roman" w:hAnsi="Times New Roman"/>
          <w:sz w:val="14"/>
          <w:szCs w:val="14"/>
          <w:u w:val="single" w:color="auto"/>
          <w:color w:val="auto"/>
        </w:rPr>
        <w:t>Permitted Disclosee</w:t>
      </w:r>
      <w:r>
        <w:rPr>
          <w:rFonts w:ascii="Times New Roman" w:cs="Times New Roman" w:eastAsia="Times New Roman" w:hAnsi="Times New Roman"/>
          <w:sz w:val="14"/>
          <w:szCs w:val="14"/>
          <w:color w:val="auto"/>
        </w:rPr>
        <w:t>”). Investor shall be fully responsible for any use or disclosure of the confidential information by its Permitted Disclosees as if such Permitted Disclosees were an Investor.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429" w:name="page430"/>
    <w:bookmarkEnd w:id="429"/>
    <w:p>
      <w:pPr>
        <w:ind w:left="220" w:right="239" w:firstLine="771"/>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3.10 </w:t>
      </w: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Each Investor hereby acknowledges and agrees that until the consummation of the Initial Offering, such Investor shall hereby be deemed to have waived any rights such Investor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such Investor’s capacity as a stockholder and does not affect any other information and inspection rights such Investor may expressly have pursuant to Sections 3.1 and 3.2 of this Agreement. This Section 3.10 has been fully discussed by each of the Investors and these provisions will not be subject to any exceptions. Each Investor hereby further warrants and represents that such Investor has reviewed this waiver with its legal counsel, and that such Investor knowingly and voluntarily waives its rights otherwise provided by Section 220 of the Delaware General Corporation Law (or under similar rights under other applicable law).</w:t>
      </w:r>
    </w:p>
    <w:p>
      <w:pPr>
        <w:spacing w:after="0" w:line="146" w:lineRule="exact"/>
        <w:rPr>
          <w:sz w:val="20"/>
          <w:szCs w:val="20"/>
          <w:color w:val="auto"/>
        </w:rPr>
      </w:pPr>
    </w:p>
    <w:p>
      <w:pPr>
        <w:ind w:left="220" w:right="319" w:firstLine="771"/>
        <w:spacing w:after="0" w:line="261"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u w:val="single" w:color="auto"/>
          <w:color w:val="auto"/>
        </w:rPr>
        <w:t>CFIUS Covenants</w:t>
      </w:r>
      <w:r>
        <w:rPr>
          <w:rFonts w:ascii="Times New Roman" w:cs="Times New Roman" w:eastAsia="Times New Roman" w:hAnsi="Times New Roman"/>
          <w:sz w:val="14"/>
          <w:szCs w:val="14"/>
          <w:color w:val="auto"/>
        </w:rPr>
        <w:t>3.12 . In the event the Company determines a Potential CFIUS Transaction with respect to an Investor or group or of Investors constitutes a “pilot program covered transaction” or “covered transaction” requiring a CFIUS Filing, each of the Company and such Investor or Investors hereto agrees to use its reasonable best efforts to do or cause to obtain CFIUS Approval. Such reasonable best efforts shall include the following:</w:t>
      </w:r>
    </w:p>
    <w:p>
      <w:pPr>
        <w:spacing w:after="0" w:line="55" w:lineRule="exact"/>
        <w:rPr>
          <w:sz w:val="20"/>
          <w:szCs w:val="20"/>
          <w:color w:val="auto"/>
        </w:rPr>
      </w:pPr>
    </w:p>
    <w:p>
      <w:pPr>
        <w:ind w:left="1520" w:hanging="184"/>
        <w:spacing w:after="0"/>
        <w:tabs>
          <w:tab w:leader="none" w:pos="1520" w:val="left"/>
        </w:tabs>
        <w:numPr>
          <w:ilvl w:val="1"/>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the pre-notice consultation process with CFIUS;</w:t>
      </w:r>
    </w:p>
    <w:p>
      <w:pPr>
        <w:spacing w:after="0" w:line="174" w:lineRule="exact"/>
        <w:rPr>
          <w:rFonts w:ascii="Times New Roman" w:cs="Times New Roman" w:eastAsia="Times New Roman" w:hAnsi="Times New Roman"/>
          <w:sz w:val="14"/>
          <w:szCs w:val="14"/>
          <w:color w:val="auto"/>
        </w:rPr>
      </w:pPr>
    </w:p>
    <w:p>
      <w:pPr>
        <w:ind w:left="1540" w:hanging="204"/>
        <w:spacing w:after="0"/>
        <w:tabs>
          <w:tab w:leader="none" w:pos="1540" w:val="left"/>
        </w:tabs>
        <w:numPr>
          <w:ilvl w:val="1"/>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either (A) file with CFIUS a Mandatory Declaration regarding the Potential CFIUS Transaction or</w:t>
      </w:r>
    </w:p>
    <w:p>
      <w:pPr>
        <w:spacing w:after="0" w:line="21"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 a draft CFIUS Notice to CFIUS regarding the Potential CFIUS Transaction;</w:t>
      </w:r>
    </w:p>
    <w:p>
      <w:pPr>
        <w:spacing w:after="0" w:line="160" w:lineRule="exact"/>
        <w:rPr>
          <w:rFonts w:ascii="Times New Roman" w:cs="Times New Roman" w:eastAsia="Times New Roman" w:hAnsi="Times New Roman"/>
          <w:sz w:val="14"/>
          <w:szCs w:val="14"/>
          <w:color w:val="auto"/>
        </w:rPr>
      </w:pPr>
    </w:p>
    <w:p>
      <w:pPr>
        <w:ind w:left="220" w:right="359" w:firstLine="1116"/>
        <w:spacing w:after="0" w:line="261" w:lineRule="auto"/>
        <w:tabs>
          <w:tab w:leader="none" w:pos="1523"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Mandatory Declaration has been filed in accordance with clause (ii) above, as promptly as practicable and, in any event, within fifteen (15) Business Days after the receipt by the parties of written notification (including by e-mail) from CFIUS that, based on its assessment of the Mandatory Declaration, CFIUS either (1) requests the parties submit a CFIUS Notice or (2) is not able to complete action under the DPA on the basis of the Mandatory Declaration, file a draft CFIUS Notice in accordance with the DPA;</w:t>
      </w:r>
    </w:p>
    <w:p>
      <w:pPr>
        <w:spacing w:after="0" w:line="139" w:lineRule="exact"/>
        <w:rPr>
          <w:rFonts w:ascii="Times New Roman" w:cs="Times New Roman" w:eastAsia="Times New Roman" w:hAnsi="Times New Roman"/>
          <w:sz w:val="14"/>
          <w:szCs w:val="14"/>
          <w:color w:val="auto"/>
        </w:rPr>
      </w:pPr>
    </w:p>
    <w:p>
      <w:pPr>
        <w:jc w:val="both"/>
        <w:ind w:left="220" w:right="479" w:firstLine="1116"/>
        <w:spacing w:after="0" w:line="266" w:lineRule="auto"/>
        <w:tabs>
          <w:tab w:leader="none" w:pos="1531"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and in any event, within five (5) Business Days after receipt by the parties of CFIUS notification (including by telephone or by e-mail) that CFIUS has no further comment on a draft CFIUS Notice submitted in accordance with either clause (ii) or (iii) above, submit to CFIUS a formal CFIUS Notice in accordance with the DPA;</w:t>
      </w:r>
    </w:p>
    <w:p>
      <w:pPr>
        <w:spacing w:after="0" w:line="136" w:lineRule="exact"/>
        <w:rPr>
          <w:rFonts w:ascii="Times New Roman" w:cs="Times New Roman" w:eastAsia="Times New Roman" w:hAnsi="Times New Roman"/>
          <w:sz w:val="14"/>
          <w:szCs w:val="14"/>
          <w:color w:val="auto"/>
        </w:rPr>
      </w:pPr>
    </w:p>
    <w:p>
      <w:pPr>
        <w:ind w:left="220" w:right="559" w:firstLine="1116"/>
        <w:spacing w:after="0" w:line="282" w:lineRule="auto"/>
        <w:tabs>
          <w:tab w:leader="none" w:pos="1523"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all events, within the timeframes set forth in the DPA, provide any information requested by CFIUS or any other agency or branch of the U.S. government in connection with a CFIUS Filing or obtaining CFIUS Approval; and</w:t>
      </w:r>
    </w:p>
    <w:p>
      <w:pPr>
        <w:spacing w:after="0" w:line="12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With respect to such Investor or Investors, such reasonable best efforts shall also include agreeing to any reasonable condition, restriction or other action required by CFIUS in order to obtain CFIUS Approval.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430" w:name="page431"/>
    <w:bookmarkEnd w:id="430"/>
    <w:p>
      <w:pPr>
        <w:ind w:left="220" w:right="319" w:firstLine="771"/>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3.12 </w:t>
      </w:r>
      <w:r>
        <w:rPr>
          <w:rFonts w:ascii="Times New Roman" w:cs="Times New Roman" w:eastAsia="Times New Roman" w:hAnsi="Times New Roman"/>
          <w:sz w:val="14"/>
          <w:szCs w:val="14"/>
          <w:u w:val="single" w:color="auto"/>
          <w:color w:val="auto"/>
        </w:rPr>
        <w:t>Qualified Small Business Stock</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3.16</w:t>
      </w:r>
      <w:r>
        <w:rPr>
          <w:rFonts w:ascii="Times New Roman" w:cs="Times New Roman" w:eastAsia="Times New Roman" w:hAnsi="Times New Roman"/>
          <w:sz w:val="14"/>
          <w:szCs w:val="14"/>
          <w:color w:val="auto"/>
        </w:rPr>
        <w:t>, the Company shall use commercially reasonable efforts to cause the shares of Series A Preferred Stock, as well as any shares into which such shares are converted, within the meaning of Section 1202(f) of the Internal Revenue Code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xml:space="preserve">”), to constitute “qualified small business stock” as defined in Section 1202(c) of the Code;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requirement shall not be applicable if the Board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50" w:lineRule="exact"/>
        <w:rPr>
          <w:sz w:val="20"/>
          <w:szCs w:val="20"/>
          <w:color w:val="auto"/>
        </w:rPr>
      </w:pPr>
    </w:p>
    <w:p>
      <w:pPr>
        <w:ind w:left="220" w:right="299" w:firstLine="771"/>
        <w:spacing w:after="0" w:line="252" w:lineRule="auto"/>
        <w:rPr>
          <w:sz w:val="20"/>
          <w:szCs w:val="20"/>
          <w:color w:val="auto"/>
        </w:rPr>
      </w:pPr>
      <w:r>
        <w:rPr>
          <w:rFonts w:ascii="Times New Roman" w:cs="Times New Roman" w:eastAsia="Times New Roman" w:hAnsi="Times New Roman"/>
          <w:sz w:val="14"/>
          <w:szCs w:val="14"/>
          <w:color w:val="auto"/>
        </w:rPr>
        <w:t xml:space="preserve">3.13 </w:t>
      </w:r>
      <w:r>
        <w:rPr>
          <w:rFonts w:ascii="Times New Roman" w:cs="Times New Roman" w:eastAsia="Times New Roman" w:hAnsi="Times New Roman"/>
          <w:sz w:val="14"/>
          <w:szCs w:val="14"/>
          <w:u w:val="single" w:color="auto"/>
          <w:color w:val="auto"/>
        </w:rPr>
        <w:t>Right to Conduct Activities</w:t>
      </w:r>
      <w:r>
        <w:rPr>
          <w:rFonts w:ascii="Times New Roman" w:cs="Times New Roman" w:eastAsia="Times New Roman" w:hAnsi="Times New Roman"/>
          <w:sz w:val="14"/>
          <w:szCs w:val="14"/>
          <w:color w:val="auto"/>
        </w:rPr>
        <w:t>. The Company hereby agrees and acknowledges that each of Hummingbird, NeoTribe, Adams Street 2022 Direct Growth Equity Fund LP, Premji Invest, and Neuberger Berman (together with their Affiliates) (each an “</w:t>
      </w:r>
      <w:r>
        <w:rPr>
          <w:rFonts w:ascii="Times New Roman" w:cs="Times New Roman" w:eastAsia="Times New Roman" w:hAnsi="Times New Roman"/>
          <w:sz w:val="14"/>
          <w:szCs w:val="14"/>
          <w:u w:val="single" w:color="auto"/>
          <w:color w:val="auto"/>
        </w:rPr>
        <w:t>Investment Organization</w:t>
      </w:r>
      <w:r>
        <w:rPr>
          <w:rFonts w:ascii="Times New Roman" w:cs="Times New Roman" w:eastAsia="Times New Roman" w:hAnsi="Times New Roman"/>
          <w:sz w:val="14"/>
          <w:szCs w:val="14"/>
          <w:color w:val="auto"/>
        </w:rPr>
        <w:t>”) are professional investment organizations,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any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Investment Organization shall be liable to the Company for any claim arising out of, or based upon, (i) the investment by such Investment Organization in any entity competitive with the Company, or (ii) actions taken by any partner, officer, employee or other representative of such Investment Organization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Investment Organization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53" w:lineRule="exact"/>
        <w:rPr>
          <w:sz w:val="20"/>
          <w:szCs w:val="20"/>
          <w:color w:val="auto"/>
        </w:rPr>
      </w:pPr>
    </w:p>
    <w:p>
      <w:pPr>
        <w:ind w:left="220" w:right="459" w:firstLine="771"/>
        <w:spacing w:after="0" w:line="266" w:lineRule="auto"/>
        <w:rPr>
          <w:sz w:val="20"/>
          <w:szCs w:val="20"/>
          <w:color w:val="auto"/>
        </w:rPr>
      </w:pPr>
      <w:r>
        <w:rPr>
          <w:rFonts w:ascii="Times New Roman" w:cs="Times New Roman" w:eastAsia="Times New Roman" w:hAnsi="Times New Roman"/>
          <w:sz w:val="14"/>
          <w:szCs w:val="14"/>
          <w:color w:val="auto"/>
        </w:rPr>
        <w:t xml:space="preserve">3.14 </w:t>
      </w:r>
      <w:r>
        <w:rPr>
          <w:rFonts w:ascii="Times New Roman" w:cs="Times New Roman" w:eastAsia="Times New Roman" w:hAnsi="Times New Roman"/>
          <w:sz w:val="14"/>
          <w:szCs w:val="14"/>
          <w:u w:val="single" w:color="auto"/>
          <w:color w:val="auto"/>
        </w:rPr>
        <w:t>C-Level Compensation Changes</w:t>
      </w:r>
      <w:r>
        <w:rPr>
          <w:rFonts w:ascii="Times New Roman" w:cs="Times New Roman" w:eastAsia="Times New Roman" w:hAnsi="Times New Roman"/>
          <w:sz w:val="14"/>
          <w:szCs w:val="14"/>
          <w:color w:val="auto"/>
        </w:rPr>
        <w:t>. The Company hereby covenants and agrees with each of the Investors that it shall not, without approval of the Board of Directors, including at least a majority of the Preferred Directors, (i) change the compensation of C-level executive officers, including approving any equity awards to C-level executive officers and (ii) appoint a new chief executive officer.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431" w:name="page432"/>
    <w:bookmarkEnd w:id="431"/>
    <w:p>
      <w:pPr>
        <w:jc w:val="both"/>
        <w:ind w:left="220" w:right="279" w:firstLine="77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3.15 </w:t>
      </w:r>
      <w:r>
        <w:rPr>
          <w:rFonts w:ascii="Times New Roman" w:cs="Times New Roman" w:eastAsia="Times New Roman" w:hAnsi="Times New Roman"/>
          <w:sz w:val="14"/>
          <w:szCs w:val="14"/>
          <w:u w:val="single" w:color="auto"/>
          <w:color w:val="auto"/>
        </w:rPr>
        <w:t>Termination of Certain Covenants</w:t>
      </w:r>
      <w:r>
        <w:rPr>
          <w:rFonts w:ascii="Times New Roman" w:cs="Times New Roman" w:eastAsia="Times New Roman" w:hAnsi="Times New Roman"/>
          <w:sz w:val="14"/>
          <w:szCs w:val="14"/>
          <w:color w:val="auto"/>
        </w:rPr>
        <w:t>. All covenants set forth in this Section 3, other than the covenants set forth in Section 3.6, 3.7, and 3.10, shall terminate and be of no further force or effect upon the consummation of (a) the Initial Offering (other than an Excluded Registration) or (b) a Liquidation Event.</w:t>
      </w:r>
    </w:p>
    <w:p>
      <w:pPr>
        <w:spacing w:after="0" w:line="136" w:lineRule="exact"/>
        <w:rPr>
          <w:sz w:val="20"/>
          <w:szCs w:val="20"/>
          <w:color w:val="auto"/>
        </w:rPr>
      </w:pPr>
    </w:p>
    <w:p>
      <w:pPr>
        <w:ind w:left="220" w:right="239" w:firstLine="771"/>
        <w:spacing w:after="0" w:line="261" w:lineRule="auto"/>
        <w:rPr>
          <w:sz w:val="20"/>
          <w:szCs w:val="20"/>
          <w:color w:val="auto"/>
        </w:rPr>
      </w:pPr>
      <w:r>
        <w:rPr>
          <w:rFonts w:ascii="Times New Roman" w:cs="Times New Roman" w:eastAsia="Times New Roman" w:hAnsi="Times New Roman"/>
          <w:sz w:val="14"/>
          <w:szCs w:val="14"/>
          <w:color w:val="auto"/>
        </w:rPr>
        <w:t xml:space="preserve">3.16 </w:t>
      </w:r>
      <w:r>
        <w:rPr>
          <w:rFonts w:ascii="Times New Roman" w:cs="Times New Roman" w:eastAsia="Times New Roman" w:hAnsi="Times New Roman"/>
          <w:sz w:val="14"/>
          <w:szCs w:val="14"/>
          <w:u w:val="single" w:color="auto"/>
          <w:color w:val="auto"/>
        </w:rPr>
        <w:t>Fiduciary Duties</w:t>
      </w:r>
      <w:r>
        <w:rPr>
          <w:rFonts w:ascii="Times New Roman" w:cs="Times New Roman" w:eastAsia="Times New Roman" w:hAnsi="Times New Roman"/>
          <w:sz w:val="14"/>
          <w:szCs w:val="14"/>
          <w:color w:val="auto"/>
        </w:rPr>
        <w:t>. The Company’s obligations set forth in Sections 3.5 (Directors’ and Officers’ Insurance), 3.12 (Qualified Small Business Stock) and 3.14 (C-Level Compensation Changes) that are qualified by this Section 3.16 shall not be applicable to the extent (and only to the extent) that the Board of Directors determine in good faith and upon the advice of counsel that compliance would be inconsistent with the exercise of the fiduciary duties of the Board of Directors.</w:t>
      </w:r>
    </w:p>
    <w:p>
      <w:pPr>
        <w:spacing w:after="0" w:line="139" w:lineRule="exact"/>
        <w:rPr>
          <w:sz w:val="20"/>
          <w:szCs w:val="20"/>
          <w:color w:val="auto"/>
        </w:rPr>
      </w:pPr>
    </w:p>
    <w:p>
      <w:pPr>
        <w:ind w:left="700" w:hanging="135"/>
        <w:spacing w:after="0"/>
        <w:tabs>
          <w:tab w:leader="none" w:pos="7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71"/>
        <w:spacing w:after="0" w:line="258"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Except as otherwise provided herein, the terms and conditions of this Agreement shall inure to the benefit of and be binding upon the respective successors and assigns of the parties (including, without limitation, permitted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42" w:lineRule="exact"/>
        <w:rPr>
          <w:sz w:val="20"/>
          <w:szCs w:val="20"/>
          <w:color w:val="auto"/>
        </w:rPr>
      </w:pPr>
    </w:p>
    <w:p>
      <w:pPr>
        <w:ind w:left="220" w:right="299" w:firstLine="771"/>
        <w:spacing w:after="0" w:line="282"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under the laws of the State of Delaware as applied to agreements among Delaware residents entered into and to be performed entirely within Delaware.</w:t>
      </w:r>
    </w:p>
    <w:p>
      <w:pPr>
        <w:spacing w:after="0" w:line="125" w:lineRule="exact"/>
        <w:rPr>
          <w:sz w:val="20"/>
          <w:szCs w:val="20"/>
          <w:color w:val="auto"/>
        </w:rPr>
      </w:pPr>
    </w:p>
    <w:p>
      <w:pPr>
        <w:jc w:val="both"/>
        <w:ind w:left="220" w:right="439" w:firstLine="771"/>
        <w:spacing w:after="0" w:line="287"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by electronic signature and in two (2) or more counterparts, each of which shall be deemed an original, but all of which together shall constitute one (1) and the same instrument. Counterparts may be delivered by facsimile, electronic mail (including pdf or any electronic signature complying with the U.S. federal ESIGN Act of 2000,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www.docusign.com) or other transmission method, and any counterpart so delivered shall be deemed to have been duly and validly delivered and be valid and effective for all purposes.</w:t>
      </w:r>
    </w:p>
    <w:p>
      <w:pPr>
        <w:spacing w:after="0" w:line="124" w:lineRule="exact"/>
        <w:rPr>
          <w:sz w:val="20"/>
          <w:szCs w:val="20"/>
          <w:color w:val="auto"/>
        </w:rPr>
      </w:pPr>
    </w:p>
    <w:p>
      <w:pPr>
        <w:ind w:left="220" w:right="619" w:firstLine="771"/>
        <w:spacing w:after="0" w:line="282"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given or made pursuant hereto shall be in writing and shall be deemed effectively</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given: (a) upon personal delivery to the party to be notified, (b) when sent by confirmed electronic mail or facsimile if sent during normal business hours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the recipient; if not, then on the next business day, (c) five (5) days after having been sent by registered or certified mail, return receipt requested,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postage prepaid, or (d) one (1) day after deposit with a nationally recognized overnight courier, specifying next day delivery, with written verification of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receipt. All notices and other communications shall be sent to the Company at and 1035 O’Brien Drive, Menlo Park, CA 94025, Attention: CEO;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General Counsel, with a copy (which shall not constitute notice) to and Gunderson Dettmer Stough Villeneuve Franklin &amp; Hachigian, LLP, 201 South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Main Street, 4th Floor, Ann Arbor, MI 48104, Attention: Nicholas B. Harley, and to the other parties at the addresses set forth on their signature page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hereto (or at such other addresses as shall be specified by notice given in accordance with this Section 4.5).</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432" w:name="page433"/>
    <w:bookmarkEnd w:id="432"/>
    <w:p>
      <w:pPr>
        <w:ind w:left="220" w:right="259" w:firstLine="77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4.6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25" w:lineRule="exact"/>
        <w:rPr>
          <w:sz w:val="20"/>
          <w:szCs w:val="20"/>
          <w:color w:val="auto"/>
        </w:rPr>
      </w:pPr>
    </w:p>
    <w:p>
      <w:pPr>
        <w:ind w:left="220" w:right="239" w:firstLine="771"/>
        <w:spacing w:after="0" w:line="252"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Entire Agreement; Amendments</w:t>
      </w:r>
      <w:r>
        <w:rPr>
          <w:rFonts w:ascii="Times New Roman" w:cs="Times New Roman" w:eastAsia="Times New Roman" w:hAnsi="Times New Roman"/>
          <w:sz w:val="14"/>
          <w:szCs w:val="14"/>
          <w:color w:val="auto"/>
        </w:rPr>
        <w:t xml:space="preserve"> . This Agreement (including the Exhibits hereto, if any) constitutes the full and entire understanding and agreement among the parties with regard to the subjects hereof and thereof. Any term of this Agreement (other than Section 3.1, Section 3.2, Section 3.3 and Section 3.4) may be amended and the observance of any term of this Agreement may be waived (either generally or in a particular instance and either retroactively or prospectively) only with the written consent of the Company and the Investors holding a majority of the Registrable Securities. The provisions of Section 3.1, Section 3.2, Section 3.3 and Section 3.4 may be amended or waived (either generally or in a particular instance and either retroactively or prospectively) only with the written consent of the Company and the Major Investors holding a majority of the Registrable Securities then held by all of the Major Investors; provided, however, that notwithstanding any waiver of any of the provisions of Section 3.4, in the event any Major Investor actually purchases any Shares in any offering by the Company, then to the extent any Major Investor did not consent to such waiver, and was not offered the opportunity to purchase such Shares to the same extent as would have applied absent such waiver of Section 3.4, such non-consenting Major Investor shall be permitted to participate in such offering on a pro rata basis (based on the level of participation of the Major Investor purchasing the largest portion of such Major Investor’s pro rata share of such Shares), in accordance with the other provisions (including notice and election periods) set forth in Section 3.4. Any amendment or waiver effected in accordance with this paragraph shall be binding upon each holder of any Registrable Securities, each future holder of all such Registrable Securities and the Company. Notwithstanding the foregoing, this Agreement may not be amended or terminated, and the observance of any term of this Agreement may not be waived, with respect to the express rights and obligations herein of any Investor without the written consent of such Investor.</w:t>
      </w:r>
    </w:p>
    <w:p>
      <w:pPr>
        <w:spacing w:after="0" w:line="151" w:lineRule="exact"/>
        <w:rPr>
          <w:sz w:val="20"/>
          <w:szCs w:val="20"/>
          <w:color w:val="auto"/>
        </w:rPr>
      </w:pPr>
    </w:p>
    <w:p>
      <w:pPr>
        <w:jc w:val="both"/>
        <w:ind w:left="220" w:right="399" w:firstLine="771"/>
        <w:spacing w:after="0" w:line="261"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39" w:lineRule="exact"/>
        <w:rPr>
          <w:sz w:val="20"/>
          <w:szCs w:val="20"/>
          <w:color w:val="auto"/>
        </w:rPr>
      </w:pPr>
    </w:p>
    <w:p>
      <w:pPr>
        <w:ind w:left="220" w:right="299" w:firstLine="771"/>
        <w:spacing w:after="0" w:line="266"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Aggregation of Stock</w:t>
      </w:r>
      <w:r>
        <w:rPr>
          <w:rFonts w:ascii="Times New Roman" w:cs="Times New Roman" w:eastAsia="Times New Roman" w:hAnsi="Times New Roman"/>
          <w:sz w:val="14"/>
          <w:szCs w:val="14"/>
          <w:color w:val="auto"/>
        </w:rPr>
        <w:t>. All shares of Registrable Securities held or acquired by affiliated entities (including, without limitation, affiliated venture capital funds or venture capital funds under common investment management) or Persons shall be aggregated together for the purpose of determining the availability of any rights under this Agreement.</w:t>
      </w:r>
    </w:p>
    <w:p>
      <w:pPr>
        <w:spacing w:after="0" w:line="136" w:lineRule="exact"/>
        <w:rPr>
          <w:sz w:val="20"/>
          <w:szCs w:val="20"/>
          <w:color w:val="auto"/>
        </w:rPr>
      </w:pPr>
    </w:p>
    <w:p>
      <w:pPr>
        <w:ind w:left="220" w:right="379" w:firstLine="771"/>
        <w:spacing w:after="0" w:line="258"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Additional Investors</w:t>
      </w:r>
      <w:r>
        <w:rPr>
          <w:rFonts w:ascii="Times New Roman" w:cs="Times New Roman" w:eastAsia="Times New Roman" w:hAnsi="Times New Roman"/>
          <w:sz w:val="14"/>
          <w:szCs w:val="14"/>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433" w:name="page434"/>
    <w:bookmarkEnd w:id="433"/>
    <w:p>
      <w:pPr>
        <w:ind w:left="220" w:right="339" w:firstLine="77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4.11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foregoing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46" w:lineRule="exact"/>
        <w:rPr>
          <w:sz w:val="20"/>
          <w:szCs w:val="20"/>
          <w:color w:val="auto"/>
        </w:rPr>
      </w:pPr>
    </w:p>
    <w:p>
      <w:pPr>
        <w:ind w:left="220" w:right="259" w:firstLine="1113"/>
        <w:spacing w:after="0" w:line="253" w:lineRule="auto"/>
        <w:rPr>
          <w:sz w:val="20"/>
          <w:szCs w:val="20"/>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TO THE FULLEST EXTENT PERMITTED BY APPLICABLE LAW, EACH PARTY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TO THE FULLEST EXTENT PERMITTED BY APPLICABLE LAW FOLLOWING CONSULTATION WITH LEGAL COUNSEL.</w:t>
      </w:r>
    </w:p>
    <w:p>
      <w:pPr>
        <w:spacing w:after="0" w:line="150" w:lineRule="exact"/>
        <w:rPr>
          <w:sz w:val="20"/>
          <w:szCs w:val="20"/>
          <w:color w:val="auto"/>
        </w:rPr>
      </w:pPr>
    </w:p>
    <w:p>
      <w:pPr>
        <w:ind w:left="220" w:right="639" w:firstLine="771"/>
        <w:spacing w:after="0" w:line="282"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Effect on Prior Agreement</w:t>
      </w:r>
      <w:r>
        <w:rPr>
          <w:rFonts w:ascii="Times New Roman" w:cs="Times New Roman" w:eastAsia="Times New Roman" w:hAnsi="Times New Roman"/>
          <w:sz w:val="14"/>
          <w:szCs w:val="14"/>
          <w:color w:val="auto"/>
        </w:rPr>
        <w:t>. Upon the effectiveness of this Agreement, the Prior Agreement shall be amended and restated in its entirety by this Agreement and shall be of no further force or effect.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434" w:name="page435"/>
    <w:bookmarkEnd w:id="43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Oguzhan Atay</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Oguzhan Atay</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35" w:name="page436"/>
    <w:bookmarkEnd w:id="435"/>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CIVILIZATION VENTURES II,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Civilization Ventures II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Shahram Seyedin-Noor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Shahram Seyedin-Noor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CIVILIZATION VENTURES OPPORTUNITY FUND,</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L.P.</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Civilization Ventures II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Shahram Seyedin-Noor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Shahram Seyedin-Noor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36" w:name="page437"/>
    <w:bookmarkEnd w:id="43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CIVILIZATION VENTURES B21,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Civilization Ventures II,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Shahram Seyedin-Noor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Shahram Seyedin-Noor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CIVILIZATION VENTURES,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Civilization Ventures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Shahram Seyedin Noor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Shahram Seyedin-Noor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37" w:name="page438"/>
    <w:bookmarkEnd w:id="43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CIVILIZATION VENTURES GALATA,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Civilization Ventures II,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Shahram Seyedin-Noor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Shahram Seyedin-Noor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38" w:name="page439"/>
    <w:bookmarkEnd w:id="43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HUMMINGBIRD DRAGONS COMMV</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Represented by: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Hummingbird Ventures Management BV</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Permanently represented by:</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Barend Van den Brande</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Barend Van den Brande</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Barend Van den Brande</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Authorized Signatory</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39" w:name="page440"/>
    <w:bookmarkEnd w:id="43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HB&amp;Q NV (HB&amp;Q COMPARTMENT III)</w:t>
      </w:r>
    </w:p>
    <w:p>
      <w:pPr>
        <w:spacing w:after="0" w:line="177" w:lineRule="exact"/>
        <w:rPr>
          <w:sz w:val="20"/>
          <w:szCs w:val="20"/>
          <w:color w:val="auto"/>
        </w:rPr>
      </w:pPr>
    </w:p>
    <w:p>
      <w:pPr>
        <w:ind w:left="4440"/>
        <w:spacing w:after="0"/>
        <w:tabs>
          <w:tab w:leader="none" w:pos="4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Barend Van den Brande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13970</wp:posOffset>
            </wp:positionV>
            <wp:extent cx="251841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18410" cy="635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Name: MTE Comm.VA, permanently represented by Barend Van den Brande</w:t>
      </w:r>
    </w:p>
    <w:p>
      <w:pPr>
        <w:spacing w:after="0" w:line="17" w:lineRule="exact"/>
        <w:rPr>
          <w:sz w:val="20"/>
          <w:szCs w:val="20"/>
          <w:color w:val="auto"/>
        </w:rPr>
      </w:pPr>
    </w:p>
    <w:p>
      <w:pPr>
        <w:ind w:left="4440"/>
        <w:spacing w:after="0"/>
        <w:tabs>
          <w:tab w:leader="none" w:pos="48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Director</w:t>
      </w:r>
    </w:p>
    <w:p>
      <w:pPr>
        <w:spacing w:after="0" w:line="160" w:lineRule="exact"/>
        <w:rPr>
          <w:sz w:val="20"/>
          <w:szCs w:val="20"/>
          <w:color w:val="auto"/>
        </w:rPr>
      </w:pPr>
    </w:p>
    <w:p>
      <w:pPr>
        <w:ind w:left="4440"/>
        <w:spacing w:after="0"/>
        <w:tabs>
          <w:tab w:leader="none" w:pos="4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Lukas Decoster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13970</wp:posOffset>
            </wp:positionV>
            <wp:extent cx="2518410"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18410" cy="6350"/>
                    </a:xfrm>
                    <a:prstGeom prst="rect">
                      <a:avLst/>
                    </a:prstGeom>
                    <a:noFill/>
                  </pic:spPr>
                </pic:pic>
              </a:graphicData>
            </a:graphic>
          </wp:anchor>
        </w:drawing>
      </w:r>
    </w:p>
    <w:p>
      <w:pPr>
        <w:spacing w:after="0" w:line="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Name: Hummingbird GP NV, permanently represented by Lukas Decoster</w:t>
      </w:r>
    </w:p>
    <w:p>
      <w:pPr>
        <w:spacing w:after="0" w:line="17" w:lineRule="exact"/>
        <w:rPr>
          <w:sz w:val="20"/>
          <w:szCs w:val="20"/>
          <w:color w:val="auto"/>
        </w:rPr>
      </w:pPr>
    </w:p>
    <w:tbl>
      <w:tblPr>
        <w:tblLayout w:type="fixed"/>
        <w:tblInd w:w="444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32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HUMMINGBIRD COLLECTIVE COMMV</w:t>
            </w:r>
          </w:p>
        </w:tc>
      </w:tr>
      <w:tr>
        <w:trPr>
          <w:trHeight w:val="33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Barend Van den Brande</w:t>
            </w:r>
          </w:p>
        </w:tc>
      </w:tr>
      <w:tr>
        <w:trPr>
          <w:trHeight w:val="144"/>
        </w:trPr>
        <w:tc>
          <w:tcPr>
            <w:tcW w:w="3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w w:val="96"/>
              </w:rPr>
              <w:t>Name:</w:t>
            </w:r>
          </w:p>
        </w:tc>
        <w:tc>
          <w:tcPr>
            <w:tcW w:w="398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Barend Van den Brande</w:t>
            </w:r>
          </w:p>
        </w:tc>
      </w:tr>
      <w:tr>
        <w:trPr>
          <w:trHeight w:val="183"/>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Director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0" w:name="page441"/>
    <w:bookmarkEnd w:id="440"/>
    <w:p>
      <w:pPr>
        <w:jc w:val="center"/>
        <w:ind w:right="205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have executed this Agreement as of the date first above written.</w:t>
      </w:r>
    </w:p>
    <w:p>
      <w:pPr>
        <w:spacing w:after="0" w:line="2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HUMMINGBIRD VENTURES III NV</w:t>
      </w:r>
    </w:p>
    <w:p>
      <w:pPr>
        <w:spacing w:after="0" w:line="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Represented by Hummingbird GP NV</w:t>
      </w:r>
    </w:p>
    <w:p>
      <w:pPr>
        <w:spacing w:after="0" w:line="160" w:lineRule="exact"/>
        <w:rPr>
          <w:sz w:val="20"/>
          <w:szCs w:val="20"/>
          <w:color w:val="auto"/>
        </w:rPr>
      </w:pPr>
    </w:p>
    <w:tbl>
      <w:tblPr>
        <w:tblLayout w:type="fixed"/>
        <w:tblInd w:w="306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Barend Van den Brande</w:t>
            </w:r>
          </w:p>
        </w:tc>
      </w:tr>
      <w:tr>
        <w:trPr>
          <w:trHeight w:val="144"/>
        </w:trPr>
        <w:tc>
          <w:tcPr>
            <w:tcW w:w="3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w w:val="96"/>
              </w:rPr>
              <w:t>Name:</w:t>
            </w:r>
          </w:p>
        </w:tc>
        <w:tc>
          <w:tcPr>
            <w:tcW w:w="536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Barend Van den Brande</w:t>
            </w:r>
          </w:p>
        </w:tc>
      </w:tr>
      <w:tr>
        <w:trPr>
          <w:trHeight w:val="183"/>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Representative of the Statutory Director</w:t>
            </w:r>
          </w:p>
        </w:tc>
      </w:tr>
      <w:tr>
        <w:trPr>
          <w:trHeight w:val="336"/>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HUMMINGBIRD OPPORTUNITY FUND II COMMV</w:t>
            </w:r>
          </w:p>
        </w:tc>
      </w:tr>
      <w:tr>
        <w:trPr>
          <w:trHeight w:val="33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Barend Van den Brande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3391535"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91535" cy="6350"/>
                    </a:xfrm>
                    <a:prstGeom prst="rect">
                      <a:avLst/>
                    </a:prstGeom>
                    <a:noFill/>
                  </pic:spPr>
                </pic:pic>
              </a:graphicData>
            </a:graphic>
          </wp:anchor>
        </w:drawing>
      </w:r>
    </w:p>
    <w:p>
      <w:pPr>
        <w:ind w:left="3060"/>
        <w:spacing w:after="0"/>
        <w:rPr>
          <w:sz w:val="20"/>
          <w:szCs w:val="20"/>
          <w:color w:val="auto"/>
        </w:rPr>
      </w:pPr>
      <w:r>
        <w:rPr>
          <w:rFonts w:ascii="Times New Roman" w:cs="Times New Roman" w:eastAsia="Times New Roman" w:hAnsi="Times New Roman"/>
          <w:sz w:val="13"/>
          <w:szCs w:val="13"/>
          <w:color w:val="auto"/>
        </w:rPr>
        <w:t>Name: Hummingbird Ventures Management NV, permanently represented by Barend Van den Brande</w:t>
      </w:r>
    </w:p>
    <w:p>
      <w:pPr>
        <w:spacing w:after="0" w:line="29" w:lineRule="exact"/>
        <w:rPr>
          <w:sz w:val="20"/>
          <w:szCs w:val="20"/>
          <w:color w:val="auto"/>
        </w:rPr>
      </w:pPr>
    </w:p>
    <w:p>
      <w:pPr>
        <w:ind w:left="3060"/>
        <w:spacing w:after="0"/>
        <w:tabs>
          <w:tab w:leader="none" w:pos="3460" w:val="left"/>
        </w:tabs>
        <w:rPr>
          <w:sz w:val="20"/>
          <w:szCs w:val="20"/>
          <w:color w:val="auto"/>
        </w:rPr>
      </w:pPr>
      <w:r>
        <w:rPr>
          <w:rFonts w:ascii="Times New Roman" w:cs="Times New Roman" w:eastAsia="Times New Roman" w:hAnsi="Times New Roman"/>
          <w:sz w:val="14"/>
          <w:szCs w:val="14"/>
          <w:color w:val="auto"/>
        </w:rPr>
        <w:t>Title:</w:t>
        <w:tab/>
        <w:t>Manager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1" w:name="page442"/>
    <w:bookmarkEnd w:id="441"/>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JITSEN CHANG MD PC</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Jitsen Chang</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Jitsen Chang</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2" w:name="page443"/>
    <w:bookmarkEnd w:id="44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LIBERTUS CAPITAL I</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Pearl Pritchard</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Pearl Pritchard</w:t>
            </w:r>
          </w:p>
        </w:tc>
      </w:tr>
      <w:tr>
        <w:trPr>
          <w:trHeight w:val="16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 of Libertus Capital for and on behalf of</w:t>
            </w:r>
          </w:p>
        </w:tc>
      </w:tr>
      <w:tr>
        <w:trPr>
          <w:trHeight w:val="183"/>
        </w:trPr>
        <w:tc>
          <w:tcPr>
            <w:tcW w:w="4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Libertus Capital I</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3" w:name="page444"/>
    <w:bookmarkEnd w:id="44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LIBERTUS CAPITAL I (HV)</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Libertus Capital (general partner acting on behalf of</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Libertus Capital I (HV))</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Pearl Pritchard</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Pearl Pritchard</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4" w:name="page445"/>
    <w:bookmarkEnd w:id="44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LIBERTUS CAPITAL II</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Libertus Capital (general partner acting on behalf of</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Libertus Capital II)</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Pearl Pritchard</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Pearl Pritchard</w:t>
            </w:r>
          </w:p>
        </w:tc>
      </w:tr>
      <w:tr>
        <w:trPr>
          <w:trHeight w:val="16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 of Libertus Capital, for and on behalf of</w:t>
            </w:r>
          </w:p>
        </w:tc>
      </w:tr>
      <w:tr>
        <w:trPr>
          <w:trHeight w:val="183"/>
        </w:trPr>
        <w:tc>
          <w:tcPr>
            <w:tcW w:w="4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Libertus Capital II</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5" w:name="page446"/>
    <w:bookmarkEnd w:id="445"/>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BAILLIE GIFFORD US GROWTH TRUST PLC</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Executed for and on behalf of Baillie Gifford US Growth</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Trust plc, acting through its agent, Baillie Gifford &amp; Co</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Peter Singlehurst</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Peter Singlehurst</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 Baillie Gifford &amp; Co, as agent</w:t>
            </w:r>
          </w:p>
        </w:tc>
      </w:tr>
    </w:tbl>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BAILLIE GIFFORD PRIVATE</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COMPANIES FUND II L.P.</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Executed for and on behalf of Baillie Gifford Private</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Companies Fund II L.P., by Baillie Gifford Overseas</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Limited, acting as agent for Baillie Gifford International</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LLC, manager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Peter Singlehurst</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Peter Singlehurst</w:t>
            </w:r>
          </w:p>
        </w:tc>
      </w:tr>
      <w:tr>
        <w:trPr>
          <w:trHeight w:val="16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Authorized Signatory, Baillie Gifford Overseas</w:t>
            </w:r>
          </w:p>
        </w:tc>
      </w:tr>
      <w:tr>
        <w:trPr>
          <w:trHeight w:val="183"/>
        </w:trPr>
        <w:tc>
          <w:tcPr>
            <w:tcW w:w="4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Limited, as agent</w:t>
            </w:r>
          </w:p>
        </w:tc>
      </w:tr>
    </w:tbl>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EDINBURGH WORLDWIDE</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INVESTMENT TRUST PLC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Executed for and on behalf of Edinburgh Worldwide</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Investment Trust Plc, acting through its agent, Ballie</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Gifford &amp; Co.</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Peter Singlehurst</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Peter Singlehurst</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 Baillie Gifford &amp; Co, as agent</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6" w:name="page447"/>
    <w:bookmarkEnd w:id="44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ANDREW W. LO AND NANCY N. LO AS JTWROS</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Andrew W. Lo</w:t>
            </w:r>
          </w:p>
        </w:tc>
      </w:tr>
      <w:tr>
        <w:trPr>
          <w:trHeight w:val="1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Andrew W. Lo</w:t>
            </w:r>
          </w:p>
        </w:tc>
      </w:tr>
      <w:tr>
        <w:trPr>
          <w:trHeight w:val="32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Nancy N. Lo</w:t>
            </w:r>
          </w:p>
        </w:tc>
      </w:tr>
      <w:tr>
        <w:trPr>
          <w:trHeight w:val="1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Nancy N. Lo</w:t>
            </w:r>
          </w:p>
        </w:tc>
      </w:tr>
    </w:tbl>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7" w:name="page448"/>
    <w:bookmarkEnd w:id="44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2019 Direct Growth Equity Fund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2019 Direct Management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ASP 2019 Direct Management LLC its General Partner</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2020 Direct Growth Equity Fund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2020 Direct Management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ASP 2020 Direct Management LLC its General Partner</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8" w:name="page449"/>
    <w:bookmarkEnd w:id="44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2021 Direct Growth Equity Fund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2021 Direct Management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ASP 2021 Direct Management LLC its General Partner</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2022 Direct Growth Equity Fund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2022 Direct Management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ASP 2022 Direct Management LLC its General Partner</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49" w:name="page450"/>
    <w:bookmarkEnd w:id="44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Growth Equity Fund VII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VG Management VII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VG Management VII LLC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Adams Street Global Private Markets Fund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GPM GP Management LP,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ASP GPM GP Management LLC, its General Partner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Adams Street Partners, LLC, its Managing Member</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Thomas S. Bremner</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0" w:name="page451"/>
    <w:bookmarkEnd w:id="450"/>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FCPR - GF Lumyna Private Equity World Fund</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Fundrock Management Company S.A its management</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company represented by</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Lumyna Investments Limited, its Delegataire Financier,</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itself represented by</w:t>
      </w:r>
    </w:p>
    <w:p>
      <w:pPr>
        <w:spacing w:after="0" w:line="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4"/>
          <w:szCs w:val="14"/>
          <w:color w:val="auto"/>
        </w:rPr>
        <w:t>Adams Street Partners, LLC, its Sous-Delgataire Financier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Thomas S. Bremner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Thomas S. Bremner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1" w:name="page452"/>
    <w:bookmarkEnd w:id="451"/>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CHIU HOLDINGS LTD.</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Tiffany Chiu</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Tiffany Chiu</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2" w:name="page453"/>
    <w:bookmarkEnd w:id="45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Fund II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Fifty Years II GP LLC, its General Partner</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Fund 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Fifty Years GP, LLC, its General Partner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Seth Bannon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Seth Bannon</w:t>
      </w:r>
    </w:p>
    <w:p>
      <w:pPr>
        <w:spacing w:after="0" w:line="1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Managing Member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3" w:name="page454"/>
    <w:bookmarkEnd w:id="45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DEEP,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Fifty Years Deep,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Seth Bannon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Seth Bannon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54" w:name="page455"/>
    <w:bookmarkEnd w:id="45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BILLIONTOONE, A SERIES OF</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SPECIAL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Assure Fund Management II, its General Partner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Kirk Carson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Kirk Carson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Manager of the Fund’s Manager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5" w:name="page456"/>
    <w:bookmarkEnd w:id="455"/>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FOUR RIVERS OPPORTUNITY FUND, LP</w:t>
      </w:r>
    </w:p>
    <w:p>
      <w:pPr>
        <w:spacing w:after="0" w:line="18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FSL CAPITAL V, LLC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Farouk Ladha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Farouk Ladha, Managing Member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56" w:name="page457"/>
    <w:bookmarkEnd w:id="45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FOUR RIVERS PARTNERS IV,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FSL CAPITAL IV, LLC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Farouk Ladha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Farouk Ladha, Managing Member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7" w:name="page458"/>
    <w:bookmarkEnd w:id="45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NEOTRIBE VENTURES 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For itself and as nominee for</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NeoTribe Associates I, L.P.</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Krishna Kolluri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Krishna Kolluri</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Managing Member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58" w:name="page459"/>
    <w:bookmarkEnd w:id="45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written. </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NEOTRIBE IGNITE FUND 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Neotribe Ignite Partners I,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Krishna Kolluri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Krishna Kolluri</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Managing Member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59" w:name="page460"/>
    <w:bookmarkEnd w:id="45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NEOTRIBE SPV I BTO, LLC</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Neotribe Partners SPV I BTO,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Managing Member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Krishna Kolluri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Krishna Kolluri</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Managing Member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0" w:name="page461"/>
    <w:bookmarkEnd w:id="460"/>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NG-CUMMINGS HOLDINGS LTD.</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Clara Ng-Cummings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Clara Ng-Cummings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61" w:name="page462"/>
    <w:bookmarkEnd w:id="461"/>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NORWEST VENTURE PARTNERS XV, LP</w:t>
      </w:r>
    </w:p>
    <w:p>
      <w:pPr>
        <w:spacing w:after="0" w:line="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Genesis VC Partners XV,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NVP Associates, LLC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Managing Member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Casper de Clercq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Casper de Clercq</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Partner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62" w:name="page463"/>
    <w:bookmarkEnd w:id="46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PACIFIC 8 VENTURES FUND I, L.P.</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Pacific 8 Ventures GP LLC</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Jack Liang Chien-Ko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Jack Liang Chien-Ko</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PACIFIC 8 VENTURES FUND II, L.P.</w:t>
      </w:r>
    </w:p>
    <w:p>
      <w:pPr>
        <w:spacing w:after="0" w:line="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Pacific 8 Ventures GP II LTD.</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Jack Liang Chien-Ko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Jack Liang Chien-Ko</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3" w:name="page464"/>
    <w:bookmarkEnd w:id="46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ALEXANDER “SANDY” KORY</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Alexander Kory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13970</wp:posOffset>
            </wp:positionV>
            <wp:extent cx="1991995"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64" w:name="page465"/>
    <w:bookmarkEnd w:id="46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written. </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TIME BIOVENTURES I, LP</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 Wallach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 Wallach</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General Partner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5" w:name="page466"/>
    <w:bookmarkEnd w:id="465"/>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Wipro Enterprises Private Limited</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Kumar Ayashkanta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Kumar Ayashkanta</w:t>
      </w:r>
    </w:p>
    <w:p>
      <w:pPr>
        <w:spacing w:after="0" w:line="22" w:lineRule="exact"/>
        <w:rPr>
          <w:sz w:val="20"/>
          <w:szCs w:val="20"/>
          <w:color w:val="auto"/>
        </w:rPr>
      </w:pPr>
    </w:p>
    <w:p>
      <w:pPr>
        <w:jc w:val="both"/>
        <w:ind w:left="5360"/>
        <w:spacing w:after="0"/>
        <w:tabs>
          <w:tab w:leader="none" w:pos="6200" w:val="left"/>
        </w:tabs>
        <w:rPr>
          <w:sz w:val="20"/>
          <w:szCs w:val="20"/>
          <w:color w:val="auto"/>
        </w:rPr>
      </w:pPr>
      <w:r>
        <w:rPr>
          <w:rFonts w:ascii="Times New Roman" w:cs="Times New Roman" w:eastAsia="Times New Roman" w:hAnsi="Times New Roman"/>
          <w:sz w:val="14"/>
          <w:szCs w:val="14"/>
          <w:color w:val="auto"/>
        </w:rPr>
        <w:t>Designation:</w:t>
        <w:tab/>
        <w:t>Chief Investment Officer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66" w:name="page467"/>
    <w:bookmarkEnd w:id="46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written. </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NEUBERGER BERMAN PRINCIPAL STRATEGIES</w:t>
      </w:r>
    </w:p>
    <w:p>
      <w:pPr>
        <w:spacing w:after="0" w:line="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PRIMA FUND LP</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Neuberger Berman Investment Advisers LLC, its</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investment manager.</w:t>
      </w:r>
    </w:p>
    <w:p>
      <w:pPr>
        <w:spacing w:after="0" w:line="160"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Gabe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Gabe Cahill</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Managing Director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7" w:name="page468"/>
    <w:bookmarkEnd w:id="46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Emerald Horizon Holdings Limited</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Hanhan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Hanhan Xu</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8" w:name="page469"/>
    <w:bookmarkEnd w:id="46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Tarlton Properties, Inc.</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John C. Tarlton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John C. Tarlton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69" w:name="page470"/>
    <w:bookmarkEnd w:id="46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John C. Tarlton Heritage Trust</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John C. Tarlton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John C. Tarlton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0" w:name="page471"/>
    <w:bookmarkEnd w:id="470"/>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Jeff Uittenbogaard</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Jeff Uittenbogaard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1" w:name="page472"/>
    <w:bookmarkEnd w:id="471"/>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Krietemeyer Family Trust UTD 7/16/20</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Ronald W. Krietemeyer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Ronald W. Krietemeyer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2" w:name="page473"/>
    <w:bookmarkEnd w:id="47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David R. Johnson</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3" w:name="page474"/>
    <w:bookmarkEnd w:id="473"/>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BARRON PHILLIPS JETER</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Barron Jeter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4" w:name="page475"/>
    <w:bookmarkEnd w:id="47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David L. Tarlton Heritage Trust</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David L. Tarlton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David L. Tarlton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5" w:name="page476"/>
    <w:bookmarkEnd w:id="475"/>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Fifty Years Northstar, LLC</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By: Fifty Years Deep GP, LLC, its Manager</w:t>
      </w:r>
    </w:p>
    <w:p>
      <w:pPr>
        <w:spacing w:after="0" w:line="160"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Seth Bannon</w:t>
            </w:r>
          </w:p>
        </w:tc>
      </w:tr>
      <w:tr>
        <w:trPr>
          <w:trHeight w:val="144"/>
        </w:trPr>
        <w:tc>
          <w:tcPr>
            <w:tcW w:w="4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Seth Bannon</w:t>
            </w:r>
          </w:p>
        </w:tc>
      </w:tr>
      <w:tr>
        <w:trPr>
          <w:trHeight w:val="183"/>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Member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6" w:name="page477"/>
    <w:bookmarkEnd w:id="47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 K Kurien</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T K Kurien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7" w:name="page478"/>
    <w:bookmarkEnd w:id="47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Sandesh Kaveripatnam</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Sandesh Kaveripatnam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8" w:name="page479"/>
    <w:bookmarkEnd w:id="47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Akshay Rai</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Akshay Rai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79" w:name="page480"/>
    <w:bookmarkEnd w:id="47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Directed Trust Company FBO Eric Tong Roth IRA</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Heidi Faulk</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Heidi Faulk</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Authorized Signor</w:t>
            </w:r>
          </w:p>
        </w:tc>
      </w:tr>
    </w:tbl>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Read and Approved by:</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Eric Tong</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Account owner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80" w:name="page481"/>
    <w:bookmarkEnd w:id="480"/>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Eric Aisi Tong</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Eric Aisi Tong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81" w:name="page482"/>
    <w:bookmarkEnd w:id="481"/>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Andrew Chang</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Andrew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82" w:name="page483"/>
    <w:bookmarkEnd w:id="48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Vedant Agrawal</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Vedant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9" w:right="1440" w:bottom="1440" w:gutter="0" w:footer="0" w:header="0"/>
        </w:sectPr>
      </w:pPr>
    </w:p>
    <w:bookmarkStart w:id="483" w:name="page484"/>
    <w:bookmarkEnd w:id="48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THOMAS ELI TURLINGTON III</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Thomas Eli Turlington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84" w:name="page485"/>
    <w:bookmarkEnd w:id="48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GOPAE TURQUOISE STRATEGIES PTE. LTD.</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Tan Keng Chye</w:t>
            </w:r>
          </w:p>
        </w:tc>
      </w:tr>
      <w:tr>
        <w:trPr>
          <w:trHeight w:val="144"/>
        </w:trPr>
        <w:tc>
          <w:tcPr>
            <w:tcW w:w="4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Tan Keng Chye</w:t>
            </w:r>
          </w:p>
        </w:tc>
      </w:tr>
      <w:tr>
        <w:trPr>
          <w:trHeight w:val="183"/>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485" w:name="page486"/>
    <w:bookmarkEnd w:id="4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COMMON HOLDERS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9" w:right="1440" w:bottom="1440" w:gutter="0" w:footer="0" w:header="0"/>
        </w:sectPr>
      </w:pPr>
    </w:p>
    <w:bookmarkStart w:id="486" w:name="page487"/>
    <w:bookmarkEnd w:id="4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B</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SCHEDULE OF INVESTORS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38" w:right="1440" w:bottom="1440" w:gutter="0" w:footer="0" w:header="0"/>
        </w:sectPr>
      </w:pPr>
    </w:p>
    <w:bookmarkStart w:id="487" w:name="page488"/>
    <w:bookmarkEnd w:id="487"/>
    <w:p>
      <w:pPr>
        <w:ind w:left="8140"/>
        <w:spacing w:after="0"/>
        <w:rPr>
          <w:sz w:val="20"/>
          <w:szCs w:val="20"/>
          <w:color w:val="auto"/>
        </w:rPr>
      </w:pPr>
      <w:r>
        <w:rPr>
          <w:rFonts w:ascii="Times New Roman" w:cs="Times New Roman" w:eastAsia="Times New Roman" w:hAnsi="Times New Roman"/>
          <w:sz w:val="13"/>
          <w:szCs w:val="13"/>
          <w:b w:val="1"/>
          <w:bCs w:val="1"/>
          <w:color w:val="auto"/>
        </w:rPr>
        <w:t>Exhibit 4.2</w:t>
      </w:r>
    </w:p>
    <w:p>
      <w:pPr>
        <w:spacing w:after="0" w:line="188" w:lineRule="exact"/>
        <w:rPr>
          <w:sz w:val="20"/>
          <w:szCs w:val="20"/>
          <w:color w:val="auto"/>
        </w:rPr>
      </w:pPr>
    </w:p>
    <w:p>
      <w:pPr>
        <w:ind w:left="220" w:right="419"/>
        <w:spacing w:after="0" w:line="258" w:lineRule="auto"/>
        <w:rPr>
          <w:sz w:val="20"/>
          <w:szCs w:val="20"/>
          <w:color w:val="auto"/>
        </w:rPr>
      </w:pPr>
      <w:r>
        <w:rPr>
          <w:rFonts w:ascii="Times New Roman" w:cs="Times New Roman" w:eastAsia="Times New Roman" w:hAnsi="Times New Roman"/>
          <w:sz w:val="14"/>
          <w:szCs w:val="14"/>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WARRANT TO PURCHASE STOCK</w:t>
      </w:r>
    </w:p>
    <w:p>
      <w:pPr>
        <w:sectPr>
          <w:pgSz w:w="11900" w:h="16838" w:orient="portrait"/>
          <w:cols w:equalWidth="0" w:num="1">
            <w:col w:w="9019"/>
          </w:cols>
          <w:pgMar w:left="1440" w:top="123" w:right="1440" w:bottom="1440" w:gutter="0" w:footer="0" w:header="0"/>
        </w:sectPr>
      </w:pPr>
    </w:p>
    <w:p>
      <w:pPr>
        <w:spacing w:after="0" w:line="1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Corporation:</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Number of Shares:</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Class of Stock:</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Warrant Price:</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Issue Date:</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Expiration Date: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BILLIONTOONE, INC., a Delaware corporation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9,660 or 15,456 (Subject to Section 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A-6 Preferred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$2.5879 per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16,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16, 2030 (Subject to Section 5.1)</w:t>
      </w:r>
    </w:p>
    <w:p>
      <w:pPr>
        <w:spacing w:after="0" w:line="160" w:lineRule="exact"/>
        <w:rPr>
          <w:sz w:val="20"/>
          <w:szCs w:val="20"/>
          <w:color w:val="auto"/>
        </w:rPr>
      </w:pPr>
    </w:p>
    <w:p>
      <w:pPr>
        <w:sectPr>
          <w:pgSz w:w="11900" w:h="16838" w:orient="portrait"/>
          <w:cols w:equalWidth="0" w:num="2">
            <w:col w:w="2360" w:space="720"/>
            <w:col w:w="5939"/>
          </w:cols>
          <w:pgMar w:left="1440" w:top="123" w:right="1440" w:bottom="1440" w:gutter="0" w:footer="0" w:header="0"/>
          <w:type w:val="continuous"/>
        </w:sect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THIS WARRANT TO PURCHASE STOCK (THIS “WARRANT”) CERTIFIES THAT, for good and valuable consideration, the receipt of which is hereby acknowledged, COMERICA BANK, a Texas banking association, or its assignee (“Holder”), is entitled to purchase the number of fully paid and nonassessable shares of the class of securities (the “Shares”) of BILLIONTOONE, INC. (the “Company”) at the Warrant Price, all as set forth above and as adjusted pursuant to the terms of this Warrant, subject to the provisions and upon the terms and conditions set forth in this Warrant.</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EXERCISE</w:t>
      </w:r>
    </w:p>
    <w:p>
      <w:pPr>
        <w:spacing w:after="0" w:line="160"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Holder may exercise this Warrant from time to time for all or any part of the unexercised Shares by delivering a duly executed Notice of Exercise in substantially the form attached as Appendix I to the principal office of the Company (or such other appropriate location as Holder is so instructed by the Company). Holder shall also deliver to the Company a check, wire transfer (to an account designated by the Company) or other form of cash payment acceptable to the Company for the aggregate Warrant Price for the Shares being purchased. Notwithstanding any other provision hereof, if an exercise of any portion of this Warrant is to be made in connection with a public offering or an Acquisition (as defined below), such exercise may at the election of the Holder be conditioned upon the consummation of such transaction, in which case such exercise shall not be deemed to be effective until immediately prior to the closing of such transaction.</w:t>
      </w:r>
    </w:p>
    <w:p>
      <w:pPr>
        <w:spacing w:after="0" w:line="146"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Delivery of Certificate and New Warrant</w:t>
      </w:r>
      <w:r>
        <w:rPr>
          <w:rFonts w:ascii="Times New Roman" w:cs="Times New Roman" w:eastAsia="Times New Roman" w:hAnsi="Times New Roman"/>
          <w:sz w:val="14"/>
          <w:szCs w:val="14"/>
          <w:color w:val="auto"/>
        </w:rPr>
        <w:t>. Within thirty (30) days after Holder exercises this Warrant and the Company receives payment of the aggregate Warrant Price, the Company shall deliver to Holder certificates for the Shares acquired and, if this Warrant has not been fully exercised and has not expired, a new warrant representing the Shares not so acquired.</w:t>
      </w:r>
    </w:p>
    <w:p>
      <w:pPr>
        <w:spacing w:after="0" w:line="136" w:lineRule="exact"/>
        <w:rPr>
          <w:sz w:val="20"/>
          <w:szCs w:val="20"/>
          <w:color w:val="auto"/>
        </w:rPr>
      </w:pPr>
    </w:p>
    <w:p>
      <w:pPr>
        <w:jc w:val="both"/>
        <w:ind w:left="220" w:right="659" w:firstLine="342"/>
        <w:spacing w:after="0" w:line="266"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Replacement of Warrants</w:t>
      </w:r>
      <w:r>
        <w:rPr>
          <w:rFonts w:ascii="Times New Roman" w:cs="Times New Roman" w:eastAsia="Times New Roman" w:hAnsi="Times New Roman"/>
          <w:sz w:val="14"/>
          <w:szCs w:val="14"/>
          <w:color w:val="auto"/>
        </w:rPr>
        <w:t>. In the case of loss, theft or destruction of this Warrant, upon delivery of an indemnity agreement reasonably satisfactory in form and amount to the Company or, in the case of mutilation, upon surrender and cancellation of this Warrant, the Company at its expense shall execute and deliver, in lieu of this Warrant, a new warrant of like tenor.</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Acquisition of the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1.4.1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60" w:right="239" w:firstLine="334"/>
        <w:spacing w:after="0" w:line="258" w:lineRule="auto"/>
        <w:tabs>
          <w:tab w:leader="none" w:pos="1079"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For the purpose of this Warrant, “Acquisition” means (a) any sale, lease, license, or other disposition of all or substantially all of the assets (including intellectual property) of the Company by means of any transaction or series of related transactions, or (b) any reorganization, consolidation, acquisition, merger, sale of the voting securities of the Company or any other transaction or series of related transactions where the holders of the Company’s securities before the transaction or series of related transactions beneficially own less than fifty percent (50%) of the outstanding voting securities of the surviving entity after the transaction or series of related transactions.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type w:val="continuous"/>
        </w:sectPr>
      </w:pPr>
    </w:p>
    <w:bookmarkStart w:id="488" w:name="page489"/>
    <w:bookmarkEnd w:id="488"/>
    <w:p>
      <w:pPr>
        <w:ind w:left="560" w:right="299" w:firstLine="334"/>
        <w:spacing w:after="0" w:line="256" w:lineRule="auto"/>
        <w:tabs>
          <w:tab w:leader="none" w:pos="1087"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Cash/Public Stock Acquisition</w:t>
      </w:r>
      <w:r>
        <w:rPr>
          <w:rFonts w:ascii="Times New Roman" w:cs="Times New Roman" w:eastAsia="Times New Roman" w:hAnsi="Times New Roman"/>
          <w:sz w:val="14"/>
          <w:szCs w:val="14"/>
          <w:color w:val="auto"/>
        </w:rPr>
        <w:t>.” For the purpose of this Warrant, “Cash/Public Stock Acquisition” means, an Acquisition where the consideration that the holders of the Shares are entitled to receive on account of the Shares consists entirely of cash and/or shares of common stock, interests or units that are publicly traded and listed on a national exchange and where the shares or other securities, if any, receivable by the Holder of this Warrant were the Holder to exercise this Warrant in full immediately prior to the closing of such Acquisition may be publicly re-sold by the Holder in their entirety within the three (3) months following such closing pursuant to Rule 144 or an effective registration statement under the Act.</w:t>
      </w:r>
    </w:p>
    <w:p>
      <w:pPr>
        <w:spacing w:after="0" w:line="145" w:lineRule="exact"/>
        <w:rPr>
          <w:sz w:val="20"/>
          <w:szCs w:val="20"/>
          <w:color w:val="auto"/>
        </w:rPr>
      </w:pPr>
    </w:p>
    <w:p>
      <w:pPr>
        <w:ind w:left="220" w:right="259" w:firstLine="771"/>
        <w:spacing w:after="0" w:line="261" w:lineRule="auto"/>
        <w:rPr>
          <w:sz w:val="20"/>
          <w:szCs w:val="20"/>
          <w:color w:val="auto"/>
        </w:rPr>
      </w:pPr>
      <w:r>
        <w:rPr>
          <w:rFonts w:ascii="Times New Roman" w:cs="Times New Roman" w:eastAsia="Times New Roman" w:hAnsi="Times New Roman"/>
          <w:sz w:val="14"/>
          <w:szCs w:val="14"/>
          <w:color w:val="auto"/>
        </w:rPr>
        <w:t xml:space="preserve">1.4.2 </w:t>
      </w:r>
      <w:r>
        <w:rPr>
          <w:rFonts w:ascii="Times New Roman" w:cs="Times New Roman" w:eastAsia="Times New Roman" w:hAnsi="Times New Roman"/>
          <w:sz w:val="14"/>
          <w:szCs w:val="14"/>
          <w:u w:val="single" w:color="auto"/>
          <w:color w:val="auto"/>
        </w:rPr>
        <w:t>Treatment of Warrant in the Event of an Acquisition</w:t>
      </w:r>
      <w:r>
        <w:rPr>
          <w:rFonts w:ascii="Times New Roman" w:cs="Times New Roman" w:eastAsia="Times New Roman" w:hAnsi="Times New Roman"/>
          <w:sz w:val="14"/>
          <w:szCs w:val="14"/>
          <w:color w:val="auto"/>
        </w:rPr>
        <w:t>. The Company shall give Holder written notice at least twenty (20) days prior to the closing of any proposed Acquisition. The Company will use commercially reasonable efforts to cause (i) the acquirer of the Company, (ii) successor or surviving entity or (iii) parent entity in an Acquisition (the “Acquirer”) to assume this Warrant as a part of an Acquisition other than a Cash/Public Stock Acquisition.</w:t>
      </w:r>
    </w:p>
    <w:p>
      <w:pPr>
        <w:spacing w:after="0" w:line="55" w:lineRule="exact"/>
        <w:rPr>
          <w:sz w:val="20"/>
          <w:szCs w:val="20"/>
          <w:color w:val="auto"/>
        </w:rPr>
      </w:pPr>
    </w:p>
    <w:p>
      <w:pPr>
        <w:ind w:left="560" w:right="259" w:firstLine="334"/>
        <w:spacing w:after="0" w:line="261" w:lineRule="auto"/>
        <w:tabs>
          <w:tab w:leader="none" w:pos="1079"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Acquirer assumes this Warrant, then this Warrant shall be exercisable for the same securities, cash, and property as would be payable for the Shares issuable upon exercise of the unexercised portion of this Warrant as if such Shares were outstanding on the record date for the Acquisition and subsequent closing of the Acquisition. The Warrant Price shall be adjusted accordingly, and the Warrant Price and number and class of Shares shall continue to be subject to adjustment from time to time in accordance with the provisions hereof.</w:t>
      </w:r>
    </w:p>
    <w:p>
      <w:pPr>
        <w:spacing w:after="0" w:line="55" w:lineRule="exact"/>
        <w:rPr>
          <w:rFonts w:ascii="Times New Roman" w:cs="Times New Roman" w:eastAsia="Times New Roman" w:hAnsi="Times New Roman"/>
          <w:sz w:val="14"/>
          <w:szCs w:val="14"/>
          <w:color w:val="auto"/>
        </w:rPr>
      </w:pPr>
    </w:p>
    <w:p>
      <w:pPr>
        <w:ind w:left="560" w:right="319" w:firstLine="334"/>
        <w:spacing w:after="0" w:line="254" w:lineRule="auto"/>
        <w:tabs>
          <w:tab w:leader="none" w:pos="1087"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Acquirer refuses to assume this Warrant in connection with an Acquisition other than a Cash/Public Stock Acquisition, the Company shall give Holder an additional written notice at least ten (10) days prior to the closing of the Acquisition of such fact. In such event, notwithstanding any other provision of this Warrant to the contrary, Holder may immediately exercise this Warrant in the manner specified in this Warrant with such exercise effective immediately prior to closing of the Acquisition. If Holder elects not to exercise this Warrant, then this Warrant will terminate immediately prior to the closing of the Acquisition. Notwithstanding any other provision of this Warrant to the contrary if the Acquirer docs not assume this Warrant in connection with such Acquisition, then effective as of the date of closing of such Acquisition, the Holder shall be deemed to have put this Warrant to the Company for a per Share amount in cash equal to the difference between the Acquisition consideration payable for one Share and the Warrant Price, such amount to be paid in connection with the closing of such Acquisition.</w:t>
      </w:r>
    </w:p>
    <w:p>
      <w:pPr>
        <w:spacing w:after="0" w:line="148" w:lineRule="exact"/>
        <w:rPr>
          <w:sz w:val="20"/>
          <w:szCs w:val="20"/>
          <w:color w:val="auto"/>
        </w:rPr>
      </w:pPr>
    </w:p>
    <w:p>
      <w:pPr>
        <w:jc w:val="both"/>
        <w:ind w:left="220" w:right="339" w:firstLine="342"/>
        <w:spacing w:after="0" w:line="280" w:lineRule="auto"/>
        <w:rPr>
          <w:sz w:val="20"/>
          <w:szCs w:val="20"/>
          <w:color w:val="auto"/>
        </w:rPr>
      </w:pPr>
      <w:r>
        <w:rPr>
          <w:rFonts w:ascii="Times New Roman" w:cs="Times New Roman" w:eastAsia="Times New Roman" w:hAnsi="Times New Roman"/>
          <w:sz w:val="13"/>
          <w:szCs w:val="13"/>
          <w:color w:val="auto"/>
        </w:rPr>
        <w:t xml:space="preserve">1.5 </w:t>
      </w:r>
      <w:r>
        <w:rPr>
          <w:rFonts w:ascii="Times New Roman" w:cs="Times New Roman" w:eastAsia="Times New Roman" w:hAnsi="Times New Roman"/>
          <w:sz w:val="13"/>
          <w:szCs w:val="13"/>
          <w:u w:val="single" w:color="auto"/>
          <w:color w:val="auto"/>
        </w:rPr>
        <w:t>Adjustment in Number of Shares Purchasable and Warrant Price</w:t>
      </w:r>
      <w:r>
        <w:rPr>
          <w:rFonts w:ascii="Times New Roman" w:cs="Times New Roman" w:eastAsia="Times New Roman" w:hAnsi="Times New Roman"/>
          <w:sz w:val="13"/>
          <w:szCs w:val="13"/>
          <w:color w:val="auto"/>
        </w:rPr>
        <w:t>. (a) Prior to the time that the aggregate amount of Growth Capital Advances (as defined in the Loan and Security Agreement dated as of the date hereof between Comerica Bank and the Company, as it may be amended, restated, modified, replaced or supplemented from time to time) funded exceeds $2,500,000, the “Number of Shares” set forth on page I of this Warrant shall be deemed to be 9,660. If the aggregate amount of Growth Capital Advances funded exceeds Two Million Five Hundred Thousand Dollars ($2,500,000), the “Number of Shares” set forth on page 1 of this Warrant shall automatically be increased to 15,456. Except as otherwise adjusted under the terms of this Warrant, the Warrant Price shall not change as a result of the increased number of Shares issuable under this Warrant pursuant to this Section 1.5.</w:t>
      </w:r>
    </w:p>
    <w:p>
      <w:pPr>
        <w:spacing w:after="0" w:line="45" w:lineRule="exact"/>
        <w:rPr>
          <w:sz w:val="20"/>
          <w:szCs w:val="20"/>
          <w:color w:val="auto"/>
        </w:rPr>
      </w:pPr>
    </w:p>
    <w:p>
      <w:pPr>
        <w:ind w:left="560" w:right="279" w:firstLine="334"/>
        <w:spacing w:after="0" w:line="280" w:lineRule="auto"/>
        <w:tabs>
          <w:tab w:leader="none" w:pos="1087"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in the first equity financing occurring after the Issue Date, the Company sells and issues to any investors preferred stock with a price per share lower than the Warrant Price set forth on the first page of this Warrant, the Warrant Price, shall, concurrent with the issuance of such shares of preferred stock, automatically be adjusted to equal the per share purchase price of such preferred stock, and the number of such shares subject to this Warrant shall be automatically adjusted to equal (i) (A) 9,660 if the aggregate amount of Growth Capital Advances funded docs not exceed $2,500,000 or (B) 15,45 6 if the aggregate amount of Growth Capital Advances funded exceeds $2,5 00,000, divided by (ii) such modified per share Warrant Price. Any adjustments pursuant to this Section 1.5 shall be in addition to any adjustments pursuant to Article 2 below.</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89" w:name="page490"/>
    <w:bookmarkEnd w:id="48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ADJUSTMENTS TO THE SHARES</w:t>
      </w:r>
    </w:p>
    <w:p>
      <w:pPr>
        <w:spacing w:after="0" w:line="160"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Stock Dividends, Splits, Etc</w:t>
      </w:r>
      <w:r>
        <w:rPr>
          <w:rFonts w:ascii="Times New Roman" w:cs="Times New Roman" w:eastAsia="Times New Roman" w:hAnsi="Times New Roman"/>
          <w:sz w:val="14"/>
          <w:szCs w:val="14"/>
          <w:color w:val="auto"/>
        </w:rPr>
        <w:t>. If the Company declares or pays a dividend on its common stock payable in common stock, or other securities, or subdivides the outstanding common stock into a greater amount of common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39" w:lineRule="exact"/>
        <w:rPr>
          <w:sz w:val="20"/>
          <w:szCs w:val="20"/>
          <w:color w:val="auto"/>
        </w:rPr>
      </w:pPr>
    </w:p>
    <w:p>
      <w:pPr>
        <w:ind w:left="220" w:right="319" w:firstLine="342"/>
        <w:spacing w:after="0" w:line="253"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Reclassification, Exchange or Substitution</w:t>
      </w:r>
      <w:r>
        <w:rPr>
          <w:rFonts w:ascii="Times New Roman" w:cs="Times New Roman" w:eastAsia="Times New Roman" w:hAnsi="Times New Roman"/>
          <w:sz w:val="14"/>
          <w:szCs w:val="14"/>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upon the closing of a registered public offering of the Company’s common stock.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the number of securities or property issuable upon exercise of the new warrant and expiration date. The provisions of this Section 2.2 shall similarly apply to successive reclassifications, exchanges, substitutions, or other events.</w:t>
      </w:r>
    </w:p>
    <w:p>
      <w:pPr>
        <w:spacing w:after="0" w:line="150" w:lineRule="exact"/>
        <w:rPr>
          <w:sz w:val="20"/>
          <w:szCs w:val="20"/>
          <w:color w:val="auto"/>
        </w:rPr>
      </w:pPr>
    </w:p>
    <w:p>
      <w:pPr>
        <w:ind w:left="220" w:right="71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Adjustments for Combinations, Splits, Etc</w:t>
      </w:r>
      <w:r>
        <w:rPr>
          <w:rFonts w:ascii="Times New Roman" w:cs="Times New Roman" w:eastAsia="Times New Roman" w:hAnsi="Times New Roman"/>
          <w:sz w:val="14"/>
          <w:szCs w:val="14"/>
          <w:color w:val="auto"/>
        </w:rPr>
        <w:t>. If the outstanding Shares arc combined or consolidated, by reclassification, reverse split or otherwise, into a lesser Number of Shares, the Warrant Price shall be proportionately increased. If the outstanding Shares are subdivided, split or multiplied, by reclassification, a dividend payable in common stock or otherwise, into a greater Number of Shares, the Warrant Price shall be proportionately decreased.</w:t>
      </w:r>
    </w:p>
    <w:p>
      <w:pPr>
        <w:spacing w:after="0" w:line="139"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Adjustments for Diluting Issuances</w:t>
      </w:r>
      <w:r>
        <w:rPr>
          <w:rFonts w:ascii="Times New Roman" w:cs="Times New Roman" w:eastAsia="Times New Roman" w:hAnsi="Times New Roman"/>
          <w:sz w:val="14"/>
          <w:szCs w:val="14"/>
          <w:color w:val="auto"/>
        </w:rPr>
        <w:t>. In the event of the issuance (a “Diluting Issuance”) by the Company, after the Issue Date of this Warrant, of securities at a price per share less than the Warrant Price, then the number of shares of common stock issuable upon conversion of the Shares shall be adjusted in accordance with those provisions of the Company’s Certificate of Incorporation, a copy of which is attached hereto as Exhibit A, which apply to Diluting Issuances as if the Shares were outstanding on the date of such Diluting Issuance. The provisions set forth for the Shares in the Company’s Certificate of Incorporation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the Holder. Under no circumstances shall the aggregate Warrant Price payable by the Holder upon exercise of this Warrant increase as a result of any adjustment arising from a Diluting Issuance.</w:t>
      </w:r>
    </w:p>
    <w:p>
      <w:pPr>
        <w:spacing w:after="0" w:line="146"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No Impairment</w:t>
      </w:r>
      <w:r>
        <w:rPr>
          <w:rFonts w:ascii="Times New Roman" w:cs="Times New Roman" w:eastAsia="Times New Roman" w:hAnsi="Times New Roman"/>
          <w:sz w:val="14"/>
          <w:szCs w:val="14"/>
          <w:color w:val="auto"/>
        </w:rPr>
        <w:t>. The Company shall not, by amendment of its Articles or Certificate of Incorporation or Bylaws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all the provisions of this Article 2 and in taking all such action as may be necessary or appropriate to protect Holder’s rights under this Article 2 against dilution or other impairment, unless such amendment, reorganization, transfer of assets, consolidation, merger, dissolution, issue or sale of securities or other action affects the rights associated with the Shares in the same manner as the rights associated with all other shares of the same series and class of Shares granted to the Holder.</w:t>
      </w:r>
    </w:p>
    <w:p>
      <w:pPr>
        <w:spacing w:after="0" w:line="146" w:lineRule="exact"/>
        <w:rPr>
          <w:sz w:val="20"/>
          <w:szCs w:val="20"/>
          <w:color w:val="auto"/>
        </w:rPr>
      </w:pPr>
    </w:p>
    <w:p>
      <w:pPr>
        <w:jc w:val="both"/>
        <w:ind w:left="220" w:right="4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Upon each adjustment of the Warrant Price or Number of Shares, the Company at its expense shall promptly compute such adjustment, and furnish Holder with a certificate signed by its Chief Executive Officer setting forth such adjustment and the facts upon which such adjustment is based. The Company shall, upon written request, furnish Holder a certificate setting forth the Warrant Price and Number of Shares in effect upon the date thereof and the series of adjustments leading to such Warrant Price and Number of Shares.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490" w:name="page491"/>
    <w:bookmarkEnd w:id="490"/>
    <w:p>
      <w:pPr>
        <w:jc w:val="both"/>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2.7 </w:t>
      </w:r>
      <w:r>
        <w:rPr>
          <w:rFonts w:ascii="Times New Roman" w:cs="Times New Roman" w:eastAsia="Times New Roman" w:hAnsi="Times New Roman"/>
          <w:sz w:val="14"/>
          <w:szCs w:val="14"/>
          <w:u w:val="single" w:color="auto"/>
          <w:color w:val="auto"/>
        </w:rPr>
        <w:t>Limitations on Liability</w:t>
      </w:r>
      <w:r>
        <w:rPr>
          <w:rFonts w:ascii="Times New Roman" w:cs="Times New Roman" w:eastAsia="Times New Roman" w:hAnsi="Times New Roman"/>
          <w:sz w:val="14"/>
          <w:szCs w:val="14"/>
          <w:color w:val="auto"/>
        </w:rPr>
        <w:t>. Nothing contained in this Warrant shall be construed as imposing any liabilities on Holder to purchase any securities (upon exercise of this Warrant or otherwise) or as a stockholder of the Company, whether such liabilities arc asserted by the Company or by creditors of the Company.</w:t>
      </w:r>
    </w:p>
    <w:p>
      <w:pPr>
        <w:spacing w:after="0" w:line="136" w:lineRule="exact"/>
        <w:rPr>
          <w:sz w:val="20"/>
          <w:szCs w:val="20"/>
          <w:color w:val="auto"/>
        </w:rPr>
      </w:pPr>
    </w:p>
    <w:p>
      <w:pPr>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in cash computed by multiplying the fractional interest by the fair market value, as determined by the Company’s Board of Directors, of a full Share.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REPRESENTATIONS AND COVENANTS OF THE COMPANY</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hereby represents and warrants to, and agrees with, the Holder as follows:</w:t>
      </w:r>
    </w:p>
    <w:p>
      <w:pPr>
        <w:spacing w:after="0" w:line="91" w:lineRule="exact"/>
        <w:rPr>
          <w:sz w:val="20"/>
          <w:szCs w:val="20"/>
          <w:color w:val="auto"/>
        </w:rPr>
      </w:pPr>
    </w:p>
    <w:p>
      <w:pPr>
        <w:ind w:left="220" w:right="499" w:firstLine="771"/>
        <w:spacing w:after="0" w:line="282" w:lineRule="auto"/>
        <w:rPr>
          <w:sz w:val="20"/>
          <w:szCs w:val="20"/>
          <w:color w:val="auto"/>
        </w:rPr>
      </w:pPr>
      <w:r>
        <w:rPr>
          <w:rFonts w:ascii="Times New Roman" w:cs="Times New Roman" w:eastAsia="Times New Roman" w:hAnsi="Times New Roman"/>
          <w:sz w:val="14"/>
          <w:szCs w:val="14"/>
          <w:color w:val="auto"/>
        </w:rPr>
        <w:t>3.1.1 The initial Warrant Price referenced on the first page of this Warrant is not greater than the price per share at which the Company most recently sold its Series A-6 Preferred Stock.</w:t>
      </w:r>
    </w:p>
    <w:p>
      <w:pPr>
        <w:spacing w:after="0" w:line="125" w:lineRule="exact"/>
        <w:rPr>
          <w:sz w:val="20"/>
          <w:szCs w:val="20"/>
          <w:color w:val="auto"/>
        </w:rPr>
      </w:pPr>
    </w:p>
    <w:p>
      <w:pPr>
        <w:ind w:left="220" w:right="239" w:firstLine="771"/>
        <w:spacing w:after="0" w:line="255" w:lineRule="auto"/>
        <w:rPr>
          <w:sz w:val="20"/>
          <w:szCs w:val="20"/>
          <w:color w:val="auto"/>
        </w:rPr>
      </w:pPr>
      <w:r>
        <w:rPr>
          <w:rFonts w:ascii="Times New Roman" w:cs="Times New Roman" w:eastAsia="Times New Roman" w:hAnsi="Times New Roman"/>
          <w:sz w:val="14"/>
          <w:szCs w:val="14"/>
          <w:color w:val="auto"/>
        </w:rPr>
        <w:t>3.1.2 This Warrant is and any Warrant issued in substitution for or replacement of this Warrant shall be, upon issuance, duly authorized and validly issued. 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will at all times until the Expiration Date (or, if such date shall not be a business day, then on the next succeeding business day) reserve and keep available, out of its authorized but unissued preferred stock, solely for the purpose of providing for the exercise of the Shares underlying this Warrant, the aggregate number of Shares then issuable upon exercise hereof at any time.</w:t>
      </w:r>
    </w:p>
    <w:p>
      <w:pPr>
        <w:spacing w:after="0" w:line="146" w:lineRule="exact"/>
        <w:rPr>
          <w:sz w:val="20"/>
          <w:szCs w:val="20"/>
          <w:color w:val="auto"/>
        </w:rPr>
      </w:pPr>
    </w:p>
    <w:p>
      <w:pPr>
        <w:ind w:left="220" w:right="299" w:firstLine="771"/>
        <w:spacing w:after="0" w:line="282" w:lineRule="auto"/>
        <w:rPr>
          <w:sz w:val="20"/>
          <w:szCs w:val="20"/>
          <w:color w:val="auto"/>
        </w:rPr>
      </w:pPr>
      <w:r>
        <w:rPr>
          <w:rFonts w:ascii="Times New Roman" w:cs="Times New Roman" w:eastAsia="Times New Roman" w:hAnsi="Times New Roman"/>
          <w:sz w:val="14"/>
          <w:szCs w:val="14"/>
          <w:color w:val="auto"/>
        </w:rPr>
        <w:t>3.1.3 The Company’s summary capitalization table delivered to Holder as of the Issue Date is true and complete as of the Issue Date in all material respects.</w:t>
      </w:r>
    </w:p>
    <w:p>
      <w:pPr>
        <w:spacing w:after="0" w:line="125"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Notice of Certain Events</w:t>
      </w:r>
      <w:r>
        <w:rPr>
          <w:rFonts w:ascii="Times New Roman" w:cs="Times New Roman" w:eastAsia="Times New Roman" w:hAnsi="Times New Roman"/>
          <w:sz w:val="14"/>
          <w:szCs w:val="14"/>
          <w:color w:val="auto"/>
        </w:rPr>
        <w:t>. If the Company proposes at any time (a) to declare any dividend or distribution upon its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stock; or (d) to merge or consolidate with or into any other corporation, or sell, lease, license, or convey all or substantially all of its assets, or to liquidate, dissolve or wind up, then, in connection with each such event, the Company shall give Holder (1) at least ten (10) days prior written notice of the date on which a record will be taken for such dividend, distribution, or subscription rights (and specifying the date on which the holders of stock will be entitled thereto) or for determining rights to vote, if any, in respect of the matters referred to in (a) and (b) above; and (2) in the ease of the matters referred to in (c) and (d) above at least ten (10) days prior written notice of the date when the same will take place (and specifying the date on which the holders of stock will be entitled to exchange their stock for securities or other property deliverable upon the occurrence of such event). Upon request, the Company shall provide Holder with such information reasonably necessary for Holder to evaluate its rights as a holder of this Warrant or Shares in the case of matters referred to (a), (b), (c) and (d) herein above.</w:t>
      </w:r>
    </w:p>
    <w:p>
      <w:pPr>
        <w:spacing w:after="0" w:line="148" w:lineRule="exact"/>
        <w:rPr>
          <w:sz w:val="20"/>
          <w:szCs w:val="20"/>
          <w:color w:val="auto"/>
        </w:rPr>
      </w:pPr>
    </w:p>
    <w:p>
      <w:pPr>
        <w:ind w:left="220" w:right="399" w:firstLine="342"/>
        <w:spacing w:after="0" w:line="281"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Information Rights</w:t>
      </w:r>
      <w:r>
        <w:rPr>
          <w:rFonts w:ascii="Times New Roman" w:cs="Times New Roman" w:eastAsia="Times New Roman" w:hAnsi="Times New Roman"/>
          <w:sz w:val="13"/>
          <w:szCs w:val="13"/>
          <w:color w:val="auto"/>
        </w:rPr>
        <w:t>. So long as the Holder holds this Warrant and/or any of the Shares, the Company shall deliver to the Holder (a) promptly after mailing, copies of all communications, information and/or communiques to the shareholders of the Company, (b) within one hundred eighty</w:t>
      </w:r>
    </w:p>
    <w:p>
      <w:pPr>
        <w:ind w:left="220" w:right="319" w:firstLine="3"/>
        <w:spacing w:after="0" w:line="252" w:lineRule="auto"/>
        <w:tabs>
          <w:tab w:leader="none" w:pos="55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end of each fiscal year of the Company, the annual financial statements of the Company and (c) within forty five (45) days after the end of each fiscal quarter, the Company’s quarterly, unaudited financial statements. In addition, and without limiting the generality of the foregoing, so long as the Holder holds this Warrant and/or any of the Shares, the Company shall afford to the Holder the same access to information concerning the Company and its business and financial condition as would be afforded to a holder of the class of Shares under applicable state law and/or any agreement with any holder of the class of Shares.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91" w:name="page492"/>
    <w:bookmarkEnd w:id="491"/>
    <w:p>
      <w:pPr>
        <w:ind w:left="220" w:right="279" w:firstLine="342"/>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3.4 </w:t>
      </w:r>
      <w:r>
        <w:rPr>
          <w:rFonts w:ascii="Times New Roman" w:cs="Times New Roman" w:eastAsia="Times New Roman" w:hAnsi="Times New Roman"/>
          <w:sz w:val="14"/>
          <w:szCs w:val="14"/>
          <w:u w:val="single" w:color="auto"/>
          <w:color w:val="auto"/>
        </w:rPr>
        <w:t>Registration Under the Act; Market Standoff</w:t>
      </w:r>
      <w:r>
        <w:rPr>
          <w:rFonts w:ascii="Times New Roman" w:cs="Times New Roman" w:eastAsia="Times New Roman" w:hAnsi="Times New Roman"/>
          <w:sz w:val="14"/>
          <w:szCs w:val="14"/>
          <w:color w:val="auto"/>
        </w:rPr>
        <w:t xml:space="preserve">. The Company agrees that the Shares or, if the Shares are convertible into common stock of the Company, such common stock, shall be deemed “Registrable Securities” or otherwise entitled to “piggy back” registration rights for registrations initiated by either the Company or a stockholder in accordance with the terms of the that certain Investors Rights Agreement between the Company and its investors dated as of March 13, 2019 (as may be amended from time to time, the “Agreement”), a copy of which is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The Company agrees that no amendments will be made to the Agreement which would have an adverse impact on Holder’s registration rights hereunder this provision unless such amendment affects the rights associated with the Shares in the same manner as such amendment, modification or waiver affects the rights associated with all other shares of the same series and class as the Shares granted to the Holder. Holder shall be deemed to be a party to the Agreement solely for the purpose of the above-mentioned registration rights including, without limitation, the “Market Stand-off’ provisions set forth therein, provided that the Holder shall execute a Joinder to the Agreement in the form attached hereto as Exhibit C upon exercise of the warrant.</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REPRESENTATIONS AND COVENANTS FOR WARRANTS</w:t>
      </w:r>
    </w:p>
    <w:p>
      <w:pPr>
        <w:spacing w:after="0" w:line="160" w:lineRule="exact"/>
        <w:rPr>
          <w:sz w:val="20"/>
          <w:szCs w:val="20"/>
          <w:color w:val="auto"/>
        </w:rPr>
      </w:pPr>
    </w:p>
    <w:p>
      <w:pPr>
        <w:ind w:left="220" w:right="259" w:firstLine="342"/>
        <w:spacing w:after="0" w:line="282" w:lineRule="auto"/>
        <w:rPr>
          <w:sz w:val="20"/>
          <w:szCs w:val="20"/>
          <w:color w:val="auto"/>
        </w:rPr>
      </w:pPr>
      <w:r>
        <w:rPr>
          <w:rFonts w:ascii="Times New Roman" w:cs="Times New Roman" w:eastAsia="Times New Roman" w:hAnsi="Times New Roman"/>
          <w:sz w:val="14"/>
          <w:szCs w:val="14"/>
          <w:color w:val="auto"/>
        </w:rPr>
        <w:t>As of the Issue Date and of the date of issuance of any of the Shares issuable upon exercise of this Warrant, Holder hereby represents and warrants to, and agrees with, the Company as follows:</w:t>
      </w:r>
    </w:p>
    <w:p>
      <w:pPr>
        <w:spacing w:after="0" w:line="41"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Purchase Entirely for Own Account</w:t>
      </w:r>
      <w:r>
        <w:rPr>
          <w:rFonts w:ascii="Times New Roman" w:cs="Times New Roman" w:eastAsia="Times New Roman" w:hAnsi="Times New Roman"/>
          <w:sz w:val="14"/>
          <w:szCs w:val="14"/>
          <w:color w:val="auto"/>
        </w:rPr>
        <w:t>. This Warrant is issued to Holder in reliance upon Holder’s representation to the Company that this Warrant and the Shares issuable upon exercise of this Warrant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this Warrant or any of the Shares issuable upon exercise of this Warrant.</w:t>
      </w:r>
    </w:p>
    <w:p>
      <w:pPr>
        <w:spacing w:after="0" w:line="145"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Reliance upon Holder’s Representations</w:t>
      </w:r>
      <w:r>
        <w:rPr>
          <w:rFonts w:ascii="Times New Roman" w:cs="Times New Roman" w:eastAsia="Times New Roman" w:hAnsi="Times New Roman"/>
          <w:sz w:val="14"/>
          <w:szCs w:val="14"/>
          <w:color w:val="auto"/>
        </w:rPr>
        <w:t>. Holder understands that this Warrant and the Shares issuable upon exercise of this Warrant are not registered under the Act on the ground that the issuance of such securities is exempt from registration under the Act, and that the Company’s reliance on such exemption is predicated on Holder’s representations set forth herein.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Accredited Investor Status</w:t>
      </w:r>
      <w:r>
        <w:rPr>
          <w:rFonts w:ascii="Times New Roman" w:cs="Times New Roman" w:eastAsia="Times New Roman" w:hAnsi="Times New Roman"/>
          <w:sz w:val="14"/>
          <w:szCs w:val="14"/>
          <w:color w:val="auto"/>
        </w:rPr>
        <w:t>. Holder represents to the Company that Holder is an Accredited Investor (as defined in the Act).</w:t>
      </w:r>
    </w:p>
    <w:p>
      <w:pPr>
        <w:spacing w:after="0" w:line="175" w:lineRule="exact"/>
        <w:rPr>
          <w:sz w:val="20"/>
          <w:szCs w:val="20"/>
          <w:color w:val="auto"/>
        </w:rPr>
      </w:pPr>
    </w:p>
    <w:p>
      <w:pPr>
        <w:ind w:left="220" w:right="3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Holder understands that this Warrant and the Shares issuable upon exercise of this Warrant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0" w:lineRule="exact"/>
        <w:rPr>
          <w:sz w:val="20"/>
          <w:szCs w:val="20"/>
          <w:color w:val="auto"/>
        </w:rPr>
      </w:pPr>
    </w:p>
    <w:p>
      <w:pPr>
        <w:ind w:left="220" w:right="2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Term; Exercise Upon Expiration</w:t>
      </w:r>
      <w:r>
        <w:rPr>
          <w:rFonts w:ascii="Times New Roman" w:cs="Times New Roman" w:eastAsia="Times New Roman" w:hAnsi="Times New Roman"/>
          <w:sz w:val="14"/>
          <w:szCs w:val="14"/>
          <w:color w:val="auto"/>
        </w:rPr>
        <w:t>. This Warrant is exercisable in whole or in part, at any time and from time to time on or before the Expiration Date set forth above; provided, however, that if the Company completes its initial public offering within the one-year period immediately prior to the Expiration Date, the Expiration Date shall automatically be extended until the first anniversary of the effective date of the Company’s initial public offering. The Company agrees that Holder may terminate this Warrant, upon notice to the Company, at any time in its sole discretion.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92" w:name="page493"/>
    <w:bookmarkEnd w:id="492"/>
    <w:p>
      <w:pPr>
        <w:ind w:left="220" w:right="85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5.2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This Warrant and the Shares issuable upon exercise of this Warrant (and the securities issuable, directly or indirectly, upon conversion of the Shares, if any) shall be imprinted with a legend in substantially the following form:</w:t>
      </w:r>
    </w:p>
    <w:p>
      <w:pPr>
        <w:spacing w:after="0" w:line="41" w:lineRule="exact"/>
        <w:rPr>
          <w:sz w:val="20"/>
          <w:szCs w:val="20"/>
          <w:color w:val="auto"/>
        </w:rPr>
      </w:pPr>
    </w:p>
    <w:p>
      <w:pPr>
        <w:ind w:left="560" w:right="279"/>
        <w:spacing w:after="0" w:line="282" w:lineRule="auto"/>
        <w:rPr>
          <w:sz w:val="20"/>
          <w:szCs w:val="20"/>
          <w:color w:val="auto"/>
        </w:rPr>
      </w:pPr>
      <w:r>
        <w:rPr>
          <w:rFonts w:ascii="Times New Roman" w:cs="Times New Roman" w:eastAsia="Times New Roman" w:hAnsi="Times New Roman"/>
          <w:sz w:val="13"/>
          <w:szCs w:val="13"/>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29" w:lineRule="exact"/>
        <w:rPr>
          <w:sz w:val="20"/>
          <w:szCs w:val="20"/>
          <w:color w:val="auto"/>
        </w:rPr>
      </w:pPr>
    </w:p>
    <w:p>
      <w:pPr>
        <w:ind w:left="220" w:right="299" w:firstLine="342"/>
        <w:spacing w:after="0" w:line="256"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Compliance with Securities Laws on Transfer</w:t>
      </w:r>
      <w:r>
        <w:rPr>
          <w:rFonts w:ascii="Times New Roman" w:cs="Times New Roman" w:eastAsia="Times New Roman" w:hAnsi="Times New Roman"/>
          <w:sz w:val="14"/>
          <w:szCs w:val="14"/>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The Company shall not require Comerica Bank (“Bank”) or a Bank Affiliate (as defined herein) to provide an opinion of counsel or investment representation letter if the transfer is to Bank’s parent company, Comerica Incorporated (“Comerica”), or any other affiliate of Bank (“Bank Affiliate”), provided that such Bank Affiliate is an “accredited investor” as defined in Regulation D promulgated under the Act.</w:t>
      </w:r>
    </w:p>
    <w:p>
      <w:pPr>
        <w:spacing w:after="0" w:line="145" w:lineRule="exact"/>
        <w:rPr>
          <w:sz w:val="20"/>
          <w:szCs w:val="20"/>
          <w:color w:val="auto"/>
        </w:rPr>
      </w:pPr>
    </w:p>
    <w:p>
      <w:pPr>
        <w:ind w:left="220" w:right="259" w:firstLine="342"/>
        <w:spacing w:after="0" w:line="254"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Transfer Procedure</w:t>
      </w:r>
      <w:r>
        <w:rPr>
          <w:rFonts w:ascii="Times New Roman" w:cs="Times New Roman" w:eastAsia="Times New Roman" w:hAnsi="Times New Roman"/>
          <w:sz w:val="14"/>
          <w:szCs w:val="14"/>
          <w:color w:val="auto"/>
        </w:rPr>
        <w:t xml:space="preserve">. After receipt of the executed Warrant, Bank will transfer all of this Warrant to Comerica Ventures Incorporated, a non-banking subsidiary of Comerica and a Bank Affiliate (“Ventures”). Holder may not transfer this Warrant or the Shares issuable upon exercise of this Warrant (or the securities issuable, directly or indirectly, upon conversion of the Shares, if any) without the Company’s prior written consent;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however, </w:t>
      </w:r>
      <w:r>
        <w:rPr>
          <w:rFonts w:ascii="Times New Roman" w:cs="Times New Roman" w:eastAsia="Times New Roman" w:hAnsi="Times New Roman"/>
          <w:sz w:val="14"/>
          <w:szCs w:val="14"/>
          <w:color w:val="auto"/>
        </w:rPr>
        <w:t>that Holder may transfer all or part of this Warrant to its affiliates, including, without limitation. Ventures, at any time without notice, consent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or the delivery of any other instrument to the Company, and such affiliate shall then be entitled to all the rights of Holder under this Warrant and any related agreements, and the Company shall cooperate fully in ensuring that any stock issued upon exercise of this Warrant is issued in the name of the affiliate that exercises this Warrant;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the foregoing proviso shall not apply to any of Holder’s affiliates that are a direct competitor of the Company. The terms and conditions of this Warrant shall inure to the benefit of, and be binding upon, the Company and the holders hereof and their respective permitted successors and assigns.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from the Company to the Holder, or vice versa, shall be deemed delivered and effective when:</w:t>
      </w:r>
    </w:p>
    <w:p>
      <w:pPr>
        <w:spacing w:after="0" w:line="22" w:lineRule="exact"/>
        <w:rPr>
          <w:sz w:val="20"/>
          <w:szCs w:val="20"/>
          <w:color w:val="auto"/>
        </w:rPr>
      </w:pPr>
    </w:p>
    <w:p>
      <w:pPr>
        <w:ind w:left="220" w:right="239" w:firstLine="3"/>
        <w:spacing w:after="0" w:line="252" w:lineRule="auto"/>
        <w:tabs>
          <w:tab w:leader="none" w:pos="387"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given personally or mailed by first-class registered or certified mail, postage prepaid, or sent via a nationally recognized overnight courier service (such as, but not limited to, Federal Express, DHL or UPS), fee prepaid, or (ii) on the date sent by email or facsimile if sent during normal business hours of the recipient, and on the next business day if sent after normal business hours of the recipient. Such communications must be sent to the respective parties at the address or facsimile number as may have been furnished to the Company or the Holder, as the case may be, in writing by the Company or such Holder from time to time. Effective upon the receipt of executed Warrant and initial transfer described in Section 5.4 above, all notices to the Holder shall be addressed as follows until the Company receives notice of a change of address in connection with a transfer or otherwise:</w:t>
      </w:r>
    </w:p>
    <w:p>
      <w:pPr>
        <w:spacing w:after="0" w:line="6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Comerica Ventures Incorporated</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Attn: Warrant Administrator</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1717 Main Street, 5th Floor, MC 6406</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Dallas, Texas 75201</w:t>
      </w:r>
    </w:p>
    <w:p>
      <w:pPr>
        <w:spacing w:after="0" w:line="7" w:lineRule="exact"/>
        <w:rPr>
          <w:sz w:val="20"/>
          <w:szCs w:val="20"/>
          <w:color w:val="auto"/>
        </w:rPr>
      </w:pPr>
    </w:p>
    <w:p>
      <w:pPr>
        <w:jc w:val="center"/>
        <w:ind w:right="4719"/>
        <w:spacing w:after="0"/>
        <w:rPr>
          <w:sz w:val="20"/>
          <w:szCs w:val="20"/>
          <w:color w:val="auto"/>
        </w:rPr>
      </w:pPr>
      <w:r>
        <w:rPr>
          <w:rFonts w:ascii="Times New Roman" w:cs="Times New Roman" w:eastAsia="Times New Roman" w:hAnsi="Times New Roman"/>
          <w:sz w:val="14"/>
          <w:szCs w:val="14"/>
          <w:color w:val="auto"/>
        </w:rPr>
        <w:t>Facsimile No.</w:t>
      </w:r>
    </w:p>
    <w:p>
      <w:pPr>
        <w:spacing w:after="0" w:line="76" w:lineRule="exact"/>
        <w:rPr>
          <w:sz w:val="20"/>
          <w:szCs w:val="20"/>
          <w:color w:val="auto"/>
        </w:rPr>
      </w:pPr>
    </w:p>
    <w:p>
      <w:pPr>
        <w:jc w:val="center"/>
        <w:ind w:right="4659"/>
        <w:spacing w:after="0"/>
        <w:rPr>
          <w:sz w:val="20"/>
          <w:szCs w:val="20"/>
          <w:color w:val="auto"/>
        </w:rPr>
      </w:pPr>
      <w:r>
        <w:rPr>
          <w:rFonts w:ascii="Times New Roman" w:cs="Times New Roman" w:eastAsia="Times New Roman" w:hAnsi="Times New Roman"/>
          <w:sz w:val="14"/>
          <w:szCs w:val="14"/>
          <w:color w:val="auto"/>
        </w:rPr>
        <w:t>All notices to the Company shall be addressed as follows:</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1455 Adams Drive Suite 1130</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Attention: CEO</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Email: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493" w:name="page494"/>
    <w:bookmarkEnd w:id="493"/>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With a copy (which shall not constitute notice) to:</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Gunderson Dettmer Stough Villeneuve Franklin and Hachigian, LLP</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550 Allerton Street</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Redwood City, CA 94063</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Attention: Nicholas Harley</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Email:</w:t>
      </w:r>
    </w:p>
    <w:p>
      <w:pPr>
        <w:spacing w:after="0" w:line="160"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Amendments: Waiver</w:t>
      </w:r>
      <w:r>
        <w:rPr>
          <w:rFonts w:ascii="Times New Roman" w:cs="Times New Roman" w:eastAsia="Times New Roman" w:hAnsi="Times New Roman"/>
          <w:sz w:val="14"/>
          <w:szCs w:val="14"/>
          <w:color w:val="auto"/>
        </w:rPr>
        <w:t>. This Warrant and any term hereof may be amended, modified or supplemented by an agreement in writing signed by each party hereto. No waiver by the Company or the Holder of any of the provisions hereof shall be effective unless explicitly set forth in writing and signed by the party so waiving.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42" w:lineRule="exact"/>
        <w:rPr>
          <w:sz w:val="20"/>
          <w:szCs w:val="20"/>
          <w:color w:val="auto"/>
        </w:rPr>
      </w:pPr>
    </w:p>
    <w:p>
      <w:pPr>
        <w:ind w:left="220" w:right="25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Cumulative Remedies</w:t>
      </w:r>
      <w:r>
        <w:rPr>
          <w:rFonts w:ascii="Times New Roman" w:cs="Times New Roman" w:eastAsia="Times New Roman" w:hAnsi="Times New Roman"/>
          <w:sz w:val="14"/>
          <w:szCs w:val="14"/>
          <w:color w:val="auto"/>
        </w:rPr>
        <w:t>. The rights and remedies provided in this Warrant are cumulative and are not exclusive of, and arc in addition and not in substitution for, any other rights or remedies available at law, in equity or otherwise.</w:t>
      </w:r>
    </w:p>
    <w:p>
      <w:pPr>
        <w:spacing w:after="0" w:line="125" w:lineRule="exact"/>
        <w:rPr>
          <w:sz w:val="20"/>
          <w:szCs w:val="20"/>
          <w:color w:val="auto"/>
        </w:rPr>
      </w:pPr>
    </w:p>
    <w:p>
      <w:pPr>
        <w:ind w:left="220" w:right="53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No Strict Construction</w:t>
      </w:r>
      <w:r>
        <w:rPr>
          <w:rFonts w:ascii="Times New Roman" w:cs="Times New Roman" w:eastAsia="Times New Roman" w:hAnsi="Times New Roman"/>
          <w:sz w:val="14"/>
          <w:szCs w:val="14"/>
          <w:color w:val="auto"/>
        </w:rPr>
        <w:t>. This Warrant shall be construed without regard to any presumption or rule requiring construction or interpretation against the party drafting an instrument or causing any instrument to be drafted.</w:t>
      </w:r>
    </w:p>
    <w:p>
      <w:pPr>
        <w:spacing w:after="0" w:line="12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laws of the State of California, without giving effect to its principles regarding conflicts of law.</w:t>
      </w:r>
    </w:p>
    <w:p>
      <w:pPr>
        <w:spacing w:after="0" w:line="123" w:lineRule="exact"/>
        <w:rPr>
          <w:sz w:val="20"/>
          <w:szCs w:val="20"/>
          <w:color w:val="auto"/>
        </w:rPr>
      </w:pPr>
    </w:p>
    <w:p>
      <w:pPr>
        <w:ind w:left="220" w:right="319" w:firstLine="342"/>
        <w:spacing w:after="0" w:line="259" w:lineRule="auto"/>
        <w:rPr>
          <w:sz w:val="20"/>
          <w:szCs w:val="20"/>
          <w:color w:val="auto"/>
        </w:rPr>
      </w:pPr>
      <w:r>
        <w:rPr>
          <w:rFonts w:ascii="Times New Roman" w:cs="Times New Roman" w:eastAsia="Times New Roman" w:hAnsi="Times New Roman"/>
          <w:sz w:val="14"/>
          <w:szCs w:val="14"/>
          <w:color w:val="auto"/>
        </w:rPr>
        <w:t xml:space="preserve">5.10 </w:t>
      </w:r>
      <w:r>
        <w:rPr>
          <w:rFonts w:ascii="Times New Roman" w:cs="Times New Roman" w:eastAsia="Times New Roman" w:hAnsi="Times New Roman"/>
          <w:sz w:val="14"/>
          <w:szCs w:val="14"/>
          <w:b w:val="1"/>
          <w:bCs w:val="1"/>
          <w:u w:val="single" w:color="auto"/>
          <w:color w:val="auto"/>
        </w:rPr>
        <w:t>WAIVER OF JURY TRIAL</w:t>
      </w:r>
      <w:r>
        <w:rPr>
          <w:rFonts w:ascii="Times New Roman" w:cs="Times New Roman" w:eastAsia="Times New Roman" w:hAnsi="Times New Roman"/>
          <w:sz w:val="14"/>
          <w:szCs w:val="14"/>
          <w:b w:val="1"/>
          <w:bCs w:val="1"/>
          <w:color w:val="auto"/>
        </w:rPr>
        <w:t>. HOLDER AND THE COMPANY ACKNOWLEDGE THAT THE RIGHT TO TRIAL BY JURY IS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CONSTITUTIONAL RIGHT, BUT ONE THAT MAY BE WAIVED. AFTER CONSULTING (OR HAVING HAD THE OPPORTUNITY TO CONSULT) WITH COUNSEL OF THEIR CHOICE, KNOWINGLY AND VOLUNTARILY, AND FOR THEIR MUTUAL BENEFIT, HOLDER AND THE COMPANY WAIVE ANY RIGHT TO TRIAL BY JURY IN THE EVENT OF LITIGATION REGARDING THE PERFORMANCE OR ENFORCEMENT OF, OR IN ANY WAY RELATED TO THIS AGREEMENT.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560" w:right="259" w:firstLine="334"/>
        <w:spacing w:after="0" w:line="275" w:lineRule="auto"/>
        <w:tabs>
          <w:tab w:leader="none" w:pos="1079"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agrees to keep the terms and conditions of this Warrant confidential, provided that the Company may provide copies of this Warrant in connection with third party due diligence in equity financing and acquisition transactions provided that the recipient thereof agrees to keep the terms hereof. Notwithstanding the foregoing confidentiality obligation, the Company may disclose information relating to this Warrant as required by law, rule, regulation, court order or other legal authority, provided that (i) the Company has given Holder at least ten</w:t>
      </w:r>
    </w:p>
    <w:p>
      <w:pPr>
        <w:spacing w:after="0" w:line="1" w:lineRule="exact"/>
        <w:rPr>
          <w:rFonts w:ascii="Times New Roman" w:cs="Times New Roman" w:eastAsia="Times New Roman" w:hAnsi="Times New Roman"/>
          <w:sz w:val="13"/>
          <w:szCs w:val="13"/>
          <w:color w:val="auto"/>
        </w:rPr>
      </w:pPr>
    </w:p>
    <w:p>
      <w:pPr>
        <w:ind w:left="560" w:right="839" w:firstLine="5"/>
        <w:spacing w:after="0" w:line="260" w:lineRule="auto"/>
        <w:tabs>
          <w:tab w:leader="none" w:pos="828"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notice of such required disclosure, and (ii) the Company only discloses information that is required, in the opinion of counsel reasonably satisfactory to Holder, to be disclosed.</w:t>
      </w:r>
    </w:p>
    <w:p>
      <w:pPr>
        <w:spacing w:after="0" w:line="56" w:lineRule="exact"/>
        <w:rPr>
          <w:rFonts w:ascii="Times New Roman" w:cs="Times New Roman" w:eastAsia="Times New Roman" w:hAnsi="Times New Roman"/>
          <w:sz w:val="14"/>
          <w:szCs w:val="14"/>
          <w:color w:val="auto"/>
        </w:rPr>
      </w:pPr>
    </w:p>
    <w:p>
      <w:pPr>
        <w:ind w:left="560" w:right="259" w:firstLine="334"/>
        <w:spacing w:after="0" w:line="254" w:lineRule="auto"/>
        <w:tabs>
          <w:tab w:leader="none" w:pos="1087"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handling any confidential information, Holder and all employees and agents of Holder shall exercise the same degree of care that Holder exercises with respect to its own proprietary information of the same types to maintain the confidentiality of any non-public information thereby received or received pursuant to this Warrant except that disclosure of such information may be made (i) to the parent, subsidiaries, or affiliates and service providers of Holder, (ii) to prospective transferees, (iii) as required by law, regulations, rule or order, subpoena, judicial order or similar order, (iv) as may be required in connection with the examination, audit or similar investigation of Holder, (v) to Holder’s accountants, auditors and regulators, and (vi) as Holder may determine in connection with the enforcement of any remedies hereunder. Confidential information hereunder shall not include information that either: (a) is in the public domain or in the knowledge or possession of Holder when disclosed to Holder, or becomes part of the public domain after disclosure to Holder through no fault of Holder: or (b) is disclosed to Holder by a third party, provided Holder does not have actual knowledge that such third party is prohibited from disclosing such information.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94" w:name="page495"/>
    <w:bookmarkEnd w:id="494"/>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5.12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Warrant may be executed in counterparts, all of which taken together shall constitute one and the same instrument.</w:t>
      </w:r>
    </w:p>
    <w:p>
      <w:pPr>
        <w:sectPr>
          <w:pgSz w:w="11900" w:h="16838" w:orient="portrait"/>
          <w:cols w:equalWidth="0" w:num="1">
            <w:col w:w="9019"/>
          </w:cols>
          <w:pgMar w:left="1440" w:top="240"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type w:val="continuous"/>
        </w:sectPr>
      </w:pPr>
    </w:p>
    <w:bookmarkStart w:id="495" w:name="page496"/>
    <w:bookmarkEnd w:id="495"/>
    <w:p>
      <w:pPr>
        <w:ind w:left="220" w:right="47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each of the parties have caused this Warrant to be duly executed by its duly authorized officer(s) as of the first date written above.</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Oguzhan Atay</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Oguzhan Atay</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36"/>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COMERICA BANK</w:t>
            </w: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Robert Hernandez</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Robert Hernandez</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w:t>
            </w: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Warrant]</w:t>
      </w:r>
    </w:p>
    <w:p>
      <w:pPr>
        <w:sectPr>
          <w:pgSz w:w="11900" w:h="16838" w:orient="portrait"/>
          <w:cols w:equalWidth="0" w:num="1">
            <w:col w:w="9019"/>
          </w:cols>
          <w:pgMar w:left="1440" w:top="240" w:right="1440" w:bottom="1440" w:gutter="0" w:footer="0" w:header="0"/>
        </w:sectPr>
      </w:pPr>
    </w:p>
    <w:bookmarkStart w:id="496" w:name="page497"/>
    <w:bookmarkEnd w:id="49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NOTICE OF EXERCISE</w:t>
      </w:r>
    </w:p>
    <w:p>
      <w:pPr>
        <w:spacing w:after="0" w:line="173" w:lineRule="exact"/>
        <w:rPr>
          <w:sz w:val="20"/>
          <w:szCs w:val="20"/>
          <w:color w:val="auto"/>
        </w:rPr>
      </w:pPr>
    </w:p>
    <w:p>
      <w:pPr>
        <w:ind w:left="220" w:right="699" w:firstLine="345"/>
        <w:spacing w:after="0" w:line="285" w:lineRule="auto"/>
        <w:tabs>
          <w:tab w:leader="none" w:pos="7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hereby elects to purchase shares of the stock of </w:t>
      </w:r>
      <w:r>
        <w:rPr>
          <w:rFonts w:ascii="Times New Roman" w:cs="Times New Roman" w:eastAsia="Times New Roman" w:hAnsi="Times New Roman"/>
          <w:sz w:val="14"/>
          <w:szCs w:val="14"/>
          <w:b w:val="1"/>
          <w:bCs w:val="1"/>
          <w:color w:val="auto"/>
        </w:rPr>
        <w:t>BillionToOne, Inc.</w:t>
      </w:r>
      <w:r>
        <w:rPr>
          <w:rFonts w:ascii="Times New Roman" w:cs="Times New Roman" w:eastAsia="Times New Roman" w:hAnsi="Times New Roman"/>
          <w:sz w:val="14"/>
          <w:szCs w:val="14"/>
          <w:color w:val="auto"/>
        </w:rPr>
        <w:t xml:space="preserve"> pursuant to the terms of the attached Warrant dated March 16, 2020, and tenders herewith payment of the purchase price of such shares in full.</w:t>
      </w:r>
    </w:p>
    <w:p>
      <w:pPr>
        <w:spacing w:after="0" w:line="123"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a certificate or certificates representing said shares in the name of the undersigned or in such other name as is specified below:</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Comerica Ventures Incorporated</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Attn: Warrant Administrator</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1717 Main Street, 5th Floor. MC 6406</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Dallas, Texas 75201</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Facsimile No.</w:t>
      </w:r>
    </w:p>
    <w:p>
      <w:pPr>
        <w:spacing w:after="0" w:line="160" w:lineRule="exact"/>
        <w:rPr>
          <w:sz w:val="20"/>
          <w:szCs w:val="20"/>
          <w:color w:val="auto"/>
        </w:rPr>
      </w:pPr>
    </w:p>
    <w:p>
      <w:pPr>
        <w:ind w:left="220" w:right="459" w:firstLine="345"/>
        <w:spacing w:after="0" w:line="282" w:lineRule="auto"/>
        <w:tabs>
          <w:tab w:leader="none" w:pos="702"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COMERICA VENTURES INCORPORATED </w:t>
      </w:r>
      <w:r>
        <w:rPr>
          <w:rFonts w:ascii="Times New Roman" w:cs="Times New Roman" w:eastAsia="Times New Roman" w:hAnsi="Times New Roman"/>
          <w:sz w:val="14"/>
          <w:szCs w:val="14"/>
          <w:color w:val="auto"/>
        </w:rPr>
        <w:t>or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Assignee</w:t>
      </w: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-99060</wp:posOffset>
            </wp:positionV>
            <wp:extent cx="2172335"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-99060</wp:posOffset>
            </wp:positionV>
            <wp:extent cx="2172335"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-99060</wp:posOffset>
            </wp:positionV>
            <wp:extent cx="217233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9019"/>
          </w:cols>
          <w:pgMar w:left="1440" w:top="240" w:right="1440" w:bottom="1440" w:gutter="0" w:footer="0" w:header="0"/>
        </w:sectPr>
      </w:pPr>
    </w:p>
    <w:bookmarkStart w:id="497" w:name="page498"/>
    <w:bookmarkEnd w:id="497"/>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Anti-Dilution Provisions</w:t>
      </w:r>
    </w:p>
    <w:p>
      <w:pPr>
        <w:sectPr>
          <w:pgSz w:w="11900" w:h="16838" w:orient="portrait"/>
          <w:cols w:equalWidth="0" w:num="1">
            <w:col w:w="9019"/>
          </w:cols>
          <w:pgMar w:left="1440" w:top="240" w:right="1440" w:bottom="1440" w:gutter="0" w:footer="0" w:header="0"/>
        </w:sectPr>
      </w:pPr>
    </w:p>
    <w:bookmarkStart w:id="498" w:name="page499"/>
    <w:bookmarkEnd w:id="498"/>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B</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Registration Rights</w:t>
      </w:r>
    </w:p>
    <w:p>
      <w:pPr>
        <w:sectPr>
          <w:pgSz w:w="11900" w:h="16838" w:orient="portrait"/>
          <w:cols w:equalWidth="0" w:num="1">
            <w:col w:w="9019"/>
          </w:cols>
          <w:pgMar w:left="1440" w:top="240" w:right="1440" w:bottom="1440" w:gutter="0" w:footer="0" w:header="0"/>
        </w:sectPr>
      </w:pPr>
    </w:p>
    <w:bookmarkStart w:id="499" w:name="page500"/>
    <w:bookmarkEnd w:id="499"/>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Joinder to Investors Right Agreement</w:t>
      </w:r>
    </w:p>
    <w:p>
      <w:pPr>
        <w:sectPr>
          <w:pgSz w:w="11900" w:h="16838" w:orient="portrait"/>
          <w:cols w:equalWidth="0" w:num="1">
            <w:col w:w="9019"/>
          </w:cols>
          <w:pgMar w:left="1440" w:top="241" w:right="1440" w:bottom="1440" w:gutter="0" w:footer="0" w:header="0"/>
        </w:sectPr>
      </w:pPr>
    </w:p>
    <w:bookmarkStart w:id="500" w:name="page501"/>
    <w:bookmarkEnd w:id="500"/>
    <w:p>
      <w:pPr>
        <w:ind w:left="8140"/>
        <w:spacing w:after="0"/>
        <w:rPr>
          <w:sz w:val="20"/>
          <w:szCs w:val="20"/>
          <w:color w:val="auto"/>
        </w:rPr>
      </w:pPr>
      <w:r>
        <w:rPr>
          <w:rFonts w:ascii="Times New Roman" w:cs="Times New Roman" w:eastAsia="Times New Roman" w:hAnsi="Times New Roman"/>
          <w:sz w:val="13"/>
          <w:szCs w:val="13"/>
          <w:b w:val="1"/>
          <w:bCs w:val="1"/>
          <w:color w:val="auto"/>
        </w:rPr>
        <w:t>Exhibit 4.3</w:t>
      </w:r>
    </w:p>
    <w:p>
      <w:pPr>
        <w:spacing w:after="0" w:line="188" w:lineRule="exact"/>
        <w:rPr>
          <w:sz w:val="20"/>
          <w:szCs w:val="20"/>
          <w:color w:val="auto"/>
        </w:rPr>
      </w:pPr>
    </w:p>
    <w:p>
      <w:pPr>
        <w:ind w:left="220" w:right="419"/>
        <w:spacing w:after="0" w:line="261" w:lineRule="auto"/>
        <w:rPr>
          <w:sz w:val="20"/>
          <w:szCs w:val="20"/>
          <w:color w:val="auto"/>
        </w:rPr>
      </w:pPr>
      <w:r>
        <w:rPr>
          <w:rFonts w:ascii="Times New Roman" w:cs="Times New Roman" w:eastAsia="Times New Roman" w:hAnsi="Times New Roman"/>
          <w:sz w:val="14"/>
          <w:szCs w:val="14"/>
          <w:color w:val="auto"/>
        </w:rPr>
        <w:t>THIS WARRANT AND THE SHARES ISSUABLE HEREUNDER HAVE NOT BEEN REGISTERED UNDER THE SECURITIES ACT OF 1933, AS AMENDED, AND MAY NOT BE SOLD, PLEDGED, OR OTHERWISE TRANSFERRED WITHOUT AN EFFECTIVE REGISTRATION THEREOF UNDER SUCH ACT OR PURSUANT TO RULE 144 OR AN OPINION OF COUNSEL REASONABLY SATISFACTORY TO THE CORPORATION AND ITS COUNSEL, THAT SUCH REGISTRATION IS NOT REQUIRED.</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WARRANT TO PURCHASE STOCK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Issuer: 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60" w:right="259"/>
        <w:spacing w:after="0" w:line="258" w:lineRule="auto"/>
        <w:rPr>
          <w:sz w:val="20"/>
          <w:szCs w:val="20"/>
          <w:color w:val="auto"/>
        </w:rPr>
      </w:pPr>
      <w:r>
        <w:rPr>
          <w:rFonts w:ascii="Times New Roman" w:cs="Times New Roman" w:eastAsia="Times New Roman" w:hAnsi="Times New Roman"/>
          <w:sz w:val="14"/>
          <w:szCs w:val="14"/>
          <w:color w:val="auto"/>
        </w:rPr>
        <w:t>Number of Shares: 53,571 shares of Common Stock (the “</w:t>
      </w:r>
      <w:r>
        <w:rPr>
          <w:rFonts w:ascii="Times New Roman" w:cs="Times New Roman" w:eastAsia="Times New Roman" w:hAnsi="Times New Roman"/>
          <w:sz w:val="14"/>
          <w:szCs w:val="14"/>
          <w:u w:val="single" w:color="auto"/>
          <w:color w:val="auto"/>
        </w:rPr>
        <w:t>Initial Shares</w:t>
      </w:r>
      <w:r>
        <w:rPr>
          <w:rFonts w:ascii="Times New Roman" w:cs="Times New Roman" w:eastAsia="Times New Roman" w:hAnsi="Times New Roman"/>
          <w:sz w:val="14"/>
          <w:szCs w:val="14"/>
          <w:color w:val="auto"/>
        </w:rPr>
        <w:t xml:space="preserve">”), plus all Additional Shares (as defined in </w:t>
      </w:r>
      <w:r>
        <w:rPr>
          <w:rFonts w:ascii="Times New Roman" w:cs="Times New Roman" w:eastAsia="Times New Roman" w:hAnsi="Times New Roman"/>
          <w:sz w:val="14"/>
          <w:szCs w:val="14"/>
          <w:u w:val="single" w:color="auto"/>
          <w:color w:val="auto"/>
        </w:rPr>
        <w:t>Section 1.8</w:t>
      </w:r>
      <w:r>
        <w:rPr>
          <w:rFonts w:ascii="Times New Roman" w:cs="Times New Roman" w:eastAsia="Times New Roman" w:hAnsi="Times New Roman"/>
          <w:sz w:val="14"/>
          <w:szCs w:val="14"/>
          <w:color w:val="auto"/>
        </w:rPr>
        <w:t xml:space="preserve"> hereof) which Holder (as defined below) is entitled to purchase pursuant to Section 1.8 hereof (subject to adjustments made pursuant to stock splits, reverse stock splits, and other events specified in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maximum aggregate number of shares of Common Stock issuable pursuant to the terms and conditions of this Warrant shall not exceed 80,357 shares of Common Stock (as may be adjusted in accordance with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Class of Stock: Common Stock.</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Exercise Price per Share: $2.80</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Issue Date: October 12, 2021</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Expiration Date: October 12, 2031</w:t>
      </w:r>
    </w:p>
    <w:p>
      <w:pPr>
        <w:spacing w:after="0" w:line="175" w:lineRule="exact"/>
        <w:rPr>
          <w:sz w:val="20"/>
          <w:szCs w:val="20"/>
          <w:color w:val="auto"/>
        </w:rPr>
      </w:pPr>
    </w:p>
    <w:p>
      <w:pPr>
        <w:ind w:left="220" w:right="479"/>
        <w:spacing w:after="0" w:line="261" w:lineRule="auto"/>
        <w:rPr>
          <w:sz w:val="20"/>
          <w:szCs w:val="20"/>
          <w:color w:val="auto"/>
        </w:rPr>
      </w:pPr>
      <w:r>
        <w:rPr>
          <w:rFonts w:ascii="Times New Roman" w:cs="Times New Roman" w:eastAsia="Times New Roman" w:hAnsi="Times New Roman"/>
          <w:sz w:val="14"/>
          <w:szCs w:val="14"/>
          <w:color w:val="auto"/>
        </w:rPr>
        <w:t>THIS WARRANT CERTIFIES THAT, for the agreed upon value of $1.00 and for other good and valuable consideration, WESTERN ALLIANCE BANK, or its assignees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to purchase the number of fully paid and nonassessable shares of the Company’s capital stock set forth above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at the Exercise Price per Share set forth above, as the same may be from time to time adjusted pursuant to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hereof and subject to the provisions and upon the terms and conditions set forth in this Warrant.</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1. EXERCISE.</w:t>
      </w:r>
    </w:p>
    <w:p>
      <w:pPr>
        <w:spacing w:after="0" w:line="175"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xml:space="preserve">. This Warrant is exercisable, in whole or in part, at any time and from time to time on or before the Expiration Date set forth above. Holder may exercise this Warrant by delivering a duly executed Notice of Exercise, in substantially the form attached hereto as </w:t>
      </w:r>
      <w:r>
        <w:rPr>
          <w:rFonts w:ascii="Times New Roman" w:cs="Times New Roman" w:eastAsia="Times New Roman" w:hAnsi="Times New Roman"/>
          <w:sz w:val="14"/>
          <w:szCs w:val="14"/>
          <w:u w:val="single" w:color="auto"/>
          <w:color w:val="auto"/>
        </w:rPr>
        <w:t>Appendix 1</w:t>
      </w:r>
      <w:r>
        <w:rPr>
          <w:rFonts w:ascii="Times New Roman" w:cs="Times New Roman" w:eastAsia="Times New Roman" w:hAnsi="Times New Roman"/>
          <w:sz w:val="14"/>
          <w:szCs w:val="14"/>
          <w:color w:val="auto"/>
        </w:rPr>
        <w:t xml:space="preserve">, to the principal office of Company. Unless Holder is exercising the conversion right set forth in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Holder shall also deliver to Company an amount equal to the aggregate Exercise Price for Shares being purchased, by check or wire.</w:t>
      </w:r>
    </w:p>
    <w:p>
      <w:pPr>
        <w:spacing w:after="0" w:line="139" w:lineRule="exact"/>
        <w:rPr>
          <w:sz w:val="20"/>
          <w:szCs w:val="20"/>
          <w:color w:val="auto"/>
        </w:rPr>
      </w:pPr>
    </w:p>
    <w:p>
      <w:pPr>
        <w:ind w:left="220" w:right="3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Conversion Right</w:t>
      </w:r>
      <w:r>
        <w:rPr>
          <w:rFonts w:ascii="Times New Roman" w:cs="Times New Roman" w:eastAsia="Times New Roman" w:hAnsi="Times New Roman"/>
          <w:sz w:val="14"/>
          <w:szCs w:val="14"/>
          <w:color w:val="auto"/>
        </w:rPr>
        <w:t xml:space="preserve">. In lieu of exercising this Warrant as specified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Holder may from time to time convert this Warrant, in whole or in part, into a number of Shares determined by dividing (a) the aggregate fair market value of Shares or other securities otherwise issuable upon exercise of this Warrant minus the aggregate Exercise Price of such Shares by (b) the fair market value of one Share. The fair market value of Shares shall be determined pursuant to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20" w:right="279" w:firstLine="342"/>
        <w:spacing w:after="0" w:line="255"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If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If the Shares are not traded in a public market, the Board of Directors of Company shall determine fair market value in its reasonable good faith judgment. The foregoing notwithstanding, if Holder advises the Board of Directors in writing that Holder disagrees with such determination, then Company and Holder shall promptly agree upon a reputable investment banking firm to undertake such valuation. If the valuation of such investment banking firm is greater than that determined by the Board of Directors, then all fees and expenses of such investment banking firm shall be paid by Company. In all other circumstances, such fees and expenses of such investment banking firm shall be paid by Holder.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501" w:name="page502"/>
    <w:bookmarkEnd w:id="501"/>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1.4 </w:t>
      </w:r>
      <w:r>
        <w:rPr>
          <w:rFonts w:ascii="Times New Roman" w:cs="Times New Roman" w:eastAsia="Times New Roman" w:hAnsi="Times New Roman"/>
          <w:sz w:val="14"/>
          <w:szCs w:val="14"/>
          <w:u w:val="single" w:color="auto"/>
          <w:color w:val="auto"/>
        </w:rPr>
        <w:t>Delivery of Certificate and New Warrant</w:t>
      </w:r>
      <w:r>
        <w:rPr>
          <w:rFonts w:ascii="Times New Roman" w:cs="Times New Roman" w:eastAsia="Times New Roman" w:hAnsi="Times New Roman"/>
          <w:sz w:val="14"/>
          <w:szCs w:val="14"/>
          <w:color w:val="auto"/>
        </w:rPr>
        <w:t>. Promptly (and in no event more than 3 business days after exercise) after Holder exercises or converts this Warrant, Company shall deliver to Holder certificates for Shares acquired and, if this Warrant has not been fully exercised or converted and has not expired, a new Warrant representing Shares not yet acquired.</w:t>
      </w:r>
    </w:p>
    <w:p>
      <w:pPr>
        <w:spacing w:after="0" w:line="136" w:lineRule="exact"/>
        <w:rPr>
          <w:sz w:val="20"/>
          <w:szCs w:val="20"/>
          <w:color w:val="auto"/>
        </w:rPr>
      </w:pPr>
    </w:p>
    <w:p>
      <w:pPr>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Replacement of Warrants</w:t>
      </w:r>
      <w:r>
        <w:rPr>
          <w:rFonts w:ascii="Times New Roman" w:cs="Times New Roman" w:eastAsia="Times New Roman" w:hAnsi="Times New Roman"/>
          <w:sz w:val="14"/>
          <w:szCs w:val="14"/>
          <w:color w:val="auto"/>
        </w:rPr>
        <w:t>. On receipt of evidence reasonably satisfactory to Company of the loss, theft, destruction or mutilation of this Warrant and, in the case of loss, theft or destruction, on delivery of an indemnity agreement reasonably satisfactory in form and amount to Company or, in the case of mutilation, on surrender and cancellation of this Warrant, Company at its expense shall execute and deliver a replacement Warrant.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Sale, Merger, or Consolidation of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79" w:firstLine="773"/>
        <w:spacing w:after="0" w:line="256" w:lineRule="auto"/>
        <w:tabs>
          <w:tab w:leader="none" w:pos="1181"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this Warrant, “</w:t>
      </w: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means any sale, license, or other disposition of all or substantially all of the assets of Company, or any reorganization, consolidation, or merger of Company where the holders of Company’s securities before the transaction beneficially own less than 50% of the outstanding voting securities of the surviving entity after the transaction, other than by the sale of the Company’s equity securities to venture capital or private equity investors in a bona fide equity financing primarily for capital raising purposes so long as the Company identifies to Bank the venture capital or private equity investors at least five (5) Business Days prior to the closing of the transaction and provides to Bank a description of the material terms of the transaction.</w:t>
      </w:r>
    </w:p>
    <w:p>
      <w:pPr>
        <w:spacing w:after="0" w:line="144" w:lineRule="exact"/>
        <w:rPr>
          <w:rFonts w:ascii="Times New Roman" w:cs="Times New Roman" w:eastAsia="Times New Roman" w:hAnsi="Times New Roman"/>
          <w:sz w:val="14"/>
          <w:szCs w:val="14"/>
          <w:color w:val="auto"/>
        </w:rPr>
      </w:pPr>
    </w:p>
    <w:p>
      <w:pPr>
        <w:ind w:left="220" w:right="319" w:firstLine="773"/>
        <w:spacing w:after="0" w:line="277" w:lineRule="auto"/>
        <w:tabs>
          <w:tab w:leader="none" w:pos="1189"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this Warrant “</w:t>
      </w:r>
      <w:r>
        <w:rPr>
          <w:rFonts w:ascii="Times New Roman" w:cs="Times New Roman" w:eastAsia="Times New Roman" w:hAnsi="Times New Roman"/>
          <w:sz w:val="13"/>
          <w:szCs w:val="13"/>
          <w:u w:val="single" w:color="auto"/>
          <w:color w:val="auto"/>
        </w:rPr>
        <w:t>Marketable Securities</w:t>
      </w:r>
      <w:r>
        <w:rPr>
          <w:rFonts w:ascii="Times New Roman" w:cs="Times New Roman" w:eastAsia="Times New Roman" w:hAnsi="Times New Roman"/>
          <w:sz w:val="13"/>
          <w:szCs w:val="13"/>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 and is then current in its filing of all required reports and other information under the Securities Act of 1933, as amended, and the Exchange Act;</w:t>
      </w:r>
    </w:p>
    <w:p>
      <w:pPr>
        <w:ind w:left="220" w:right="259" w:firstLine="3"/>
        <w:spacing w:after="0" w:line="252" w:lineRule="auto"/>
        <w:tabs>
          <w:tab w:leader="none" w:pos="426"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and series of shares or other security of the issuer that would be received by Holder in connection with the Acquisition were Holder to exercise this Warrant on or prior to the closing thereof is then traded in a nationally recognized securities exchange, inter-dealer quotation system or over-the-counter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46" w:lineRule="exact"/>
        <w:rPr>
          <w:rFonts w:ascii="Times New Roman" w:cs="Times New Roman" w:eastAsia="Times New Roman" w:hAnsi="Times New Roman"/>
          <w:sz w:val="14"/>
          <w:szCs w:val="14"/>
          <w:color w:val="auto"/>
        </w:rPr>
      </w:pPr>
    </w:p>
    <w:p>
      <w:pPr>
        <w:ind w:left="220" w:right="239" w:firstLine="773"/>
        <w:spacing w:after="0" w:line="253" w:lineRule="auto"/>
        <w:tabs>
          <w:tab w:leader="none" w:pos="1181"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4"/>
          <w:szCs w:val="14"/>
          <w:b w:val="1"/>
          <w:bCs w:val="1"/>
          <w:u w:val="single" w:color="auto"/>
          <w:color w:val="auto"/>
        </w:rPr>
        <w:t>Cash/Public Acquisition</w:t>
      </w:r>
      <w:r>
        <w:rPr>
          <w:rFonts w:ascii="Times New Roman" w:cs="Times New Roman" w:eastAsia="Times New Roman" w:hAnsi="Times New Roman"/>
          <w:sz w:val="14"/>
          <w:szCs w:val="14"/>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exercised pursuant to Section 1.2 above as to all Shares effective immediately prior to and contingent upon the consummation of a Cash/Public Acquisition. In connection with such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502" w:name="page503"/>
    <w:bookmarkEnd w:id="502"/>
    <w:p>
      <w:pPr>
        <w:ind w:left="220" w:right="239" w:firstLine="773"/>
        <w:spacing w:after="0" w:line="253" w:lineRule="auto"/>
        <w:tabs>
          <w:tab w:leader="none" w:pos="1189"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Upon the closing of any Acquisition other than a Cash/Public Acquisition defined above, either (i)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Holder shall put this Warrant back to the Company for a cash fee equal to the greater of (x) (i) Three Hundred Thousand Dollars ($300,000), plus (ii) if the Additional Term B Loan Shares have been granted hereunder, an additional Seventy-Five Thousand Seven Hundred Dollars ($75,000) plus (iii) if the Additional Term C Loan Shares have been granted hereunder, an additional Seventy-Five Thousand Seven Hundred Dollars ($75,000), or (y) the value of the aggregate consideration payable to Holder had Holder exercised this Warrant pursuant to Section 1.2 immediately prior to such Put Right Trigger Event (such right, the “Put Right” and such fee the “Put Fee”). Company shall provide Holder no less than ten (10) days’ written notice prior to the occurrence of an Acquisition. Upon Holder’s exercise of the Put Right and receipt of the Put Fee in immediately available funds, this Warrant shall terminate automatically and be no further force or effect.</w:t>
      </w:r>
    </w:p>
    <w:p>
      <w:pPr>
        <w:spacing w:after="0" w:line="148" w:lineRule="exact"/>
        <w:rPr>
          <w:sz w:val="20"/>
          <w:szCs w:val="20"/>
          <w:color w:val="auto"/>
        </w:rPr>
      </w:pPr>
    </w:p>
    <w:p>
      <w:pPr>
        <w:ind w:left="220" w:right="319" w:firstLine="342"/>
        <w:spacing w:after="0" w:line="258"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Automatic Cashless Exercise upon Expiration</w:t>
      </w:r>
      <w:r>
        <w:rPr>
          <w:rFonts w:ascii="Times New Roman" w:cs="Times New Roman" w:eastAsia="Times New Roman" w:hAnsi="Times New Roman"/>
          <w:sz w:val="14"/>
          <w:szCs w:val="14"/>
          <w:color w:val="auto"/>
        </w:rPr>
        <w:t xml:space="preserve">. In the event that, upon the Expiration Date or other termination of the warrant, the fair market value of one Share (or other security issuable upon the exercise hereof) as determined in accordance with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above is greater than the Exercise Price in effect on such date, then this Warrant shall automatically be deemed on and as of such date to be exercised pursuant to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2" w:lineRule="exact"/>
        <w:rPr>
          <w:sz w:val="20"/>
          <w:szCs w:val="20"/>
          <w:color w:val="auto"/>
        </w:rPr>
      </w:pPr>
    </w:p>
    <w:p>
      <w:pPr>
        <w:ind w:left="220" w:right="239" w:firstLine="342"/>
        <w:spacing w:after="0" w:line="254" w:lineRule="auto"/>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u w:val="single" w:color="auto"/>
          <w:color w:val="auto"/>
        </w:rPr>
        <w:t>Additional Shares</w:t>
      </w:r>
      <w:r>
        <w:rPr>
          <w:rFonts w:ascii="Times New Roman" w:cs="Times New Roman" w:eastAsia="Times New Roman" w:hAnsi="Times New Roman"/>
          <w:sz w:val="14"/>
          <w:szCs w:val="14"/>
          <w:color w:val="auto"/>
        </w:rPr>
        <w:t>. In addition to the right to purchase the Initial Shares granted to Holder on the Issue Date, on the Funding Date (as defined in the Loan Agreement) of the Term B Loan (as defined in the Loan Agreement) in accordance with the Loan Agreement, this Warrant shall become exercisable for a number of Shares equal to (a) the number of Initial Shares for which this Warrant is then exercisable, plus (b) 13,393 shares of Common Stock (the “</w:t>
      </w:r>
      <w:r>
        <w:rPr>
          <w:rFonts w:ascii="Times New Roman" w:cs="Times New Roman" w:eastAsia="Times New Roman" w:hAnsi="Times New Roman"/>
          <w:sz w:val="14"/>
          <w:szCs w:val="14"/>
          <w:u w:val="single" w:color="auto"/>
          <w:color w:val="auto"/>
        </w:rPr>
        <w:t>Additional Term B Loan Shares</w:t>
      </w:r>
      <w:r>
        <w:rPr>
          <w:rFonts w:ascii="Times New Roman" w:cs="Times New Roman" w:eastAsia="Times New Roman" w:hAnsi="Times New Roman"/>
          <w:sz w:val="14"/>
          <w:szCs w:val="14"/>
          <w:color w:val="auto"/>
        </w:rPr>
        <w:t>”). Furthermore, on the Funding Date (as defined in the Loan Agreement) of the Term C Loan (as defined in the Loan Agreement) in accordance with the Loan Agreement, this Warrant shall become exercisable for a number of Share equal to (a) the number of Initial Shares for which this Warrant is then exercisable, plus (b) the Additional Term B Loan Shares, plus (c) 13,393 (the “</w:t>
      </w:r>
      <w:r>
        <w:rPr>
          <w:rFonts w:ascii="Times New Roman" w:cs="Times New Roman" w:eastAsia="Times New Roman" w:hAnsi="Times New Roman"/>
          <w:sz w:val="14"/>
          <w:szCs w:val="14"/>
          <w:u w:val="single" w:color="auto"/>
          <w:color w:val="auto"/>
        </w:rPr>
        <w:t>Additional Term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Loan Shares</w:t>
      </w:r>
      <w:r>
        <w:rPr>
          <w:rFonts w:ascii="Times New Roman" w:cs="Times New Roman" w:eastAsia="Times New Roman" w:hAnsi="Times New Roman"/>
          <w:sz w:val="14"/>
          <w:szCs w:val="14"/>
          <w:color w:val="auto"/>
        </w:rPr>
        <w:t xml:space="preserve">”). For the sake of clarity, the maximum aggregate number of Shares issuable pursuant to the terms and conditions of this Warrant shall not exceed 80,357 Shares (as may be adjusted in accordance with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2. ADJUSTMENTS.</w:t>
      </w:r>
    </w:p>
    <w:p>
      <w:pPr>
        <w:spacing w:after="0" w:line="175" w:lineRule="exact"/>
        <w:rPr>
          <w:sz w:val="20"/>
          <w:szCs w:val="20"/>
          <w:color w:val="auto"/>
        </w:rPr>
      </w:pPr>
    </w:p>
    <w:p>
      <w:pPr>
        <w:ind w:left="220" w:right="319" w:firstLine="342"/>
        <w:spacing w:after="0" w:line="256"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Stock Dividends, Splits, Etc</w:t>
      </w:r>
      <w:r>
        <w:rPr>
          <w:rFonts w:ascii="Times New Roman" w:cs="Times New Roman" w:eastAsia="Times New Roman" w:hAnsi="Times New Roman"/>
          <w:sz w:val="14"/>
          <w:szCs w:val="14"/>
          <w:color w:val="auto"/>
        </w:rPr>
        <w:t>. If Company declares or pays a dividend on its common stock (or Shares, if Shares are securities other than common stock) payable in common stock or other securities or property, subdivides the outstanding common stock into a greater amount of common stock, or, if Shares are securities other than common stock, subdivides Shares in a transaction that increases the amount of common stock into which Shares are convertible, then upon exercise of this Warrant, for each Share acquired, Holder shall receive, without cost to Holder, the total number and kind of securities to which Holder would have been entitled had Holder owned Shares on the record date the dividend or subdivision occurred since the original issue date of this Warrant.</w:t>
      </w:r>
    </w:p>
    <w:p>
      <w:pPr>
        <w:spacing w:after="0" w:line="145" w:lineRule="exact"/>
        <w:rPr>
          <w:sz w:val="20"/>
          <w:szCs w:val="20"/>
          <w:color w:val="auto"/>
        </w:rPr>
      </w:pPr>
    </w:p>
    <w:p>
      <w:pPr>
        <w:ind w:left="220" w:right="259" w:firstLine="342"/>
        <w:spacing w:after="0" w:line="25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Reclassification, Recapitalization, Exchange or Substitution</w:t>
      </w:r>
      <w:r>
        <w:rPr>
          <w:rFonts w:ascii="Times New Roman" w:cs="Times New Roman" w:eastAsia="Times New Roman" w:hAnsi="Times New Roman"/>
          <w:sz w:val="14"/>
          <w:szCs w:val="14"/>
          <w:color w:val="auto"/>
        </w:rPr>
        <w:t xml:space="preserve">. Upon any reclassification, recapitalization,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Shares if this Warrant had been exercised immediately before such reclassification, recapitalization, exchange, substitution, or other event. Company or its successor shall promptly issue to Holder a new Warrant for such new securities or other property. The new Warrant shall provide for adjustments which shall be as nearly equivalent as may be practicable to the adjustments provided for in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including, without limitation, adjustments to the Exercise Price and to the number of securities or property issuable upon exercise of the new Warrant. The provisions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shall similarly apply to successive reclassifications, recapitalizations, exchanges, substitutions, or other events.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503" w:name="page504"/>
    <w:bookmarkEnd w:id="503"/>
    <w:p>
      <w:pPr>
        <w:ind w:left="220" w:right="55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2.3 </w:t>
      </w:r>
      <w:r>
        <w:rPr>
          <w:rFonts w:ascii="Times New Roman" w:cs="Times New Roman" w:eastAsia="Times New Roman" w:hAnsi="Times New Roman"/>
          <w:sz w:val="14"/>
          <w:szCs w:val="14"/>
          <w:u w:val="single" w:color="auto"/>
          <w:color w:val="auto"/>
        </w:rPr>
        <w:t>Adjustments for Combinations, Etc</w:t>
      </w:r>
      <w:r>
        <w:rPr>
          <w:rFonts w:ascii="Times New Roman" w:cs="Times New Roman" w:eastAsia="Times New Roman" w:hAnsi="Times New Roman"/>
          <w:sz w:val="14"/>
          <w:szCs w:val="14"/>
          <w:color w:val="auto"/>
        </w:rPr>
        <w:t>. If the outstanding Shares are combined or consolidated, by reclassification or otherwise, into a lesser number of shares, the Exercise Price shall be proportionately increased and the number of Shares as to which this warrant is exercisable shall be proportionately decreased.</w:t>
      </w:r>
    </w:p>
    <w:p>
      <w:pPr>
        <w:spacing w:after="0" w:line="136" w:lineRule="exact"/>
        <w:rPr>
          <w:sz w:val="20"/>
          <w:szCs w:val="20"/>
          <w:color w:val="auto"/>
        </w:rPr>
      </w:pPr>
    </w:p>
    <w:p>
      <w:pPr>
        <w:ind w:left="220" w:right="239" w:firstLine="342"/>
        <w:spacing w:after="0" w:line="255"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No Impairment</w:t>
      </w:r>
      <w:r>
        <w:rPr>
          <w:rFonts w:ascii="Times New Roman" w:cs="Times New Roman" w:eastAsia="Times New Roman" w:hAnsi="Times New Roman"/>
          <w:sz w:val="14"/>
          <w:szCs w:val="14"/>
          <w:color w:val="auto"/>
        </w:rPr>
        <w:t xml:space="preserv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Company, but shall at all times in good faith assist in carrying out of all the provisions of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and in taking all such action as may be necessary or appropriate to protect Holder’s rights under this Article against impairment. If Company takes any action affecting Shares as described above that adversely affects Holder’s rights under this Warrant, the Exercise Price shall be adjusted downward and the number of Shares issuable upon exercise of this Warrant shall be adjusted upward in such a manner that such action is offset and the aggregate Exercise Price of this Warrant is unchanged.</w:t>
      </w:r>
    </w:p>
    <w:p>
      <w:pPr>
        <w:spacing w:after="0" w:line="146" w:lineRule="exact"/>
        <w:rPr>
          <w:sz w:val="20"/>
          <w:szCs w:val="20"/>
          <w:color w:val="auto"/>
        </w:rPr>
      </w:pPr>
    </w:p>
    <w:p>
      <w:pPr>
        <w:jc w:val="both"/>
        <w:ind w:left="220" w:right="4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shall be issuable upon exercise or conversion of the Warrant and the number of Shares to be issued shall be rounded down to the nearest whole Share. If a fractional share interest arises upon any exercise or conversion of the Warrant, Company shall eliminate such fractional share interest by paying Holder an amount computed by multiplying the fractional interest by the fair market value of a full Share.</w:t>
      </w:r>
    </w:p>
    <w:p>
      <w:pPr>
        <w:spacing w:after="0" w:line="139" w:lineRule="exact"/>
        <w:rPr>
          <w:sz w:val="20"/>
          <w:szCs w:val="20"/>
          <w:color w:val="auto"/>
        </w:rPr>
      </w:pPr>
    </w:p>
    <w:p>
      <w:pPr>
        <w:ind w:left="220" w:right="359" w:firstLine="342"/>
        <w:spacing w:after="0" w:line="266"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Upon each adjustment of the Exercise Price, Company at its expense shall promptly compute such adjustment, and furnish Holder with a certificate of its Chief Financial Officer setting forth the Exercise Price in effect upon the date thereof and the series of adjustments leading to such Exercise Price, and the facts upon which such adjustment is based.</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3. REPRESENTATIONS, WARRANTIES AND COVENANTS OF COMPANY.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hereby represents and warrants to the Holder as follows:</w:t>
      </w:r>
    </w:p>
    <w:p>
      <w:pPr>
        <w:spacing w:after="0" w:line="91" w:lineRule="exact"/>
        <w:rPr>
          <w:sz w:val="20"/>
          <w:szCs w:val="20"/>
          <w:color w:val="auto"/>
        </w:rPr>
      </w:pPr>
    </w:p>
    <w:p>
      <w:pPr>
        <w:ind w:left="220" w:right="479" w:firstLine="773"/>
        <w:spacing w:after="0" w:line="282" w:lineRule="auto"/>
        <w:tabs>
          <w:tab w:leader="none" w:pos="1181"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Exercise Price referenced on the first page of this Warrant is not greater than the fair market value of the Shares as of the date of this Warrant.</w:t>
      </w:r>
    </w:p>
    <w:p>
      <w:pPr>
        <w:spacing w:after="0" w:line="125" w:lineRule="exact"/>
        <w:rPr>
          <w:rFonts w:ascii="Times New Roman" w:cs="Times New Roman" w:eastAsia="Times New Roman" w:hAnsi="Times New Roman"/>
          <w:sz w:val="14"/>
          <w:szCs w:val="14"/>
          <w:color w:val="auto"/>
        </w:rPr>
      </w:pPr>
    </w:p>
    <w:p>
      <w:pPr>
        <w:ind w:left="220" w:right="359" w:firstLine="773"/>
        <w:spacing w:after="0" w:line="282" w:lineRule="auto"/>
        <w:tabs>
          <w:tab w:leader="none" w:pos="1189"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the Company has sufficient authorized shares reserved for the issuance of all capital stock which may be issued upon the exercise of this Warrant.</w:t>
      </w:r>
    </w:p>
    <w:p>
      <w:pPr>
        <w:spacing w:after="0" w:line="125"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capitalization table attached to this Warrant as </w:t>
      </w:r>
      <w:r>
        <w:rPr>
          <w:rFonts w:ascii="Times New Roman" w:cs="Times New Roman" w:eastAsia="Times New Roman" w:hAnsi="Times New Roman"/>
          <w:sz w:val="14"/>
          <w:szCs w:val="14"/>
          <w:u w:val="single" w:color="auto"/>
          <w:color w:val="auto"/>
        </w:rPr>
        <w:t>Appendix 2</w:t>
      </w:r>
      <w:r>
        <w:rPr>
          <w:rFonts w:ascii="Times New Roman" w:cs="Times New Roman" w:eastAsia="Times New Roman" w:hAnsi="Times New Roman"/>
          <w:sz w:val="14"/>
          <w:szCs w:val="14"/>
          <w:color w:val="auto"/>
        </w:rPr>
        <w:t xml:space="preserve"> is true and complete as of the Issue Date.</w:t>
      </w:r>
    </w:p>
    <w:p>
      <w:pPr>
        <w:spacing w:after="0" w:line="175" w:lineRule="exact"/>
        <w:rPr>
          <w:sz w:val="20"/>
          <w:szCs w:val="20"/>
          <w:color w:val="auto"/>
        </w:rPr>
      </w:pPr>
    </w:p>
    <w:p>
      <w:pPr>
        <w:jc w:val="both"/>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Company shall take all steps necessary to insure that all Shares which may be issued upon the exercise of this Warrant, and all securities, if any, issuable upon conversion of Shares, shall, upon issuance, be duly authorized, validly issued, fully paid and nonassessable, and free of any liens and encumbrances except for restrictions on transfer provided for herein or under applicable federal and state securities laws.</w:t>
      </w:r>
    </w:p>
    <w:p>
      <w:pPr>
        <w:spacing w:after="0" w:line="136"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Notice of Certain Events</w:t>
      </w:r>
      <w:r>
        <w:rPr>
          <w:rFonts w:ascii="Times New Roman" w:cs="Times New Roman" w:eastAsia="Times New Roman" w:hAnsi="Times New Roman"/>
          <w:sz w:val="14"/>
          <w:szCs w:val="14"/>
          <w:color w:val="auto"/>
        </w:rPr>
        <w:t>. If Company proposes at any time (a) to declare any dividend or distribution upon its common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(d) to merge or consolidate with or into any other corporation, or sell,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504" w:name="page505"/>
    <w:bookmarkEnd w:id="504"/>
    <w:p>
      <w:pPr>
        <w:ind w:left="22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Company shall give Holder (1) in the case of the matters referred to in (a) and (b) above at least 10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(c) and (d) above; (2) in the case of the matters referred to in (c) and (d) above at least 10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48" w:lineRule="exact"/>
        <w:rPr>
          <w:sz w:val="20"/>
          <w:szCs w:val="20"/>
          <w:color w:val="auto"/>
        </w:rPr>
      </w:pPr>
    </w:p>
    <w:p>
      <w:pPr>
        <w:ind w:left="220" w:right="239" w:firstLine="342"/>
        <w:spacing w:after="0" w:line="256" w:lineRule="auto"/>
        <w:rPr>
          <w:sz w:val="20"/>
          <w:szCs w:val="20"/>
          <w:color w:val="auto"/>
        </w:rPr>
      </w:pPr>
      <w:r>
        <w:rPr>
          <w:rFonts w:ascii="Times New Roman" w:cs="Times New Roman" w:eastAsia="Times New Roman" w:hAnsi="Times New Roman"/>
          <w:sz w:val="14"/>
          <w:szCs w:val="14"/>
          <w:color w:val="auto"/>
        </w:rPr>
        <w:t xml:space="preserve">3.4 (a)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So long as the Holder holds this Warrant and/or any of the Shares, Company shall deliver to Holder (a) promptly, copies of all notices or other written communications to which Holder would be entitled if it held Shares as to which this Warrant was then exercisable and (b) such other financial statements required under and in accordance with any loan documents between Holder and Company, or if there are no such requirements or if the subject loan(s) are no longer are outstanding, the financial statements deliverable pursuant to Sections 3.1(a)(i) and 3.1(a)(ii) of the Investors’ Rights Agreement (as defined below) as if the Holder were a “Major Investor” (as defined in the Investors’ Rights Agreement) under the Investors’ Rights Agreement.</w:t>
      </w:r>
    </w:p>
    <w:p>
      <w:pPr>
        <w:spacing w:after="0" w:line="145" w:lineRule="exact"/>
        <w:rPr>
          <w:sz w:val="20"/>
          <w:szCs w:val="20"/>
          <w:color w:val="auto"/>
        </w:rPr>
      </w:pPr>
    </w:p>
    <w:p>
      <w:pPr>
        <w:ind w:left="220" w:right="499" w:firstLine="773"/>
        <w:spacing w:after="0" w:line="266" w:lineRule="auto"/>
        <w:tabs>
          <w:tab w:leader="none" w:pos="118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 Transaction</w:t>
      </w:r>
      <w:r>
        <w:rPr>
          <w:rFonts w:ascii="Times New Roman" w:cs="Times New Roman" w:eastAsia="Times New Roman" w:hAnsi="Times New Roman"/>
          <w:sz w:val="14"/>
          <w:szCs w:val="14"/>
          <w:color w:val="auto"/>
        </w:rPr>
        <w:t>. The issuance of the Shares will each constitute a transaction exempt from (i) the registration requirements of Section 5 of the Act, in reliance upon Section 4(2) thereof and/or Regulation D thereunder, and (ii) the qualification requirements of applicable state securities laws.</w:t>
      </w:r>
    </w:p>
    <w:p>
      <w:pPr>
        <w:spacing w:after="0" w:line="136" w:lineRule="exact"/>
        <w:rPr>
          <w:rFonts w:ascii="Times New Roman" w:cs="Times New Roman" w:eastAsia="Times New Roman" w:hAnsi="Times New Roman"/>
          <w:sz w:val="14"/>
          <w:szCs w:val="14"/>
          <w:color w:val="auto"/>
        </w:rPr>
      </w:pPr>
    </w:p>
    <w:p>
      <w:pPr>
        <w:jc w:val="both"/>
        <w:ind w:left="220" w:right="239" w:firstLine="773"/>
        <w:spacing w:after="0" w:line="261" w:lineRule="auto"/>
        <w:tabs>
          <w:tab w:leader="none" w:pos="1181"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Rule 144</w:t>
      </w:r>
      <w:r>
        <w:rPr>
          <w:rFonts w:ascii="Times New Roman" w:cs="Times New Roman" w:eastAsia="Times New Roman" w:hAnsi="Times New Roman"/>
          <w:sz w:val="14"/>
          <w:szCs w:val="14"/>
          <w:color w:val="auto"/>
        </w:rPr>
        <w:t>. If the Holder proposes to sell the Shares issuable upon the exercise of this Warrant in compliance with Rule 144 promulgated by the SEC, then, upon Holder’s written request to the Company, the Company shall furnish to the Holder, within ten days after receipt of such request, a written statement confirming the Company’s compliance with the filing requirements of the SEC as set forth in such rule (as may be amended from time to time).</w:t>
      </w:r>
    </w:p>
    <w:p>
      <w:pPr>
        <w:spacing w:after="0" w:line="139" w:lineRule="exact"/>
        <w:rPr>
          <w:sz w:val="20"/>
          <w:szCs w:val="20"/>
          <w:color w:val="auto"/>
        </w:rPr>
      </w:pPr>
    </w:p>
    <w:p>
      <w:pPr>
        <w:ind w:left="220" w:right="339" w:firstLine="342"/>
        <w:spacing w:after="0" w:line="287"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The Shares shall have the same “piggyback” registration rights as are set forth in the Investors’ Rights Agreement, dated as of February 26, 2021, between Company and its investors, as from time to time in effect (the “</w:t>
      </w:r>
      <w:r>
        <w:rPr>
          <w:rFonts w:ascii="Times New Roman" w:cs="Times New Roman" w:eastAsia="Times New Roman" w:hAnsi="Times New Roman"/>
          <w:sz w:val="13"/>
          <w:szCs w:val="13"/>
          <w:u w:val="single" w:color="auto"/>
          <w:color w:val="auto"/>
        </w:rPr>
        <w:t>Investors’ Rights Agreement</w:t>
      </w:r>
      <w:r>
        <w:rPr>
          <w:rFonts w:ascii="Times New Roman" w:cs="Times New Roman" w:eastAsia="Times New Roman" w:hAnsi="Times New Roman"/>
          <w:sz w:val="13"/>
          <w:szCs w:val="13"/>
          <w:color w:val="auto"/>
        </w:rPr>
        <w:t>”). The Company has provided Holder with a true and correct copy of the Investors’ Rights Agreement, which is in full force and effect on the date hereof. Company agrees that no amendments will be made to the Investors’ Rights Agreement, which would have an adverse impact on Holder’s registration rights thereunder.</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4. REPRESENTATIONS AND COVENANTS OF HOLDER.</w:t>
      </w:r>
    </w:p>
    <w:p>
      <w:pPr>
        <w:spacing w:after="0" w:line="17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4.1 With respect to the acquisition of this Warrant and any of the Shares, Holder hereby represents and warrants to, and agrees with, the Company as follows:</w:t>
      </w:r>
    </w:p>
    <w:p>
      <w:pPr>
        <w:spacing w:after="0" w:line="41" w:lineRule="exact"/>
        <w:rPr>
          <w:sz w:val="20"/>
          <w:szCs w:val="20"/>
          <w:color w:val="auto"/>
        </w:rPr>
      </w:pPr>
    </w:p>
    <w:p>
      <w:pPr>
        <w:ind w:left="220" w:right="259" w:firstLine="773"/>
        <w:spacing w:after="0" w:line="256" w:lineRule="auto"/>
        <w:tabs>
          <w:tab w:leader="none" w:pos="1181"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Entirely for Own Account</w:t>
      </w:r>
      <w:r>
        <w:rPr>
          <w:rFonts w:ascii="Times New Roman" w:cs="Times New Roman" w:eastAsia="Times New Roman" w:hAnsi="Times New Roman"/>
          <w:sz w:val="14"/>
          <w:szCs w:val="14"/>
          <w:color w:val="auto"/>
        </w:rPr>
        <w:t>. This Warrant is issued to Holder in reliance upon Holder’s representation to the Company that this Warrant and the Shares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any of the Shares.</w:t>
      </w:r>
    </w:p>
    <w:p>
      <w:pPr>
        <w:spacing w:after="0" w:line="144" w:lineRule="exact"/>
        <w:rPr>
          <w:rFonts w:ascii="Times New Roman" w:cs="Times New Roman" w:eastAsia="Times New Roman" w:hAnsi="Times New Roman"/>
          <w:sz w:val="14"/>
          <w:szCs w:val="14"/>
          <w:color w:val="auto"/>
        </w:rPr>
      </w:pPr>
    </w:p>
    <w:p>
      <w:pPr>
        <w:jc w:val="both"/>
        <w:ind w:left="220" w:right="379" w:firstLine="773"/>
        <w:spacing w:after="0" w:line="266" w:lineRule="auto"/>
        <w:tabs>
          <w:tab w:leader="none" w:pos="1188"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upon Holder’s Representations</w:t>
      </w:r>
      <w:r>
        <w:rPr>
          <w:rFonts w:ascii="Times New Roman" w:cs="Times New Roman" w:eastAsia="Times New Roman" w:hAnsi="Times New Roman"/>
          <w:sz w:val="14"/>
          <w:szCs w:val="14"/>
          <w:color w:val="auto"/>
        </w:rPr>
        <w:t>. Holder understands that this Warrant and the Shares are not registered under the Act on the ground that the issuance of such securities is exempt from registration under the Act, and that the Company’s reliance on such exemption is predicated on Holder’s representations set forth herein.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505" w:name="page506"/>
    <w:bookmarkEnd w:id="505"/>
    <w:p>
      <w:pPr>
        <w:ind w:left="1180" w:hanging="187"/>
        <w:spacing w:after="0"/>
        <w:tabs>
          <w:tab w:leader="none" w:pos="118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Accredited Investor Status</w:t>
      </w:r>
      <w:r>
        <w:rPr>
          <w:rFonts w:ascii="Times New Roman" w:cs="Times New Roman" w:eastAsia="Times New Roman" w:hAnsi="Times New Roman"/>
          <w:sz w:val="14"/>
          <w:szCs w:val="14"/>
          <w:color w:val="auto"/>
        </w:rPr>
        <w:t>. Holder represents to the Company that Holder is an Accredited Investor (as defined in the Act).</w:t>
      </w:r>
    </w:p>
    <w:p>
      <w:pPr>
        <w:spacing w:after="0" w:line="174" w:lineRule="exact"/>
        <w:rPr>
          <w:rFonts w:ascii="Times New Roman" w:cs="Times New Roman" w:eastAsia="Times New Roman" w:hAnsi="Times New Roman"/>
          <w:sz w:val="14"/>
          <w:szCs w:val="14"/>
          <w:color w:val="auto"/>
        </w:rPr>
      </w:pPr>
    </w:p>
    <w:p>
      <w:pPr>
        <w:ind w:left="220" w:right="259" w:firstLine="773"/>
        <w:spacing w:after="0" w:line="266" w:lineRule="auto"/>
        <w:tabs>
          <w:tab w:leader="none" w:pos="118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Holder understands that this Warrant and the Shares are “restricted securities” under the federal securities laws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5. MISCELLANEOUS.</w:t>
      </w:r>
    </w:p>
    <w:p>
      <w:pPr>
        <w:spacing w:after="0" w:line="175"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This Warrant and the Shares (and the securities issuable, directly or indirectly, upon conversion of Shares, if any) shall be imprinted with a legend in substantially the following form:</w:t>
      </w:r>
    </w:p>
    <w:p>
      <w:pPr>
        <w:spacing w:after="0" w:line="41" w:lineRule="exact"/>
        <w:rPr>
          <w:sz w:val="20"/>
          <w:szCs w:val="20"/>
          <w:color w:val="auto"/>
        </w:rPr>
      </w:pPr>
    </w:p>
    <w:p>
      <w:pPr>
        <w:ind w:left="220" w:right="339"/>
        <w:spacing w:after="0" w:line="258" w:lineRule="auto"/>
        <w:rPr>
          <w:sz w:val="20"/>
          <w:szCs w:val="20"/>
          <w:color w:val="auto"/>
        </w:rPr>
      </w:pPr>
      <w:r>
        <w:rPr>
          <w:rFonts w:ascii="Times New Roman" w:cs="Times New Roman" w:eastAsia="Times New Roman" w:hAnsi="Times New Roman"/>
          <w:sz w:val="14"/>
          <w:szCs w:val="14"/>
          <w:color w:val="auto"/>
        </w:rPr>
        <w:t>“THESE SECURITIES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142"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Compliance with Securities Laws on Transfer</w:t>
      </w:r>
      <w:r>
        <w:rPr>
          <w:rFonts w:ascii="Times New Roman" w:cs="Times New Roman" w:eastAsia="Times New Roman" w:hAnsi="Times New Roman"/>
          <w:sz w:val="14"/>
          <w:szCs w:val="14"/>
          <w:color w:val="auto"/>
        </w:rPr>
        <w:t>. This Warrant and the Shares issuable upon exercise of this Warrant (and the securities issuable, directly or indirectly, upon conversion of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Company, as reasonably requested by Company). Company shall not require Holder to provide an opinion of counsel if the transfer is to Holder’s parent company, Western Alliance Bancorporation, or any other affiliate of Holder, or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48"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Transfer Procedure</w:t>
      </w:r>
      <w:r>
        <w:rPr>
          <w:rFonts w:ascii="Times New Roman" w:cs="Times New Roman" w:eastAsia="Times New Roman" w:hAnsi="Times New Roman"/>
          <w:sz w:val="14"/>
          <w:szCs w:val="14"/>
          <w:color w:val="auto"/>
        </w:rPr>
        <w:t>. After receipt by Holder of the executed Warrant, Holder may transfer all of this Warrant to Holder’s parent company, Western Alliance Bancorporation, or an affiliate thereof or successor thereto (the “</w:t>
      </w:r>
      <w:r>
        <w:rPr>
          <w:rFonts w:ascii="Times New Roman" w:cs="Times New Roman" w:eastAsia="Times New Roman" w:hAnsi="Times New Roman"/>
          <w:sz w:val="14"/>
          <w:szCs w:val="14"/>
          <w:u w:val="single" w:color="auto"/>
          <w:color w:val="auto"/>
        </w:rPr>
        <w:t>Subsequent Holder</w:t>
      </w:r>
      <w:r>
        <w:rPr>
          <w:rFonts w:ascii="Times New Roman" w:cs="Times New Roman" w:eastAsia="Times New Roman" w:hAnsi="Times New Roman"/>
          <w:sz w:val="14"/>
          <w:szCs w:val="14"/>
          <w:color w:val="auto"/>
        </w:rPr>
        <w:t xml:space="preserve">”), by execution of an Assignment substantially in the form of </w:t>
      </w:r>
      <w:r>
        <w:rPr>
          <w:rFonts w:ascii="Times New Roman" w:cs="Times New Roman" w:eastAsia="Times New Roman" w:hAnsi="Times New Roman"/>
          <w:sz w:val="14"/>
          <w:szCs w:val="14"/>
          <w:u w:val="single" w:color="auto"/>
          <w:color w:val="auto"/>
        </w:rPr>
        <w:t>Appendix 3</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Article 4.7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and upon providing Company with written notice, the Subsequent Holder may transfer all or part of this Warrant or the Shares issuable upon exercise of this Warrant (or the Shares issuable directly or indirectly, upon conversion of the Shares, if any) to any Affiliate of the Subsequent Holder,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146" w:lineRule="exact"/>
        <w:rPr>
          <w:sz w:val="20"/>
          <w:szCs w:val="20"/>
          <w:color w:val="auto"/>
        </w:rPr>
      </w:pPr>
    </w:p>
    <w:p>
      <w:pPr>
        <w:ind w:left="220" w:right="63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The Holder hereby agrees that any Shares issued upon exercise of this Warrant, or Shares, shall also be subject to the market stand-off provisions of Section 2.12 of the Investors Rights Agreement, as may be amended from time to time.</w:t>
      </w:r>
    </w:p>
    <w:p>
      <w:pPr>
        <w:spacing w:after="0" w:line="125" w:lineRule="exact"/>
        <w:rPr>
          <w:sz w:val="20"/>
          <w:szCs w:val="20"/>
          <w:color w:val="auto"/>
        </w:rPr>
      </w:pPr>
    </w:p>
    <w:p>
      <w:pPr>
        <w:ind w:left="220" w:right="259" w:firstLine="342"/>
        <w:spacing w:after="0" w:line="29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Voting Agreement</w:t>
      </w:r>
      <w:r>
        <w:rPr>
          <w:rFonts w:ascii="Times New Roman" w:cs="Times New Roman" w:eastAsia="Times New Roman" w:hAnsi="Times New Roman"/>
          <w:sz w:val="13"/>
          <w:szCs w:val="13"/>
          <w:color w:val="auto"/>
        </w:rPr>
        <w:t>. Upon any exercise of this Warrant, other than in connection with an Acquisition, and solely with respect to the Shares issued thereupon, Holder shall, if the Company so requests in writing, execute a counterpart signature page to that certain Amended and Restated Voting Agreement, dated as of February 26, 2021, by and between the Company and the other parties thereto, and shall be come a “Stockholder” thereunder.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506" w:name="page507"/>
    <w:bookmarkEnd w:id="506"/>
    <w:p>
      <w:pPr>
        <w:ind w:left="220" w:right="33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5.6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from Company to Holder, or vice versa, shall be in writing and shall be deemed delivered and effective when given personally or mailed by first class registered or certified mail, postage prepaid, or by overnight courier, at such address as may have been furnished to Company or Holder, as the case may be, in writing by Company or such Holder from time to time.</w:t>
      </w:r>
    </w:p>
    <w:p>
      <w:pPr>
        <w:spacing w:after="0" w:line="136" w:lineRule="exact"/>
        <w:rPr>
          <w:sz w:val="20"/>
          <w:szCs w:val="20"/>
          <w:color w:val="auto"/>
        </w:rPr>
      </w:pPr>
    </w:p>
    <w:p>
      <w:pPr>
        <w:ind w:left="220" w:right="47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Attorneys Fees</w:t>
      </w:r>
      <w:r>
        <w:rPr>
          <w:rFonts w:ascii="Times New Roman" w:cs="Times New Roman" w:eastAsia="Times New Roman" w:hAnsi="Times New Roman"/>
          <w:sz w:val="14"/>
          <w:szCs w:val="14"/>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laws of the State of California, without giving effect to its principles regarding conflicts of law.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[SIGNATURE PAGE FOLLOWS]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507" w:name="page508"/>
    <w:bookmarkEnd w:id="507"/>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undersigned has executed this Warrant as of the day and year first above written.</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BILLIONTOONE, INC., a Delaware corporation</w:t>
      </w:r>
    </w:p>
    <w:p>
      <w:pPr>
        <w:spacing w:after="0" w:line="175"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Oguzhan Atay</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Oguzhan Atay</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508" w:name="page509"/>
    <w:bookmarkEnd w:id="508"/>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undersigned has executed this Warrant as of the day and year first above written.</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HOLDER</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BANK, an Arizona corporation</w:t>
      </w:r>
    </w:p>
    <w:p>
      <w:pPr>
        <w:spacing w:after="0" w:line="175"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Brian Kirkpatrick</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Brian Kirkpatrick</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509" w:name="page510"/>
    <w:bookmarkEnd w:id="50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1</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NOTICE OF EXERCISE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FF4338"/>
        </w:rPr>
        <w:t>[Strike paragraph that does not apply.]</w:t>
      </w:r>
    </w:p>
    <w:p>
      <w:pPr>
        <w:spacing w:after="0" w:line="175" w:lineRule="exact"/>
        <w:rPr>
          <w:sz w:val="20"/>
          <w:szCs w:val="20"/>
          <w:color w:val="auto"/>
        </w:rPr>
      </w:pPr>
    </w:p>
    <w:p>
      <w:pPr>
        <w:ind w:left="220" w:right="639" w:firstLine="3"/>
        <w:spacing w:after="0" w:line="282" w:lineRule="auto"/>
        <w:tabs>
          <w:tab w:leader="none" w:pos="36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purchase shares of the Common Stock of Company pursuant to the terms of the attached Warrant, and tenders herewith payment of the purchase price of such shares in full.</w:t>
      </w:r>
    </w:p>
    <w:p>
      <w:pPr>
        <w:spacing w:after="0" w:line="125" w:lineRule="exact"/>
        <w:rPr>
          <w:sz w:val="20"/>
          <w:szCs w:val="20"/>
          <w:color w:val="auto"/>
        </w:rPr>
      </w:pPr>
    </w:p>
    <w:p>
      <w:pPr>
        <w:ind w:left="220" w:right="279" w:firstLine="3"/>
        <w:spacing w:after="0" w:line="282" w:lineRule="auto"/>
        <w:tabs>
          <w:tab w:leader="none" w:pos="36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hereby elects to convert the attached Warrant into Shares/cash </w:t>
      </w:r>
      <w:r>
        <w:rPr>
          <w:rFonts w:ascii="Times New Roman" w:cs="Times New Roman" w:eastAsia="Times New Roman" w:hAnsi="Times New Roman"/>
          <w:sz w:val="14"/>
          <w:szCs w:val="14"/>
          <w:color w:val="FF0000"/>
        </w:rPr>
        <w:t>[strike one]</w:t>
      </w:r>
      <w:r>
        <w:rPr>
          <w:rFonts w:ascii="Times New Roman" w:cs="Times New Roman" w:eastAsia="Times New Roman" w:hAnsi="Times New Roman"/>
          <w:sz w:val="14"/>
          <w:szCs w:val="14"/>
          <w:color w:val="auto"/>
        </w:rPr>
        <w:t xml:space="preserve"> in the manner specified in the Warrant. This conversion is exercised with respect to _____________________ of the Shares covered by the Warrant.</w:t>
      </w:r>
    </w:p>
    <w:p>
      <w:pPr>
        <w:spacing w:after="0" w:line="125" w:lineRule="exact"/>
        <w:rPr>
          <w:rFonts w:ascii="Times New Roman" w:cs="Times New Roman" w:eastAsia="Times New Roman" w:hAnsi="Times New Roman"/>
          <w:sz w:val="14"/>
          <w:szCs w:val="14"/>
          <w:color w:val="auto"/>
        </w:rPr>
      </w:pPr>
    </w:p>
    <w:p>
      <w:pPr>
        <w:ind w:left="360" w:hanging="137"/>
        <w:spacing w:after="0"/>
        <w:tabs>
          <w:tab w:leader="none" w:pos="36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a certificate or certificates representing said shares in the name of the undersigned or in such other name as is specified below:</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Name:___________________________________________</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Address:__________________________________________</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75" w:lineRule="exact"/>
        <w:rPr>
          <w:sz w:val="20"/>
          <w:szCs w:val="20"/>
          <w:color w:val="auto"/>
        </w:rPr>
      </w:pPr>
    </w:p>
    <w:p>
      <w:pPr>
        <w:ind w:left="220" w:right="379" w:firstLine="3"/>
        <w:spacing w:after="0" w:line="282" w:lineRule="auto"/>
        <w:tabs>
          <w:tab w:leader="none" w:pos="36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BANK, an Arizona corporation</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10795</wp:posOffset>
            </wp:positionV>
            <wp:extent cx="188595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510" w:name="page511"/>
    <w:bookmarkEnd w:id="510"/>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CAPITALIZATION TABLE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11" w:name="page512"/>
    <w:bookmarkEnd w:id="51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ASSIGNMENT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value received, WESTERN ALLIANCE BANK, hereby sells, assigns and transfers unto:</w:t>
      </w:r>
    </w:p>
    <w:p>
      <w:pPr>
        <w:spacing w:after="0" w:line="196"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WESTERN ALLIANCE BANCORPORATION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Address: One E. Washing, Suite 1400</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Phoenix, Arizona 85004</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 xml:space="preserve">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-8255</wp:posOffset>
            </wp:positionV>
            <wp:extent cx="710565"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0565" cy="6350"/>
                    </a:xfrm>
                    <a:prstGeom prst="rect">
                      <a:avLst/>
                    </a:prstGeom>
                    <a:noFill/>
                  </pic:spPr>
                </pic:pic>
              </a:graphicData>
            </a:graphic>
          </wp:anchor>
        </w:drawing>
      </w:r>
    </w:p>
    <w:p>
      <w:pPr>
        <w:spacing w:after="0" w:line="151" w:lineRule="exact"/>
        <w:rPr>
          <w:sz w:val="20"/>
          <w:szCs w:val="20"/>
          <w:color w:val="auto"/>
        </w:rPr>
      </w:pPr>
    </w:p>
    <w:p>
      <w:pPr>
        <w:ind w:left="220" w:right="819"/>
        <w:spacing w:after="0" w:line="282" w:lineRule="auto"/>
        <w:rPr>
          <w:sz w:val="20"/>
          <w:szCs w:val="20"/>
          <w:color w:val="auto"/>
        </w:rPr>
      </w:pPr>
      <w:r>
        <w:rPr>
          <w:rFonts w:ascii="Times New Roman" w:cs="Times New Roman" w:eastAsia="Times New Roman" w:hAnsi="Times New Roman"/>
          <w:sz w:val="14"/>
          <w:szCs w:val="14"/>
          <w:color w:val="auto"/>
        </w:rPr>
        <w:t>that certain Warrant to Purchase Stock issued by 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on October 12, 2021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together with all rights, title and interest therein.</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BANK</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-8255</wp:posOffset>
            </wp:positionV>
            <wp:extent cx="1885950"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-8255</wp:posOffset>
            </wp:positionV>
            <wp:extent cx="1885950"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140" w:lineRule="exact"/>
        <w:rPr>
          <w:sz w:val="20"/>
          <w:szCs w:val="20"/>
          <w:color w:val="auto"/>
        </w:rPr>
      </w:pPr>
    </w:p>
    <w:p>
      <w:pPr>
        <w:ind w:left="220" w:right="279"/>
        <w:spacing w:after="0" w:line="282" w:lineRule="auto"/>
        <w:rPr>
          <w:sz w:val="20"/>
          <w:szCs w:val="20"/>
          <w:color w:val="auto"/>
        </w:rPr>
      </w:pPr>
      <w:r>
        <w:rPr>
          <w:rFonts w:ascii="Times New Roman" w:cs="Times New Roman" w:eastAsia="Times New Roman" w:hAnsi="Times New Roman"/>
          <w:sz w:val="14"/>
          <w:szCs w:val="14"/>
          <w:color w:val="auto"/>
        </w:rPr>
        <w:t>By its execution below, and for the benefit of the Company, Western Alliance Bancorporation agrees to all other provisions of the Warrant as of the date hereof.</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BANCORPORATION</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-8255</wp:posOffset>
            </wp:positionV>
            <wp:extent cx="1885950"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-8255</wp:posOffset>
            </wp:positionV>
            <wp:extent cx="1885950"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512" w:name="page513"/>
    <w:bookmarkEnd w:id="512"/>
    <w:p>
      <w:pPr>
        <w:ind w:left="8140"/>
        <w:spacing w:after="0"/>
        <w:rPr>
          <w:sz w:val="20"/>
          <w:szCs w:val="20"/>
          <w:color w:val="auto"/>
        </w:rPr>
      </w:pPr>
      <w:r>
        <w:rPr>
          <w:rFonts w:ascii="Times New Roman" w:cs="Times New Roman" w:eastAsia="Times New Roman" w:hAnsi="Times New Roman"/>
          <w:sz w:val="13"/>
          <w:szCs w:val="13"/>
          <w:b w:val="1"/>
          <w:bCs w:val="1"/>
          <w:color w:val="auto"/>
        </w:rPr>
        <w:t>Exhibit 4.4</w:t>
      </w:r>
    </w:p>
    <w:p>
      <w:pPr>
        <w:spacing w:after="0" w:line="188" w:lineRule="exact"/>
        <w:rPr>
          <w:sz w:val="20"/>
          <w:szCs w:val="20"/>
          <w:color w:val="auto"/>
        </w:rPr>
      </w:pPr>
    </w:p>
    <w:p>
      <w:pPr>
        <w:ind w:left="220" w:right="419"/>
        <w:spacing w:after="0" w:line="261" w:lineRule="auto"/>
        <w:rPr>
          <w:sz w:val="20"/>
          <w:szCs w:val="20"/>
          <w:color w:val="auto"/>
        </w:rPr>
      </w:pPr>
      <w:r>
        <w:rPr>
          <w:rFonts w:ascii="Times New Roman" w:cs="Times New Roman" w:eastAsia="Times New Roman" w:hAnsi="Times New Roman"/>
          <w:sz w:val="14"/>
          <w:szCs w:val="14"/>
          <w:color w:val="auto"/>
        </w:rPr>
        <w:t>THIS WARRANT AND THE SHARES ISSUABLE HEREUNDER HAVE NOT BEEN REGISTERED UNDER THE SECURITIES ACT OF 1933, AS AMENDED, AND MAY NOT BE SOLD, PLEDGED, OR OTHERWISE TRANSFERRED WITHOUT AN EFFECTIVE REGISTRATION THEREOF UNDER SUCH ACT OR PURSUANT TO RULE 144 OR AN OPINION OF COUNSEL REASONABLY SATISFACTORY TO THE CORPORATION AND ITS COUNSEL, THAT SUCH REGISTRATION IS NOT REQUIRED.</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WARRANT TO PURCHASE STOCK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Issuer: 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60" w:right="259"/>
        <w:spacing w:after="0" w:line="258" w:lineRule="auto"/>
        <w:rPr>
          <w:sz w:val="20"/>
          <w:szCs w:val="20"/>
          <w:color w:val="auto"/>
        </w:rPr>
      </w:pPr>
      <w:r>
        <w:rPr>
          <w:rFonts w:ascii="Times New Roman" w:cs="Times New Roman" w:eastAsia="Times New Roman" w:hAnsi="Times New Roman"/>
          <w:sz w:val="14"/>
          <w:szCs w:val="14"/>
          <w:color w:val="auto"/>
        </w:rPr>
        <w:t>Number of Shares: 30,907 shares of Common Stock (the “</w:t>
      </w:r>
      <w:r>
        <w:rPr>
          <w:rFonts w:ascii="Times New Roman" w:cs="Times New Roman" w:eastAsia="Times New Roman" w:hAnsi="Times New Roman"/>
          <w:sz w:val="14"/>
          <w:szCs w:val="14"/>
          <w:u w:val="single" w:color="auto"/>
          <w:color w:val="auto"/>
        </w:rPr>
        <w:t>Initial Shares</w:t>
      </w:r>
      <w:r>
        <w:rPr>
          <w:rFonts w:ascii="Times New Roman" w:cs="Times New Roman" w:eastAsia="Times New Roman" w:hAnsi="Times New Roman"/>
          <w:sz w:val="14"/>
          <w:szCs w:val="14"/>
          <w:color w:val="auto"/>
        </w:rPr>
        <w:t xml:space="preserve">”), plus all Additional Shares (as defined in </w:t>
      </w:r>
      <w:r>
        <w:rPr>
          <w:rFonts w:ascii="Times New Roman" w:cs="Times New Roman" w:eastAsia="Times New Roman" w:hAnsi="Times New Roman"/>
          <w:sz w:val="14"/>
          <w:szCs w:val="14"/>
          <w:u w:val="single" w:color="auto"/>
          <w:color w:val="auto"/>
        </w:rPr>
        <w:t>Section 1.8</w:t>
      </w:r>
      <w:r>
        <w:rPr>
          <w:rFonts w:ascii="Times New Roman" w:cs="Times New Roman" w:eastAsia="Times New Roman" w:hAnsi="Times New Roman"/>
          <w:sz w:val="14"/>
          <w:szCs w:val="14"/>
          <w:color w:val="auto"/>
        </w:rPr>
        <w:t xml:space="preserve"> hereof) which Holder (as defined below) is entitled to purchase pursuant to Section 1.8 hereof (subject to adjustments made pursuant to stock splits, reverse stock splits, and other events specified in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maximum aggregate number of shares of Common Stock issuable pursuant to the terms and conditions of this Warrant shall not exceed 41,209 shares of Common Stock (as may be adjusted in accordance with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Class of Stock: Common Stock.</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Exercise Price per Share: $10.92</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Issue Date: July 22, 2022</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Expiration Date: July 22, 2032</w:t>
      </w:r>
    </w:p>
    <w:p>
      <w:pPr>
        <w:spacing w:after="0" w:line="175" w:lineRule="exact"/>
        <w:rPr>
          <w:sz w:val="20"/>
          <w:szCs w:val="20"/>
          <w:color w:val="auto"/>
        </w:rPr>
      </w:pPr>
    </w:p>
    <w:p>
      <w:pPr>
        <w:ind w:left="220" w:right="479"/>
        <w:spacing w:after="0" w:line="261" w:lineRule="auto"/>
        <w:rPr>
          <w:sz w:val="20"/>
          <w:szCs w:val="20"/>
          <w:color w:val="auto"/>
        </w:rPr>
      </w:pPr>
      <w:r>
        <w:rPr>
          <w:rFonts w:ascii="Times New Roman" w:cs="Times New Roman" w:eastAsia="Times New Roman" w:hAnsi="Times New Roman"/>
          <w:sz w:val="14"/>
          <w:szCs w:val="14"/>
          <w:color w:val="auto"/>
        </w:rPr>
        <w:t>THIS WARRANT CERTIFIES THAT, for the agreed upon value of $1.00 and for other good and valuable consideration, WESTERN ALLIANCE BANK, or its assignees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to purchase the number of fully paid and nonassessable shares of the Company’s capital stock set forth above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at the Exercise Price per Share set forth above, as the same may be from time to time adjusted pursuant to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hereof and subject to the provisions and upon the terms and conditions set forth in this Warrant.</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1. EXERCISE.</w:t>
      </w:r>
    </w:p>
    <w:p>
      <w:pPr>
        <w:spacing w:after="0" w:line="175"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xml:space="preserve">. This Warrant is exercisable, in whole or in part, at any time and from time to time on or before the Expiration Date set forth above. Holder may exercise this Warrant by delivering a duly executed Notice of Exercise, in substantially the form attached hereto as </w:t>
      </w:r>
      <w:r>
        <w:rPr>
          <w:rFonts w:ascii="Times New Roman" w:cs="Times New Roman" w:eastAsia="Times New Roman" w:hAnsi="Times New Roman"/>
          <w:sz w:val="14"/>
          <w:szCs w:val="14"/>
          <w:u w:val="single" w:color="auto"/>
          <w:color w:val="auto"/>
        </w:rPr>
        <w:t>Appendix 1</w:t>
      </w:r>
      <w:r>
        <w:rPr>
          <w:rFonts w:ascii="Times New Roman" w:cs="Times New Roman" w:eastAsia="Times New Roman" w:hAnsi="Times New Roman"/>
          <w:sz w:val="14"/>
          <w:szCs w:val="14"/>
          <w:color w:val="auto"/>
        </w:rPr>
        <w:t xml:space="preserve">, to the principal office of Company. Unless Holder is exercising the conversion right set forth in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Holder shall also deliver to Company an amount equal to the aggregate Exercise Price for Shares being purchased, by check or wire.</w:t>
      </w:r>
    </w:p>
    <w:p>
      <w:pPr>
        <w:spacing w:after="0" w:line="139" w:lineRule="exact"/>
        <w:rPr>
          <w:sz w:val="20"/>
          <w:szCs w:val="20"/>
          <w:color w:val="auto"/>
        </w:rPr>
      </w:pPr>
    </w:p>
    <w:p>
      <w:pPr>
        <w:ind w:left="220" w:right="3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Conversion Right</w:t>
      </w:r>
      <w:r>
        <w:rPr>
          <w:rFonts w:ascii="Times New Roman" w:cs="Times New Roman" w:eastAsia="Times New Roman" w:hAnsi="Times New Roman"/>
          <w:sz w:val="14"/>
          <w:szCs w:val="14"/>
          <w:color w:val="auto"/>
        </w:rPr>
        <w:t xml:space="preserve">. In lieu of exercising this Warrant as specified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Holder may from time to time convert this Warrant, in whole or in part, into a number of Shares determined by dividing (a) the aggregate fair market value of Shares or other securities otherwise issuable upon exercise of this Warrant minus the aggregate Exercise Price of such Shares by (b) the fair market value of one Share. The fair market value of Shares shall be determined pursuant to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20" w:right="279" w:firstLine="342"/>
        <w:spacing w:after="0" w:line="255"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If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If the Shares are not traded in a public market, the Board of Directors of Company shall determine fair market value in its reasonable good faith judgment. The foregoing notwithstanding, if Holder advises the Board of Directors in writing that Holder disagrees with such determination, then Company and Holder shall promptly agree upon a reputable investment banking firm to undertake such valuation. If the valuation of such investment banking firm is greater than that determined by the Board of Directors, then all fees and expenses of such investment banking firm shall be paid by Company. In all other circumstances, such fees and expenses of such investment banking firm shall be paid by Holder.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513" w:name="page514"/>
    <w:bookmarkEnd w:id="513"/>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1.4 </w:t>
      </w:r>
      <w:r>
        <w:rPr>
          <w:rFonts w:ascii="Times New Roman" w:cs="Times New Roman" w:eastAsia="Times New Roman" w:hAnsi="Times New Roman"/>
          <w:sz w:val="14"/>
          <w:szCs w:val="14"/>
          <w:u w:val="single" w:color="auto"/>
          <w:color w:val="auto"/>
        </w:rPr>
        <w:t>Delivery of Certificate and New Warrant</w:t>
      </w:r>
      <w:r>
        <w:rPr>
          <w:rFonts w:ascii="Times New Roman" w:cs="Times New Roman" w:eastAsia="Times New Roman" w:hAnsi="Times New Roman"/>
          <w:sz w:val="14"/>
          <w:szCs w:val="14"/>
          <w:color w:val="auto"/>
        </w:rPr>
        <w:t>. Promptly (and in no event more than 3 business days after exercise) after Holder exercises or converts this Warrant, Company shall deliver to Holder certificates for Shares acquired and, if this Warrant has not been fully exercised or converted and has not expired, a new Warrant representing Shares not yet acquired.</w:t>
      </w:r>
    </w:p>
    <w:p>
      <w:pPr>
        <w:spacing w:after="0" w:line="136" w:lineRule="exact"/>
        <w:rPr>
          <w:sz w:val="20"/>
          <w:szCs w:val="20"/>
          <w:color w:val="auto"/>
        </w:rPr>
      </w:pPr>
    </w:p>
    <w:p>
      <w:pPr>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Replacement of Warrants</w:t>
      </w:r>
      <w:r>
        <w:rPr>
          <w:rFonts w:ascii="Times New Roman" w:cs="Times New Roman" w:eastAsia="Times New Roman" w:hAnsi="Times New Roman"/>
          <w:sz w:val="14"/>
          <w:szCs w:val="14"/>
          <w:color w:val="auto"/>
        </w:rPr>
        <w:t>. On receipt of evidence reasonably satisfactory to Company of the loss, theft, destruction or mutilation of this Warrant and, in the case of loss, theft or destruction, on delivery of an indemnity agreement reasonably satisfactory in form and amount to Company or, in the case of mutilation, on surrender and cancellation of this Warrant, Company at its expense shall execute and deliver a replacement Warrant.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Sale, Merger, or Consolidation of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79" w:firstLine="773"/>
        <w:spacing w:after="0" w:line="256" w:lineRule="auto"/>
        <w:tabs>
          <w:tab w:leader="none" w:pos="1181"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this Warrant, “</w:t>
      </w: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means any sale, license, or other disposition of all or substantially all of the assets of Company, or any reorganization, consolidation, or merger of Company where the holders of Company’s securities before the transaction beneficially own less than 50% of the outstanding voting securities of the surviving entity after the transaction, other than by the sale of the Company’s equity securities to venture capital or private equity investors in a bona fide equity financing primarily for capital raising purposes so long as the Company identifies to Bank the venture capital or private equity investors at least five (5) Business Days prior to the closing of the transaction and provides to Bank a description of the material terms of the transaction.</w:t>
      </w:r>
    </w:p>
    <w:p>
      <w:pPr>
        <w:spacing w:after="0" w:line="144" w:lineRule="exact"/>
        <w:rPr>
          <w:rFonts w:ascii="Times New Roman" w:cs="Times New Roman" w:eastAsia="Times New Roman" w:hAnsi="Times New Roman"/>
          <w:sz w:val="14"/>
          <w:szCs w:val="14"/>
          <w:color w:val="auto"/>
        </w:rPr>
      </w:pPr>
    </w:p>
    <w:p>
      <w:pPr>
        <w:ind w:left="220" w:right="319" w:firstLine="773"/>
        <w:spacing w:after="0" w:line="277" w:lineRule="auto"/>
        <w:tabs>
          <w:tab w:leader="none" w:pos="1189"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this Warrant “</w:t>
      </w:r>
      <w:r>
        <w:rPr>
          <w:rFonts w:ascii="Times New Roman" w:cs="Times New Roman" w:eastAsia="Times New Roman" w:hAnsi="Times New Roman"/>
          <w:sz w:val="13"/>
          <w:szCs w:val="13"/>
          <w:u w:val="single" w:color="auto"/>
          <w:color w:val="auto"/>
        </w:rPr>
        <w:t>Marketable Securities</w:t>
      </w:r>
      <w:r>
        <w:rPr>
          <w:rFonts w:ascii="Times New Roman" w:cs="Times New Roman" w:eastAsia="Times New Roman" w:hAnsi="Times New Roman"/>
          <w:sz w:val="13"/>
          <w:szCs w:val="13"/>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 and is then current in its filing of all required reports and other information under the Securities Act of 1933, as amended, and the Exchange Act;</w:t>
      </w:r>
    </w:p>
    <w:p>
      <w:pPr>
        <w:ind w:left="220" w:right="259" w:firstLine="3"/>
        <w:spacing w:after="0" w:line="252" w:lineRule="auto"/>
        <w:tabs>
          <w:tab w:leader="none" w:pos="426"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and series of shares or other security of the issuer that would be received by Holder in connection with the Acquisition were Holder to exercise this Warrant on or prior to the closing thereof is then traded in a nationally recognized securities exchange, inter-dealer quotation system or over-the-counter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46" w:lineRule="exact"/>
        <w:rPr>
          <w:rFonts w:ascii="Times New Roman" w:cs="Times New Roman" w:eastAsia="Times New Roman" w:hAnsi="Times New Roman"/>
          <w:sz w:val="14"/>
          <w:szCs w:val="14"/>
          <w:color w:val="auto"/>
        </w:rPr>
      </w:pPr>
    </w:p>
    <w:p>
      <w:pPr>
        <w:ind w:left="220" w:right="239" w:firstLine="773"/>
        <w:spacing w:after="0" w:line="253" w:lineRule="auto"/>
        <w:tabs>
          <w:tab w:leader="none" w:pos="1181"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4"/>
          <w:szCs w:val="14"/>
          <w:b w:val="1"/>
          <w:bCs w:val="1"/>
          <w:u w:val="single" w:color="auto"/>
          <w:color w:val="auto"/>
        </w:rPr>
        <w:t>Cash/Public Acquisition</w:t>
      </w:r>
      <w:r>
        <w:rPr>
          <w:rFonts w:ascii="Times New Roman" w:cs="Times New Roman" w:eastAsia="Times New Roman" w:hAnsi="Times New Roman"/>
          <w:sz w:val="14"/>
          <w:szCs w:val="14"/>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exercised pursuant to Section 1.2 above as to all Shares effective immediately prior to and contingent upon the consummation of a Cash/Public Acquisition. In connection with such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514" w:name="page515"/>
    <w:bookmarkEnd w:id="514"/>
    <w:p>
      <w:pPr>
        <w:ind w:left="220" w:right="239" w:firstLine="773"/>
        <w:spacing w:after="0" w:line="252" w:lineRule="auto"/>
        <w:tabs>
          <w:tab w:leader="none" w:pos="118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Upon the closing of any Acquisition other than a Cash/Public Acquisition defined above, either (i)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Holder shall put this Warrant back to the Company for a cash fee equal to the greater of (x) (i) Three Hundred Thirty-Seven Thousand and Five Hundred Dollars ($337,500), plus (ii) if the Additional Term B Loan Shares have been granted hereunder, an additional Thirty-Seven Thousand Five Hundred Dollars ($37,500) plus (iii) if the Additional Term C Loan Shares have been granted hereunder, an additional Thirty-Seven Thousand Five Hundred Dollars ($37,500) plus (iv) if the Additional Term D Loan Shares have been granted hereunder, an additional Thirty-Seven Thousand Five Hundred Dollars ($37,500), or (y) the value of the aggregate consideration payable to Holder had Holder exercised this Warrant pursuant to Section 1.2 immediately prior to such Put Right Trigger Event (such right, the “Put Right” and such fee the “Put Fee”). Company shall provide Holder no less than ten (10) days’ written notice prior to the occurrence of an Acquisition. Upon Holder’s exercise of the Put Right and receipt of the Put Fee in immediately available funds, this Warrant shall terminate automatically and be no further force or effect.</w:t>
      </w:r>
    </w:p>
    <w:p>
      <w:pPr>
        <w:spacing w:after="0" w:line="153" w:lineRule="exact"/>
        <w:rPr>
          <w:sz w:val="20"/>
          <w:szCs w:val="20"/>
          <w:color w:val="auto"/>
        </w:rPr>
      </w:pPr>
    </w:p>
    <w:p>
      <w:pPr>
        <w:ind w:left="220" w:right="319" w:firstLine="342"/>
        <w:spacing w:after="0" w:line="258"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Automatic Cashless Exercise upon Expiration</w:t>
      </w:r>
      <w:r>
        <w:rPr>
          <w:rFonts w:ascii="Times New Roman" w:cs="Times New Roman" w:eastAsia="Times New Roman" w:hAnsi="Times New Roman"/>
          <w:sz w:val="14"/>
          <w:szCs w:val="14"/>
          <w:color w:val="auto"/>
        </w:rPr>
        <w:t xml:space="preserve">. In the event that, upon the Expiration Date or other termination of the warrant, the fair market value of one Share (or other security issuable upon the exercise hereof) as determined in accordance with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above is greater than the Exercise Price in effect on such date, then this Warrant shall automatically be deemed on and as of such date to be exercised pursuant to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2" w:lineRule="exact"/>
        <w:rPr>
          <w:sz w:val="20"/>
          <w:szCs w:val="20"/>
          <w:color w:val="auto"/>
        </w:rPr>
      </w:pPr>
    </w:p>
    <w:p>
      <w:pPr>
        <w:ind w:left="220" w:right="299" w:firstLine="342"/>
        <w:spacing w:after="0" w:line="252" w:lineRule="auto"/>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u w:val="single" w:color="auto"/>
          <w:color w:val="auto"/>
        </w:rPr>
        <w:t>Additional Shares</w:t>
      </w:r>
      <w:r>
        <w:rPr>
          <w:rFonts w:ascii="Times New Roman" w:cs="Times New Roman" w:eastAsia="Times New Roman" w:hAnsi="Times New Roman"/>
          <w:sz w:val="14"/>
          <w:szCs w:val="14"/>
          <w:color w:val="auto"/>
        </w:rPr>
        <w:t>. In addition to the right to purchase the Initial Shares granted to Holder on the Issue Date, on the Funding Date (as defined in the Loan and Security Agreement between Holder and Company dated as of October 12, 2021, as amended from time to time, including by that certain First Amendment to Loan and Security Agreement dated as of the Issue Date, collectively, the “Loan Agreement”) of the Term B Loan (as defined in the Loan Agreement) in accordance with the Loan Agreement, this Warrant shall become exercisable for a number of Shares equal to (a) the number of Initial Shares for which this Warrant is then exercisable, plus (b) 3,434 shares of Common Stock (the “Additional Term B Loan Shares”). Furthermore, on the Funding Date (as defined in the Loan Agreement) of the Term C Loan (as defined in the Loan Agreement) in accordance with the Loan Agreement, this Warrant shall become exercisable for a number of Shares equal to (a) the number of Initial Shares for which this Warrant is then exercisable, plus (b) the Additional Term B Loan Shares, plus (c) 3,434 (the “</w:t>
      </w:r>
      <w:r>
        <w:rPr>
          <w:rFonts w:ascii="Times New Roman" w:cs="Times New Roman" w:eastAsia="Times New Roman" w:hAnsi="Times New Roman"/>
          <w:sz w:val="14"/>
          <w:szCs w:val="14"/>
          <w:u w:val="single" w:color="auto"/>
          <w:color w:val="auto"/>
        </w:rPr>
        <w:t>Additional Term C Loan Shares</w:t>
      </w:r>
      <w:r>
        <w:rPr>
          <w:rFonts w:ascii="Times New Roman" w:cs="Times New Roman" w:eastAsia="Times New Roman" w:hAnsi="Times New Roman"/>
          <w:sz w:val="14"/>
          <w:szCs w:val="14"/>
          <w:color w:val="auto"/>
        </w:rPr>
        <w:t>”). Furthermore, on the Funding Date (as defined in the Loan Agreement) of the Term D Loan (as defined in the Loan Agreement) in accordance with the Loan Agreement, this Warrant shall become exercisable for a number of Shares equal to (a) the number of Initial Shares for which this Warrant is then exercisable, plus (b) the Additional Term B Loan Shares, plus (c) the Additional Term C Loan Shares, plus (d) 3,434 (the “</w:t>
      </w:r>
      <w:r>
        <w:rPr>
          <w:rFonts w:ascii="Times New Roman" w:cs="Times New Roman" w:eastAsia="Times New Roman" w:hAnsi="Times New Roman"/>
          <w:sz w:val="14"/>
          <w:szCs w:val="14"/>
          <w:u w:val="single" w:color="auto"/>
          <w:color w:val="auto"/>
        </w:rPr>
        <w:t>Additional Term D Loan Shares</w:t>
      </w:r>
      <w:r>
        <w:rPr>
          <w:rFonts w:ascii="Times New Roman" w:cs="Times New Roman" w:eastAsia="Times New Roman" w:hAnsi="Times New Roman"/>
          <w:sz w:val="14"/>
          <w:szCs w:val="14"/>
          <w:color w:val="auto"/>
        </w:rPr>
        <w:t xml:space="preserve">”). For the sake of clarity, the maximum aggregate number of Shares issuable pursuant to the terms and conditions of this Warrant shall not exceed 41,209 Shares (as may be adjusted in accordance with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2. ADJUSTMENTS.</w:t>
      </w:r>
    </w:p>
    <w:p>
      <w:pPr>
        <w:spacing w:after="0" w:line="175" w:lineRule="exact"/>
        <w:rPr>
          <w:sz w:val="20"/>
          <w:szCs w:val="20"/>
          <w:color w:val="auto"/>
        </w:rPr>
      </w:pPr>
    </w:p>
    <w:p>
      <w:pPr>
        <w:ind w:left="220" w:right="319" w:firstLine="342"/>
        <w:spacing w:after="0" w:line="256"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Stock Dividends, Splits, Etc</w:t>
      </w:r>
      <w:r>
        <w:rPr>
          <w:rFonts w:ascii="Times New Roman" w:cs="Times New Roman" w:eastAsia="Times New Roman" w:hAnsi="Times New Roman"/>
          <w:sz w:val="14"/>
          <w:szCs w:val="14"/>
          <w:color w:val="auto"/>
        </w:rPr>
        <w:t>. If Company declares or pays a dividend on its common stock (or Shares, if Shares are securities other than common stock) payable in common stock or other securities or property, subdivides the outstanding common stock into a greater amount of common stock, or, if Shares are securities other than common stock, subdivides Shares in a transaction that increases the amount of common stock into which Shares are convertible, then upon exercise of this Warrant, for each Share acquired, Holder shall receive, without cost to Holder, the total number and kind of securities to which Holder would have been entitled had Holder owned Shares on the record date the dividend or subdivision occurred since the original issue date of this Warrant.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515" w:name="page516"/>
    <w:bookmarkEnd w:id="515"/>
    <w:p>
      <w:pPr>
        <w:ind w:left="220" w:right="259" w:firstLine="342"/>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2.2 </w:t>
      </w:r>
      <w:r>
        <w:rPr>
          <w:rFonts w:ascii="Times New Roman" w:cs="Times New Roman" w:eastAsia="Times New Roman" w:hAnsi="Times New Roman"/>
          <w:sz w:val="14"/>
          <w:szCs w:val="14"/>
          <w:u w:val="single" w:color="auto"/>
          <w:color w:val="auto"/>
        </w:rPr>
        <w:t>Reclassification, Recapitalization, Exchange or Substitution</w:t>
      </w:r>
      <w:r>
        <w:rPr>
          <w:rFonts w:ascii="Times New Roman" w:cs="Times New Roman" w:eastAsia="Times New Roman" w:hAnsi="Times New Roman"/>
          <w:sz w:val="14"/>
          <w:szCs w:val="14"/>
          <w:color w:val="auto"/>
        </w:rPr>
        <w:t xml:space="preserve">. Upon any reclassification, recapitalization,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Shares if this Warrant had been exercised immediately before such reclassification, recapitalization, exchange, substitution, or other event. Company or its successor shall promptly issue to Holder a new Warrant for such new securities or other property. The new Warrant shall provide for adjustments which shall be as nearly equivalent as may be practicable to the adjustments provided for in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including, without limitation, adjustments to the Exercise Price and to the number of securities or property issuable upon exercise of the new Warrant. The provisions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shall similarly apply to successive reclassifications, recapitalizations, exchanges, substitutions, or other events.</w:t>
      </w:r>
    </w:p>
    <w:p>
      <w:pPr>
        <w:spacing w:after="0" w:line="148" w:lineRule="exact"/>
        <w:rPr>
          <w:sz w:val="20"/>
          <w:szCs w:val="20"/>
          <w:color w:val="auto"/>
        </w:rPr>
      </w:pPr>
    </w:p>
    <w:p>
      <w:pPr>
        <w:ind w:left="220" w:right="559" w:firstLine="342"/>
        <w:spacing w:after="0" w:line="266"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Adjustments for Combinations, Etc</w:t>
      </w:r>
      <w:r>
        <w:rPr>
          <w:rFonts w:ascii="Times New Roman" w:cs="Times New Roman" w:eastAsia="Times New Roman" w:hAnsi="Times New Roman"/>
          <w:sz w:val="14"/>
          <w:szCs w:val="14"/>
          <w:color w:val="auto"/>
        </w:rPr>
        <w:t>. If the outstanding Shares are combined or consolidated, by reclassification or otherwise, into a lesser number of shares, the Exercise Price shall be proportionately increased and the number of Shares as to which this warrant is exercisable shall be proportionately decreased.</w:t>
      </w:r>
    </w:p>
    <w:p>
      <w:pPr>
        <w:spacing w:after="0" w:line="136" w:lineRule="exact"/>
        <w:rPr>
          <w:sz w:val="20"/>
          <w:szCs w:val="20"/>
          <w:color w:val="auto"/>
        </w:rPr>
      </w:pPr>
    </w:p>
    <w:p>
      <w:pPr>
        <w:ind w:left="220" w:right="239" w:firstLine="342"/>
        <w:spacing w:after="0" w:line="255"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No Impairment</w:t>
      </w:r>
      <w:r>
        <w:rPr>
          <w:rFonts w:ascii="Times New Roman" w:cs="Times New Roman" w:eastAsia="Times New Roman" w:hAnsi="Times New Roman"/>
          <w:sz w:val="14"/>
          <w:szCs w:val="14"/>
          <w:color w:val="auto"/>
        </w:rPr>
        <w:t xml:space="preserv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Company, but shall at all times in good faith assist in carrying out of all the provisions of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and in taking all such action as may be necessary or appropriate to protect Holder’s rights under this Article against impairment. If Company takes any action affecting Shares as described above that adversely affects Holder’s rights under this Warrant, the Exercise Price shall be adjusted downward and the number of Shares issuable upon exercise of this Warrant shall be adjusted upward in such a manner that such action is offset and the aggregate Exercise Price of this Warrant is unchanged.</w:t>
      </w:r>
    </w:p>
    <w:p>
      <w:pPr>
        <w:spacing w:after="0" w:line="146" w:lineRule="exact"/>
        <w:rPr>
          <w:sz w:val="20"/>
          <w:szCs w:val="20"/>
          <w:color w:val="auto"/>
        </w:rPr>
      </w:pPr>
    </w:p>
    <w:p>
      <w:pPr>
        <w:jc w:val="both"/>
        <w:ind w:left="220" w:right="459" w:firstLine="342"/>
        <w:spacing w:after="0" w:line="261"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shall be issuable upon exercise or conversion of the Warrant and the number of Shares to be issued shall be rounded down to the nearest whole Share. If a fractional share interest arises upon any exercise or conversion of the Warrant, Company shall eliminate such fractional share interest by paying Holder an amount computed by multiplying the fractional interest by the fair market value of a full Share.</w:t>
      </w:r>
    </w:p>
    <w:p>
      <w:pPr>
        <w:spacing w:after="0" w:line="139" w:lineRule="exact"/>
        <w:rPr>
          <w:sz w:val="20"/>
          <w:szCs w:val="20"/>
          <w:color w:val="auto"/>
        </w:rPr>
      </w:pPr>
    </w:p>
    <w:p>
      <w:pPr>
        <w:ind w:left="220" w:right="359" w:firstLine="342"/>
        <w:spacing w:after="0" w:line="266"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Upon each adjustment of the Exercise Price, Company at its expense shall promptly compute such adjustment, and furnish Holder with a certificate of its Chief Financial Officer setting forth the Exercise Price in effect upon the date thereof and the series of adjustments leading to such Exercise Price, and the facts upon which such adjustment is based.</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3. REPRESENTATIONS, WARRANTIES AND COVENANTS OF COMPANY.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hereby represents and warrants to the Holder as follows:</w:t>
      </w:r>
    </w:p>
    <w:p>
      <w:pPr>
        <w:spacing w:after="0" w:line="91" w:lineRule="exact"/>
        <w:rPr>
          <w:sz w:val="20"/>
          <w:szCs w:val="20"/>
          <w:color w:val="auto"/>
        </w:rPr>
      </w:pPr>
    </w:p>
    <w:p>
      <w:pPr>
        <w:ind w:left="220" w:right="479" w:firstLine="773"/>
        <w:spacing w:after="0" w:line="282" w:lineRule="auto"/>
        <w:tabs>
          <w:tab w:leader="none" w:pos="118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Exercise Price referenced on the first page of this Warrant is not greater than the fair market value of the Shares as of the date of this Warrant.</w:t>
      </w:r>
    </w:p>
    <w:p>
      <w:pPr>
        <w:spacing w:after="0" w:line="125" w:lineRule="exact"/>
        <w:rPr>
          <w:rFonts w:ascii="Times New Roman" w:cs="Times New Roman" w:eastAsia="Times New Roman" w:hAnsi="Times New Roman"/>
          <w:sz w:val="14"/>
          <w:szCs w:val="14"/>
          <w:color w:val="auto"/>
        </w:rPr>
      </w:pPr>
    </w:p>
    <w:p>
      <w:pPr>
        <w:ind w:left="220" w:right="359" w:firstLine="773"/>
        <w:spacing w:after="0" w:line="282" w:lineRule="auto"/>
        <w:tabs>
          <w:tab w:leader="none" w:pos="1189"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the Company has sufficient authorized shares reserved for the issuance of all capital stock which may be issued upon the exercise of this Warrant.</w:t>
      </w:r>
    </w:p>
    <w:p>
      <w:pPr>
        <w:spacing w:after="0" w:line="125"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capitalization table attached to this Warrant as </w:t>
      </w:r>
      <w:r>
        <w:rPr>
          <w:rFonts w:ascii="Times New Roman" w:cs="Times New Roman" w:eastAsia="Times New Roman" w:hAnsi="Times New Roman"/>
          <w:sz w:val="14"/>
          <w:szCs w:val="14"/>
          <w:u w:val="single" w:color="auto"/>
          <w:color w:val="auto"/>
        </w:rPr>
        <w:t>Appendix 2</w:t>
      </w:r>
      <w:r>
        <w:rPr>
          <w:rFonts w:ascii="Times New Roman" w:cs="Times New Roman" w:eastAsia="Times New Roman" w:hAnsi="Times New Roman"/>
          <w:sz w:val="14"/>
          <w:szCs w:val="14"/>
          <w:color w:val="auto"/>
        </w:rPr>
        <w:t xml:space="preserve"> is true and complete as of the Issue Date.</w:t>
      </w:r>
    </w:p>
    <w:p>
      <w:pPr>
        <w:spacing w:after="0" w:line="175" w:lineRule="exact"/>
        <w:rPr>
          <w:sz w:val="20"/>
          <w:szCs w:val="20"/>
          <w:color w:val="auto"/>
        </w:rPr>
      </w:pPr>
    </w:p>
    <w:p>
      <w:pPr>
        <w:jc w:val="both"/>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Company shall take all steps necessary to insure that all Shares which may be issued upon the exercise of this Warrant, and all securities, if any, issuable upon conversion of Shares, shall, upon issuance, be duly authorized, validly issued, fully paid and nonassessable, and free of any liens and encumbrances except for restrictions on transfer provided for herein or under applicable federal and state securities laws.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516" w:name="page517"/>
    <w:bookmarkEnd w:id="516"/>
    <w:p>
      <w:pPr>
        <w:ind w:left="220" w:right="239" w:firstLine="342"/>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3.3 </w:t>
      </w:r>
      <w:r>
        <w:rPr>
          <w:rFonts w:ascii="Times New Roman" w:cs="Times New Roman" w:eastAsia="Times New Roman" w:hAnsi="Times New Roman"/>
          <w:sz w:val="13"/>
          <w:szCs w:val="13"/>
          <w:u w:val="single" w:color="auto"/>
          <w:color w:val="auto"/>
        </w:rPr>
        <w:t>Notice of Certain Events</w:t>
      </w:r>
      <w:r>
        <w:rPr>
          <w:rFonts w:ascii="Times New Roman" w:cs="Times New Roman" w:eastAsia="Times New Roman" w:hAnsi="Times New Roman"/>
          <w:sz w:val="13"/>
          <w:szCs w:val="13"/>
          <w:color w:val="auto"/>
        </w:rPr>
        <w:t>. If Company proposes at any time (a) to declare any dividend or distribution upon its common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(d) to merge or consolidate with or into any other corporation, or sell, 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Company shall give Holder (1) in the case of the matters referred to in (a) and (b) above at least 10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(c) and (d) above; (2) in the case of the matters referred to in (c) and (d) above at least 10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37" w:lineRule="exact"/>
        <w:rPr>
          <w:sz w:val="20"/>
          <w:szCs w:val="20"/>
          <w:color w:val="auto"/>
        </w:rPr>
      </w:pPr>
    </w:p>
    <w:p>
      <w:pPr>
        <w:ind w:left="220" w:right="239" w:firstLine="342"/>
        <w:spacing w:after="0" w:line="256" w:lineRule="auto"/>
        <w:rPr>
          <w:sz w:val="20"/>
          <w:szCs w:val="20"/>
          <w:color w:val="auto"/>
        </w:rPr>
      </w:pPr>
      <w:r>
        <w:rPr>
          <w:rFonts w:ascii="Times New Roman" w:cs="Times New Roman" w:eastAsia="Times New Roman" w:hAnsi="Times New Roman"/>
          <w:sz w:val="14"/>
          <w:szCs w:val="14"/>
          <w:color w:val="auto"/>
        </w:rPr>
        <w:t xml:space="preserve">3.4 (a)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So long as the Holder holds this Warrant and/or any of the Shares, Company shall deliver to Holder (a) promptly, copies of all notices or other written communications to which Holder would be entitled if it held Shares as to which this Warrant was then exercisable and (b) such other financial statements required under and in accordance with any loan documents between Holder and Company, or if there are no such requirements or if the subject loan(s) are no longer are outstanding, the financial statements deliverable pursuant to Sections 3.1(a)(i) and 3.1(a)(ii) of the Investors’ Rights Agreement (as defined below) as if the Holder were a “Major Investor” (as defined in the Investors’ Rights Agreement) under the Investors’ Rights Agreement.</w:t>
      </w:r>
    </w:p>
    <w:p>
      <w:pPr>
        <w:spacing w:after="0" w:line="145" w:lineRule="exact"/>
        <w:rPr>
          <w:sz w:val="20"/>
          <w:szCs w:val="20"/>
          <w:color w:val="auto"/>
        </w:rPr>
      </w:pPr>
    </w:p>
    <w:p>
      <w:pPr>
        <w:ind w:left="220" w:right="499" w:firstLine="773"/>
        <w:spacing w:after="0" w:line="266" w:lineRule="auto"/>
        <w:tabs>
          <w:tab w:leader="none" w:pos="1188"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 Transaction</w:t>
      </w:r>
      <w:r>
        <w:rPr>
          <w:rFonts w:ascii="Times New Roman" w:cs="Times New Roman" w:eastAsia="Times New Roman" w:hAnsi="Times New Roman"/>
          <w:sz w:val="14"/>
          <w:szCs w:val="14"/>
          <w:color w:val="auto"/>
        </w:rPr>
        <w:t>. The issuance of the Shares will each constitute a transaction exempt from (i) the registration requirements of Section 5 of the Act, in reliance upon Section 4(2) thereof and/or Regulation D thereunder, and (ii) the qualification requirements of applicable state securities laws.</w:t>
      </w:r>
    </w:p>
    <w:p>
      <w:pPr>
        <w:spacing w:after="0" w:line="136" w:lineRule="exact"/>
        <w:rPr>
          <w:rFonts w:ascii="Times New Roman" w:cs="Times New Roman" w:eastAsia="Times New Roman" w:hAnsi="Times New Roman"/>
          <w:sz w:val="14"/>
          <w:szCs w:val="14"/>
          <w:color w:val="auto"/>
        </w:rPr>
      </w:pPr>
    </w:p>
    <w:p>
      <w:pPr>
        <w:jc w:val="both"/>
        <w:ind w:left="220" w:right="239" w:firstLine="773"/>
        <w:spacing w:after="0" w:line="261" w:lineRule="auto"/>
        <w:tabs>
          <w:tab w:leader="none" w:pos="1181"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Rule 144</w:t>
      </w:r>
      <w:r>
        <w:rPr>
          <w:rFonts w:ascii="Times New Roman" w:cs="Times New Roman" w:eastAsia="Times New Roman" w:hAnsi="Times New Roman"/>
          <w:sz w:val="14"/>
          <w:szCs w:val="14"/>
          <w:color w:val="auto"/>
        </w:rPr>
        <w:t>. If the Holder proposes to sell the Shares issuable upon the exercise of this Warrant in compliance with Rule 144 promulgated by the SEC, then, upon Holder’s written request to the Company, the Company shall furnish to the Holder, within ten days after receipt of such request, a written statement confirming the Company’s compliance with the filing requirements of the SEC as set forth in such rule (as may be amended from time to time).</w:t>
      </w:r>
    </w:p>
    <w:p>
      <w:pPr>
        <w:spacing w:after="0" w:line="139" w:lineRule="exact"/>
        <w:rPr>
          <w:sz w:val="20"/>
          <w:szCs w:val="20"/>
          <w:color w:val="auto"/>
        </w:rPr>
      </w:pPr>
    </w:p>
    <w:p>
      <w:pPr>
        <w:ind w:left="220" w:right="299" w:firstLine="342"/>
        <w:spacing w:after="0" w:line="258"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The Shares shall have the same “piggyback” registration rights as are set forth in the Amended and Restated Investors’ Rights Agreement, dated as of March 16, 2022, between Company and its investors, as from time to time in effect (the “</w:t>
      </w:r>
      <w:r>
        <w:rPr>
          <w:rFonts w:ascii="Times New Roman" w:cs="Times New Roman" w:eastAsia="Times New Roman" w:hAnsi="Times New Roman"/>
          <w:sz w:val="14"/>
          <w:szCs w:val="14"/>
          <w:u w:val="single" w:color="auto"/>
          <w:color w:val="auto"/>
        </w:rPr>
        <w:t>Investors’ Rights Agreement</w:t>
      </w:r>
      <w:r>
        <w:rPr>
          <w:rFonts w:ascii="Times New Roman" w:cs="Times New Roman" w:eastAsia="Times New Roman" w:hAnsi="Times New Roman"/>
          <w:sz w:val="14"/>
          <w:szCs w:val="14"/>
          <w:color w:val="auto"/>
        </w:rPr>
        <w:t>”). The Company has provided Holder with a true and correct copy of the Investors’ Rights Agreement, which is in full force and effect on the date hereof. Company agrees that no amendments will be made to the Investors’ Rights Agreement, which would have an adverse impact on Holder’s registration rights thereunder.</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4. REPRESENTATIONS AND COVENANTS OF HOLDER.</w:t>
      </w:r>
    </w:p>
    <w:p>
      <w:pPr>
        <w:spacing w:after="0" w:line="17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4.1 With respect to the acquisition of this Warrant and any of the Shares, Holder hereby represents and warrants to, and agrees with, the Company as follows:</w:t>
      </w:r>
    </w:p>
    <w:p>
      <w:pPr>
        <w:spacing w:after="0" w:line="41" w:lineRule="exact"/>
        <w:rPr>
          <w:sz w:val="20"/>
          <w:szCs w:val="20"/>
          <w:color w:val="auto"/>
        </w:rPr>
      </w:pPr>
    </w:p>
    <w:p>
      <w:pPr>
        <w:ind w:left="220" w:right="259" w:firstLine="773"/>
        <w:spacing w:after="0" w:line="256" w:lineRule="auto"/>
        <w:tabs>
          <w:tab w:leader="none" w:pos="1181"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Entirely for Own Account</w:t>
      </w:r>
      <w:r>
        <w:rPr>
          <w:rFonts w:ascii="Times New Roman" w:cs="Times New Roman" w:eastAsia="Times New Roman" w:hAnsi="Times New Roman"/>
          <w:sz w:val="14"/>
          <w:szCs w:val="14"/>
          <w:color w:val="auto"/>
        </w:rPr>
        <w:t>. This Warrant is issued to Holder in reliance upon Holder’s representation to the Company that this Warrant and the Shares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any of the Shares.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517" w:name="page518"/>
    <w:bookmarkEnd w:id="517"/>
    <w:p>
      <w:pPr>
        <w:jc w:val="both"/>
        <w:ind w:left="220" w:right="379" w:firstLine="773"/>
        <w:spacing w:after="0" w:line="266" w:lineRule="auto"/>
        <w:tabs>
          <w:tab w:leader="none" w:pos="1188"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Reliance upon Holder’s Representations</w:t>
      </w:r>
      <w:r>
        <w:rPr>
          <w:rFonts w:ascii="Times New Roman" w:cs="Times New Roman" w:eastAsia="Times New Roman" w:hAnsi="Times New Roman"/>
          <w:sz w:val="14"/>
          <w:szCs w:val="14"/>
          <w:color w:val="auto"/>
        </w:rPr>
        <w:t>. Holder understands that this Warrant and the Shares are not registered under the Act on the ground that the issuance of such securities is exempt from registration under the Act, and that the Company’s reliance on such exemption is predicated on Holder’s representations set forth herein.</w:t>
      </w:r>
    </w:p>
    <w:p>
      <w:pPr>
        <w:spacing w:after="0" w:line="136" w:lineRule="exact"/>
        <w:rPr>
          <w:rFonts w:ascii="Times New Roman" w:cs="Times New Roman" w:eastAsia="Times New Roman" w:hAnsi="Times New Roman"/>
          <w:sz w:val="14"/>
          <w:szCs w:val="14"/>
          <w:color w:val="auto"/>
        </w:rPr>
      </w:pPr>
    </w:p>
    <w:p>
      <w:pPr>
        <w:ind w:left="1180" w:hanging="187"/>
        <w:spacing w:after="0"/>
        <w:tabs>
          <w:tab w:leader="none" w:pos="118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 Status</w:t>
      </w:r>
      <w:r>
        <w:rPr>
          <w:rFonts w:ascii="Times New Roman" w:cs="Times New Roman" w:eastAsia="Times New Roman" w:hAnsi="Times New Roman"/>
          <w:sz w:val="14"/>
          <w:szCs w:val="14"/>
          <w:color w:val="auto"/>
        </w:rPr>
        <w:t>. Holder represents to the Company that Holder is an Accredited Investor (as defined in the Act).</w:t>
      </w:r>
    </w:p>
    <w:p>
      <w:pPr>
        <w:spacing w:after="0" w:line="174" w:lineRule="exact"/>
        <w:rPr>
          <w:rFonts w:ascii="Times New Roman" w:cs="Times New Roman" w:eastAsia="Times New Roman" w:hAnsi="Times New Roman"/>
          <w:sz w:val="14"/>
          <w:szCs w:val="14"/>
          <w:color w:val="auto"/>
        </w:rPr>
      </w:pPr>
    </w:p>
    <w:p>
      <w:pPr>
        <w:ind w:left="220" w:right="259" w:firstLine="773"/>
        <w:spacing w:after="0" w:line="266" w:lineRule="auto"/>
        <w:tabs>
          <w:tab w:leader="none" w:pos="1188"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Holder understands that this Warrant and the Shares are “restricted securities” under the federal securities laws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ARTICLE 5. MISCELLANEOUS.</w:t>
      </w:r>
    </w:p>
    <w:p>
      <w:pPr>
        <w:spacing w:after="0" w:line="175"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This Warrant and the Shares (and the securities issuable, directly or indirectly, upon conversion of Shares, if any) shall be imprinted with a legend in substantially the following form:</w:t>
      </w:r>
    </w:p>
    <w:p>
      <w:pPr>
        <w:spacing w:after="0" w:line="41" w:lineRule="exact"/>
        <w:rPr>
          <w:sz w:val="20"/>
          <w:szCs w:val="20"/>
          <w:color w:val="auto"/>
        </w:rPr>
      </w:pPr>
    </w:p>
    <w:p>
      <w:pPr>
        <w:ind w:left="220" w:right="339"/>
        <w:spacing w:after="0" w:line="258" w:lineRule="auto"/>
        <w:rPr>
          <w:sz w:val="20"/>
          <w:szCs w:val="20"/>
          <w:color w:val="auto"/>
        </w:rPr>
      </w:pPr>
      <w:r>
        <w:rPr>
          <w:rFonts w:ascii="Times New Roman" w:cs="Times New Roman" w:eastAsia="Times New Roman" w:hAnsi="Times New Roman"/>
          <w:sz w:val="14"/>
          <w:szCs w:val="14"/>
          <w:color w:val="auto"/>
        </w:rPr>
        <w:t>“THESE SECURITIES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142"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Compliance with Securities Laws on Transfer</w:t>
      </w:r>
      <w:r>
        <w:rPr>
          <w:rFonts w:ascii="Times New Roman" w:cs="Times New Roman" w:eastAsia="Times New Roman" w:hAnsi="Times New Roman"/>
          <w:sz w:val="14"/>
          <w:szCs w:val="14"/>
          <w:color w:val="auto"/>
        </w:rPr>
        <w:t>. This Warrant and the Shares issuable upon exercise of this Warrant (and the securities issuable, directly or indirectly, upon conversion of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Company, as reasonably requested by Company). Company shall not require Holder to provide an opinion of counsel if the transfer is to Holder’s parent company, Western Alliance Bancorporation, or any other affiliate of Holder, or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48"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Transfer Procedure</w:t>
      </w:r>
      <w:r>
        <w:rPr>
          <w:rFonts w:ascii="Times New Roman" w:cs="Times New Roman" w:eastAsia="Times New Roman" w:hAnsi="Times New Roman"/>
          <w:sz w:val="14"/>
          <w:szCs w:val="14"/>
          <w:color w:val="auto"/>
        </w:rPr>
        <w:t>. After receipt by Holder of the executed Warrant, Holder may transfer all of this Warrant to Holder’s parent company, Western Alliance Bancorporation, or an affiliate thereof or successor thereto (the “</w:t>
      </w:r>
      <w:r>
        <w:rPr>
          <w:rFonts w:ascii="Times New Roman" w:cs="Times New Roman" w:eastAsia="Times New Roman" w:hAnsi="Times New Roman"/>
          <w:sz w:val="14"/>
          <w:szCs w:val="14"/>
          <w:u w:val="single" w:color="auto"/>
          <w:color w:val="auto"/>
        </w:rPr>
        <w:t>Subsequent Holder</w:t>
      </w:r>
      <w:r>
        <w:rPr>
          <w:rFonts w:ascii="Times New Roman" w:cs="Times New Roman" w:eastAsia="Times New Roman" w:hAnsi="Times New Roman"/>
          <w:sz w:val="14"/>
          <w:szCs w:val="14"/>
          <w:color w:val="auto"/>
        </w:rPr>
        <w:t xml:space="preserve">”), by execution of an Assignment substantially in the form of </w:t>
      </w:r>
      <w:r>
        <w:rPr>
          <w:rFonts w:ascii="Times New Roman" w:cs="Times New Roman" w:eastAsia="Times New Roman" w:hAnsi="Times New Roman"/>
          <w:sz w:val="14"/>
          <w:szCs w:val="14"/>
          <w:u w:val="single" w:color="auto"/>
          <w:color w:val="auto"/>
        </w:rPr>
        <w:t>Appendix 3</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Article 4.7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and upon providing Company with written notice, the Subsequent Holder may transfer all or part of this Warrant or the Shares issuable upon exercise of this Warrant (or the Shares issuable directly or indirectly, upon conversion of the Shares, if any) to any Affiliate of the Subsequent Holder,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518" w:name="page519"/>
    <w:bookmarkEnd w:id="518"/>
    <w:p>
      <w:pPr>
        <w:ind w:left="220" w:right="63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5.4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The Holder hereby agrees that any Shares issued upon exercise of this Warrant, or Shares, shall also be subject to the market stand-off provisions of Section 2.12 of the Investors Rights Agreement, as may be amended from time to time.</w:t>
      </w:r>
    </w:p>
    <w:p>
      <w:pPr>
        <w:spacing w:after="0" w:line="125" w:lineRule="exact"/>
        <w:rPr>
          <w:sz w:val="20"/>
          <w:szCs w:val="20"/>
          <w:color w:val="auto"/>
        </w:rPr>
      </w:pPr>
    </w:p>
    <w:p>
      <w:pPr>
        <w:ind w:left="220" w:right="259" w:firstLine="342"/>
        <w:spacing w:after="0" w:line="29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Voting Agreement</w:t>
      </w:r>
      <w:r>
        <w:rPr>
          <w:rFonts w:ascii="Times New Roman" w:cs="Times New Roman" w:eastAsia="Times New Roman" w:hAnsi="Times New Roman"/>
          <w:sz w:val="13"/>
          <w:szCs w:val="13"/>
          <w:color w:val="auto"/>
        </w:rPr>
        <w:t>. Upon any exercise of this Warrant, other than in connection with an Acquisition, and solely with respect to the Shares issued thereupon, Holder shall, if the Company so requests in writing, execute a counterpart signature page to that certain Amended and Restated Voting Agreement, dated as of March 16, 2022, by and between the Company and the other parties thereto, and shall be come a “Stockholder” thereunder.</w:t>
      </w:r>
    </w:p>
    <w:p>
      <w:pPr>
        <w:spacing w:after="0" w:line="118" w:lineRule="exact"/>
        <w:rPr>
          <w:sz w:val="20"/>
          <w:szCs w:val="20"/>
          <w:color w:val="auto"/>
        </w:rPr>
      </w:pPr>
    </w:p>
    <w:p>
      <w:pPr>
        <w:ind w:left="220" w:right="339" w:firstLine="342"/>
        <w:spacing w:after="0" w:line="266"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from Company to Holder, or vice versa, shall be in writing and shall be deemed delivered and effective when given personally or mailed by first class registered or certified mail, postage prepaid, or by overnight courier, at such address as may have been furnished to Company or Holder, as the case may be, in writing by Company or such Holder from time to time.</w:t>
      </w:r>
    </w:p>
    <w:p>
      <w:pPr>
        <w:spacing w:after="0" w:line="136" w:lineRule="exact"/>
        <w:rPr>
          <w:sz w:val="20"/>
          <w:szCs w:val="20"/>
          <w:color w:val="auto"/>
        </w:rPr>
      </w:pPr>
    </w:p>
    <w:p>
      <w:pPr>
        <w:ind w:left="220" w:right="47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Attorneys Fees</w:t>
      </w:r>
      <w:r>
        <w:rPr>
          <w:rFonts w:ascii="Times New Roman" w:cs="Times New Roman" w:eastAsia="Times New Roman" w:hAnsi="Times New Roman"/>
          <w:sz w:val="14"/>
          <w:szCs w:val="14"/>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laws of the State of California, without giving effect to its principles regarding conflicts of law.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 PAGE FOLLOWS]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519" w:name="page520"/>
    <w:bookmarkEnd w:id="51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undersigned has executed this Warrant as of the day and year first above written.</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BILLIONTOONE, INC., a Delaware corporation</w:t>
      </w:r>
    </w:p>
    <w:p>
      <w:pPr>
        <w:spacing w:after="0" w:line="175"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Oguzhan Atay</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Oguzhan Atay</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520" w:name="page521"/>
    <w:bookmarkEnd w:id="52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1</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NOTICE OF EXERCISE</w:t>
      </w:r>
    </w:p>
    <w:p>
      <w:pPr>
        <w:spacing w:after="0" w:line="167" w:lineRule="exact"/>
        <w:rPr>
          <w:sz w:val="20"/>
          <w:szCs w:val="20"/>
          <w:color w:val="auto"/>
        </w:rPr>
      </w:pPr>
    </w:p>
    <w:p>
      <w:pPr>
        <w:ind w:left="220" w:right="539"/>
        <w:spacing w:after="0" w:line="282" w:lineRule="auto"/>
        <w:rPr>
          <w:sz w:val="20"/>
          <w:szCs w:val="20"/>
          <w:color w:val="auto"/>
        </w:rPr>
      </w:pPr>
      <w:r>
        <w:rPr>
          <w:rFonts w:ascii="Times New Roman" w:cs="Times New Roman" w:eastAsia="Times New Roman" w:hAnsi="Times New Roman"/>
          <w:sz w:val="14"/>
          <w:szCs w:val="14"/>
          <w:color w:val="auto"/>
        </w:rPr>
        <w:t>1. The undersigned hereby elects to purchase        shares of the Common Stock of Company pursuant to the terms of the attached Warrant, and tenders herewith payment of the purchase price of such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-143510</wp:posOffset>
            </wp:positionV>
            <wp:extent cx="354965"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54965" cy="6350"/>
                    </a:xfrm>
                    <a:prstGeom prst="rect">
                      <a:avLst/>
                    </a:prstGeom>
                    <a:noFill/>
                  </pic:spPr>
                </pic:pic>
              </a:graphicData>
            </a:graphic>
          </wp:anchor>
        </w:drawing>
      </w:r>
    </w:p>
    <w:p>
      <w:pPr>
        <w:spacing w:after="0" w:line="105" w:lineRule="exact"/>
        <w:rPr>
          <w:sz w:val="20"/>
          <w:szCs w:val="20"/>
          <w:color w:val="auto"/>
        </w:rPr>
      </w:pPr>
    </w:p>
    <w:p>
      <w:pPr>
        <w:ind w:left="220" w:right="379" w:firstLine="3"/>
        <w:spacing w:after="0" w:line="282" w:lineRule="auto"/>
        <w:tabs>
          <w:tab w:leader="none" w:pos="36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convert the attached Warrant into Shares/cash in the manner specified in the Warrant. This conversion is exercised with respect to _____________________ of the Shares covered by the Warrant.</w:t>
      </w:r>
    </w:p>
    <w:p>
      <w:pPr>
        <w:spacing w:after="0" w:line="125" w:lineRule="exact"/>
        <w:rPr>
          <w:rFonts w:ascii="Times New Roman" w:cs="Times New Roman" w:eastAsia="Times New Roman" w:hAnsi="Times New Roman"/>
          <w:sz w:val="14"/>
          <w:szCs w:val="14"/>
          <w:color w:val="auto"/>
        </w:rPr>
      </w:pPr>
    </w:p>
    <w:p>
      <w:pPr>
        <w:ind w:left="360" w:hanging="137"/>
        <w:spacing w:after="0"/>
        <w:tabs>
          <w:tab w:leader="none" w:pos="36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a certificate or certificates representing said shares in the name of the undersigned or in such other name as is specified below:</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Name:___________________________________________</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Address:__________________________________________</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75" w:lineRule="exact"/>
        <w:rPr>
          <w:sz w:val="20"/>
          <w:szCs w:val="20"/>
          <w:color w:val="auto"/>
        </w:rPr>
      </w:pPr>
    </w:p>
    <w:p>
      <w:pPr>
        <w:ind w:left="220" w:right="379" w:firstLine="3"/>
        <w:spacing w:after="0" w:line="282" w:lineRule="auto"/>
        <w:tabs>
          <w:tab w:leader="none" w:pos="36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BANK, an Arizona corporation</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17780</wp:posOffset>
            </wp:positionV>
            <wp:extent cx="1912620"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912620" cy="635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-95250</wp:posOffset>
            </wp:positionV>
            <wp:extent cx="1912620"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21" w:name="page522"/>
    <w:bookmarkEnd w:id="52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2</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CAPITALIZATION TABLE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22" w:name="page523"/>
    <w:bookmarkEnd w:id="52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APPENDIX 3</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value received, WESTERN ALLIANCE BANK, hereby sells, assigns and transfers unto:</w:t>
      </w:r>
    </w:p>
    <w:p>
      <w:pPr>
        <w:spacing w:after="0" w:line="196"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WESTERN ALLIANCE BANCORPORATION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Address: One E. Washing, Suite 1400</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Phoenix, Arizona 85004</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 xml:space="preserve">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-15240</wp:posOffset>
            </wp:positionV>
            <wp:extent cx="799465"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99465" cy="6350"/>
                    </a:xfrm>
                    <a:prstGeom prst="rect">
                      <a:avLst/>
                    </a:prstGeom>
                    <a:noFill/>
                  </pic:spPr>
                </pic:pic>
              </a:graphicData>
            </a:graphic>
          </wp:anchor>
        </w:drawing>
      </w:r>
    </w:p>
    <w:p>
      <w:pPr>
        <w:spacing w:after="0" w:line="151" w:lineRule="exact"/>
        <w:rPr>
          <w:sz w:val="20"/>
          <w:szCs w:val="20"/>
          <w:color w:val="auto"/>
        </w:rPr>
      </w:pPr>
    </w:p>
    <w:p>
      <w:pPr>
        <w:ind w:left="220" w:right="819"/>
        <w:spacing w:after="0" w:line="282" w:lineRule="auto"/>
        <w:rPr>
          <w:sz w:val="20"/>
          <w:szCs w:val="20"/>
          <w:color w:val="auto"/>
        </w:rPr>
      </w:pPr>
      <w:r>
        <w:rPr>
          <w:rFonts w:ascii="Times New Roman" w:cs="Times New Roman" w:eastAsia="Times New Roman" w:hAnsi="Times New Roman"/>
          <w:sz w:val="14"/>
          <w:szCs w:val="14"/>
          <w:color w:val="auto"/>
        </w:rPr>
        <w:t>that certain Warrant to Purchase Stock issued by 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on October 12, 2021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together with all rights, title and interest therein.</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BANK</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17780</wp:posOffset>
            </wp:positionV>
            <wp:extent cx="1912620"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912620" cy="635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-95250</wp:posOffset>
            </wp:positionV>
            <wp:extent cx="1912620"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172" w:lineRule="exact"/>
        <w:rPr>
          <w:sz w:val="20"/>
          <w:szCs w:val="20"/>
          <w:color w:val="auto"/>
        </w:rPr>
      </w:pPr>
    </w:p>
    <w:p>
      <w:pPr>
        <w:ind w:left="220" w:right="279"/>
        <w:spacing w:after="0" w:line="282" w:lineRule="auto"/>
        <w:rPr>
          <w:sz w:val="20"/>
          <w:szCs w:val="20"/>
          <w:color w:val="auto"/>
        </w:rPr>
      </w:pPr>
      <w:r>
        <w:rPr>
          <w:rFonts w:ascii="Times New Roman" w:cs="Times New Roman" w:eastAsia="Times New Roman" w:hAnsi="Times New Roman"/>
          <w:sz w:val="14"/>
          <w:szCs w:val="14"/>
          <w:color w:val="auto"/>
        </w:rPr>
        <w:t>By its execution below, and for the benefit of the Company, Western Alliance Bancorporation agrees to all other provisions of the Warrant as of the date hereof.</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WESTERN ALLIANCE BANCORPORATION</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13970</wp:posOffset>
            </wp:positionV>
            <wp:extent cx="1912620"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17780</wp:posOffset>
            </wp:positionV>
            <wp:extent cx="1912620"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912620" cy="635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-95250</wp:posOffset>
            </wp:positionV>
            <wp:extent cx="1912620"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912620" cy="635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23" w:name="page524"/>
    <w:bookmarkEnd w:id="523"/>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 PURCHASE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August 2,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Issuer,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OTHER OBLIGORS PARTY HERETO,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PURCHASERS PARTY 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BWCB SA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Purchaser Agent</w:t>
      </w:r>
    </w:p>
    <w:p>
      <w:pPr>
        <w:sectPr>
          <w:pgSz w:w="11900" w:h="16838" w:orient="portrait"/>
          <w:cols w:equalWidth="0" w:num="1">
            <w:col w:w="9019"/>
          </w:cols>
          <w:pgMar w:left="1440" w:top="123" w:right="1440" w:bottom="1440" w:gutter="0" w:footer="0" w:header="0"/>
        </w:sectPr>
      </w:pPr>
    </w:p>
    <w:bookmarkStart w:id="524" w:name="page525"/>
    <w:bookmarkEnd w:id="524"/>
    <w:tbl>
      <w:tblPr>
        <w:tblLayout w:type="fixed"/>
        <w:tblInd w:w="22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610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6"/>
                <w:szCs w:val="16"/>
                <w:color w:val="auto"/>
              </w:rPr>
            </w:pPr>
          </w:p>
        </w:tc>
      </w:tr>
      <w:tr>
        <w:trPr>
          <w:trHeight w:val="317"/>
        </w:trPr>
        <w:tc>
          <w:tcPr>
            <w:tcW w:w="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DEFINITIONS AND CONSTRUCTION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NOTES; TERMS OF PAYMENT; REVENUE PARTICIPATION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and Sale of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of Repayment Amount and Revenue Participation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of Principal and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Form of Notes; Note Record</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3.    CONDITIONS PRECEDENT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Conditions Precedent to the Effective Date and First Purchase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Conditions Precedent to the Second Purchase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Conditions Precedent to the Third Purchase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Conditions Precedent to any Fourth Purchase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Conditions Precedent to all Note Purchases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3.6</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Post-Closing Items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3.7</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Covenant to Deliver</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3.8</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Procedures for Issuance and Purchase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CREATION OF SECURITY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Grant of Security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Pledge of Collateral</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Delivery of Additional Documentation Required</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Authorization to File Financing Statements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4.5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Right to Inspect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Due Organization and Qualification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Due Authorization; No Conflict; No Consents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 Prior Encumbrances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Merchantable Inventory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Intellectual Property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5.6</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 Location of Chief Executive Office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5.7</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5.8</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 Material Adverse Change in Financial Statements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5.9</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Solvency, Payment of Debts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5.10</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Compliance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83"/>
        </w:trPr>
        <w:tc>
          <w:tcPr>
            <w:tcW w:w="560" w:type="dxa"/>
            <w:vAlign w:val="bottom"/>
          </w:tcPr>
          <w:p>
            <w:pPr>
              <w:spacing w:after="0"/>
              <w:rPr>
                <w:sz w:val="24"/>
                <w:szCs w:val="24"/>
                <w:color w:val="auto"/>
              </w:rPr>
            </w:pPr>
          </w:p>
        </w:tc>
        <w:tc>
          <w:tcPr>
            <w:tcW w:w="61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1</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525" w:name="page526"/>
    <w:bookmarkEnd w:id="525"/>
    <w:tbl>
      <w:tblPr>
        <w:tblLayout w:type="fixed"/>
        <w:tblInd w:w="22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180" w:type="dxa"/>
            <w:vAlign w:val="bottom"/>
          </w:tcPr>
          <w:p>
            <w:pPr>
              <w:jc w:val="center"/>
              <w:ind w:right="321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r>
      <w:tr>
        <w:trPr>
          <w:trHeight w:val="183"/>
        </w:trPr>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180" w:type="dxa"/>
            <w:vAlign w:val="bottom"/>
          </w:tcPr>
          <w:p>
            <w:pPr>
              <w:jc w:val="center"/>
              <w:ind w:right="3230"/>
              <w:spacing w:after="0"/>
              <w:rPr>
                <w:sz w:val="20"/>
                <w:szCs w:val="20"/>
                <w:color w:val="auto"/>
              </w:rPr>
            </w:pPr>
            <w:r>
              <w:rPr>
                <w:rFonts w:ascii="Times New Roman" w:cs="Times New Roman" w:eastAsia="Times New Roman" w:hAnsi="Times New Roman"/>
                <w:sz w:val="14"/>
                <w:szCs w:val="14"/>
                <w:color w:val="auto"/>
                <w:w w:val="99"/>
              </w:rPr>
              <w:t>(continued)</w:t>
            </w:r>
          </w:p>
        </w:tc>
      </w:tr>
      <w:tr>
        <w:trPr>
          <w:trHeight w:val="244"/>
        </w:trPr>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20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5.11</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Data Privacy</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5.12</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Environmental Condition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5.13</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5.14</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5.15</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Government Consents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5.16</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5.17</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Material Contracts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5.18</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Series D SPA</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5.19</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Full Disclosure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73"/>
              </w:rPr>
              <w:t>6. </w:t>
            </w: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AFFIRMATIVE COVENANTS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6.1</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Good Standing</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6.2</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Government Compliance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6.3</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 Reports, Certificates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6.4</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Inventory; Returns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6.5</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6.6</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6.7</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6.8</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Performance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6.9</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6.10</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Landlord Waivers; Bailee Waivers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6.11</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Formation or Acquisition of Subsidiaries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6.12</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Material Contracts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6.13</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Further Assurances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73"/>
              </w:rPr>
              <w:t>7. </w:t>
            </w: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NEGATIVE COVENANTS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7.1</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7.2</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Business or Executive Office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7.3</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Mergers or Acquisitions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7.4</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Indebtedness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7.5</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7.6</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7.7</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7.8</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Transactions with Affiliates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7.9</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Subordinated Debt</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7.10</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Inventory and Equipment</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7.11</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Compliance with Laws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7.12</w:t>
            </w:r>
          </w:p>
        </w:tc>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 Assets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83"/>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80" w:type="dxa"/>
            <w:vAlign w:val="bottom"/>
          </w:tcPr>
          <w:p>
            <w:pPr>
              <w:jc w:val="center"/>
              <w:ind w:right="3230"/>
              <w:spacing w:after="0"/>
              <w:rPr>
                <w:sz w:val="20"/>
                <w:szCs w:val="20"/>
                <w:color w:val="auto"/>
              </w:rPr>
            </w:pPr>
            <w:r>
              <w:rPr>
                <w:rFonts w:ascii="Times New Roman" w:cs="Times New Roman" w:eastAsia="Times New Roman" w:hAnsi="Times New Roman"/>
                <w:sz w:val="14"/>
                <w:szCs w:val="14"/>
                <w:color w:val="auto"/>
              </w:rPr>
              <w:t>ii</w:t>
            </w:r>
          </w:p>
        </w:tc>
      </w:tr>
    </w:tbl>
    <w:p>
      <w:pPr>
        <w:jc w:val="center"/>
        <w:ind w:right="3230"/>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526" w:name="page527"/>
    <w:bookmarkEnd w:id="526"/>
    <w:tbl>
      <w:tblPr>
        <w:tblLayout w:type="fixed"/>
        <w:tblInd w:w="22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100" w:type="dxa"/>
            <w:vAlign w:val="bottom"/>
          </w:tcPr>
          <w:p>
            <w:pPr>
              <w:jc w:val="center"/>
              <w:ind w:left="129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860" w:type="dxa"/>
            <w:vAlign w:val="bottom"/>
          </w:tcPr>
          <w:p>
            <w:pPr>
              <w:spacing w:after="0"/>
              <w:rPr>
                <w:sz w:val="14"/>
                <w:szCs w:val="14"/>
                <w:color w:val="auto"/>
              </w:rPr>
            </w:pPr>
          </w:p>
        </w:tc>
      </w:tr>
      <w:tr>
        <w:trPr>
          <w:trHeight w:val="183"/>
        </w:trPr>
        <w:tc>
          <w:tcPr>
            <w:tcW w:w="560" w:type="dxa"/>
            <w:vAlign w:val="bottom"/>
          </w:tcPr>
          <w:p>
            <w:pPr>
              <w:spacing w:after="0"/>
              <w:rPr>
                <w:sz w:val="15"/>
                <w:szCs w:val="15"/>
                <w:color w:val="auto"/>
              </w:rPr>
            </w:pPr>
          </w:p>
        </w:tc>
        <w:tc>
          <w:tcPr>
            <w:tcW w:w="6100" w:type="dxa"/>
            <w:vAlign w:val="bottom"/>
          </w:tcPr>
          <w:p>
            <w:pPr>
              <w:jc w:val="center"/>
              <w:ind w:left="1270"/>
              <w:spacing w:after="0"/>
              <w:rPr>
                <w:sz w:val="20"/>
                <w:szCs w:val="20"/>
                <w:color w:val="auto"/>
              </w:rPr>
            </w:pPr>
            <w:r>
              <w:rPr>
                <w:rFonts w:ascii="Times New Roman" w:cs="Times New Roman" w:eastAsia="Times New Roman" w:hAnsi="Times New Roman"/>
                <w:sz w:val="14"/>
                <w:szCs w:val="14"/>
                <w:color w:val="auto"/>
                <w:w w:val="99"/>
              </w:rPr>
              <w:t>(continued)</w:t>
            </w:r>
          </w:p>
        </w:tc>
        <w:tc>
          <w:tcPr>
            <w:tcW w:w="1860" w:type="dxa"/>
            <w:vAlign w:val="bottom"/>
          </w:tcPr>
          <w:p>
            <w:pPr>
              <w:spacing w:after="0"/>
              <w:rPr>
                <w:sz w:val="15"/>
                <w:szCs w:val="15"/>
                <w:color w:val="auto"/>
              </w:rPr>
            </w:pPr>
          </w:p>
        </w:tc>
      </w:tr>
      <w:tr>
        <w:trPr>
          <w:trHeight w:val="244"/>
        </w:trPr>
        <w:tc>
          <w:tcPr>
            <w:tcW w:w="56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8.    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Payment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Covenant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Material Adverse Effect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Attachment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Insolvency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8.6</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8.7</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Judgments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8.8</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Misrepresentations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8.9</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Subordinated Debt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8.10</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Governmental Approvals; FDA Action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8.11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Guaranty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9.    RIGHTS AND REMEDIES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Rights and Remedies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Power of Attorney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Accounts Collection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Protective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for Collateral</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9.6</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Remedies Cumulative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9.7</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Demand; Protest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9.8</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Licenses Related to Products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9.9</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Application of Payments and Proceeds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11.   CHOICE OF LAW AND VENUE; JURY TRIAL WAIVER</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12.   GUARANTY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The Guaranty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12.2</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Obligations Unconditional</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12.3</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Reinstatement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12.4</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Subrogation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12.5</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Remedies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12.6</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 for the Payment of Money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12.7</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Guarantee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12.8</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Rights of Contribution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12.9</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General Limitation on Guarantee Obligations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2"/>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13.   GENERAL PROVISIONS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r>
      <w:tr>
        <w:trPr>
          <w:trHeight w:val="252"/>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w:t>
            </w:r>
          </w:p>
        </w:tc>
        <w:tc>
          <w:tcPr>
            <w:tcW w:w="6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83"/>
        </w:trPr>
        <w:tc>
          <w:tcPr>
            <w:tcW w:w="560" w:type="dxa"/>
            <w:vAlign w:val="bottom"/>
          </w:tcPr>
          <w:p>
            <w:pPr>
              <w:spacing w:after="0"/>
              <w:rPr>
                <w:sz w:val="24"/>
                <w:szCs w:val="24"/>
                <w:color w:val="auto"/>
              </w:rPr>
            </w:pPr>
          </w:p>
        </w:tc>
        <w:tc>
          <w:tcPr>
            <w:tcW w:w="6100" w:type="dxa"/>
            <w:vAlign w:val="bottom"/>
          </w:tcPr>
          <w:p>
            <w:pPr>
              <w:jc w:val="center"/>
              <w:ind w:left="1270"/>
              <w:spacing w:after="0"/>
              <w:rPr>
                <w:sz w:val="20"/>
                <w:szCs w:val="20"/>
                <w:color w:val="auto"/>
              </w:rPr>
            </w:pPr>
            <w:r>
              <w:rPr>
                <w:rFonts w:ascii="Times New Roman" w:cs="Times New Roman" w:eastAsia="Times New Roman" w:hAnsi="Times New Roman"/>
                <w:sz w:val="14"/>
                <w:szCs w:val="14"/>
                <w:color w:val="auto"/>
              </w:rPr>
              <w:t>iii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527" w:name="page528"/>
    <w:bookmarkEnd w:id="527"/>
    <w:tbl>
      <w:tblPr>
        <w:tblLayout w:type="fixed"/>
        <w:tblInd w:w="22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6020" w:type="dxa"/>
            <w:vAlign w:val="bottom"/>
          </w:tcPr>
          <w:p>
            <w:pPr>
              <w:jc w:val="center"/>
              <w:ind w:left="121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860" w:type="dxa"/>
            <w:vAlign w:val="bottom"/>
          </w:tcPr>
          <w:p>
            <w:pPr>
              <w:spacing w:after="0"/>
              <w:rPr>
                <w:sz w:val="14"/>
                <w:szCs w:val="14"/>
                <w:color w:val="auto"/>
              </w:rPr>
            </w:pPr>
          </w:p>
        </w:tc>
      </w:tr>
      <w:tr>
        <w:trPr>
          <w:trHeight w:val="183"/>
        </w:trPr>
        <w:tc>
          <w:tcPr>
            <w:tcW w:w="640" w:type="dxa"/>
            <w:vAlign w:val="bottom"/>
          </w:tcPr>
          <w:p>
            <w:pPr>
              <w:spacing w:after="0"/>
              <w:rPr>
                <w:sz w:val="15"/>
                <w:szCs w:val="15"/>
                <w:color w:val="auto"/>
              </w:rPr>
            </w:pPr>
          </w:p>
        </w:tc>
        <w:tc>
          <w:tcPr>
            <w:tcW w:w="6020" w:type="dxa"/>
            <w:vAlign w:val="bottom"/>
          </w:tcPr>
          <w:p>
            <w:pPr>
              <w:jc w:val="center"/>
              <w:ind w:left="1190"/>
              <w:spacing w:after="0"/>
              <w:rPr>
                <w:sz w:val="20"/>
                <w:szCs w:val="20"/>
                <w:color w:val="auto"/>
              </w:rPr>
            </w:pPr>
            <w:r>
              <w:rPr>
                <w:rFonts w:ascii="Times New Roman" w:cs="Times New Roman" w:eastAsia="Times New Roman" w:hAnsi="Times New Roman"/>
                <w:sz w:val="14"/>
                <w:szCs w:val="14"/>
                <w:color w:val="auto"/>
                <w:w w:val="99"/>
              </w:rPr>
              <w:t>(continued)</w:t>
            </w:r>
          </w:p>
        </w:tc>
        <w:tc>
          <w:tcPr>
            <w:tcW w:w="1860" w:type="dxa"/>
            <w:vAlign w:val="bottom"/>
          </w:tcPr>
          <w:p>
            <w:pPr>
              <w:spacing w:after="0"/>
              <w:rPr>
                <w:sz w:val="15"/>
                <w:szCs w:val="15"/>
                <w:color w:val="auto"/>
              </w:rPr>
            </w:pPr>
          </w:p>
        </w:tc>
      </w:tr>
      <w:tr>
        <w:trPr>
          <w:trHeight w:val="244"/>
        </w:trPr>
        <w:tc>
          <w:tcPr>
            <w:tcW w:w="64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13.2</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13.3</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Time of Essence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13.4</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Severability of Provisions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13.5</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Correction of Note Documents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13.6</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Amendments in Writing; Integration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13.7</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Counterparts; Effectiveness; Electronic Signature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13.8</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Survival</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13.9</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Confidentiality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13.10</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13.11</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Right of Set Off</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13.12</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Cooperation of the Obligors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13.13</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Purchasers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13.14</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13.15</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Issue Discount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13.16</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Tax Treatment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TAX</w:t>
            </w:r>
          </w:p>
        </w:tc>
        <w:tc>
          <w:tcPr>
            <w:tcW w:w="60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14.1</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Withholding and Gross-Up</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52"/>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14.2</w:t>
            </w:r>
          </w:p>
        </w:tc>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Reporting and Documentation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83"/>
        </w:trPr>
        <w:tc>
          <w:tcPr>
            <w:tcW w:w="640" w:type="dxa"/>
            <w:vAlign w:val="bottom"/>
          </w:tcPr>
          <w:p>
            <w:pPr>
              <w:spacing w:after="0"/>
              <w:rPr>
                <w:sz w:val="24"/>
                <w:szCs w:val="24"/>
                <w:color w:val="auto"/>
              </w:rPr>
            </w:pPr>
          </w:p>
        </w:tc>
        <w:tc>
          <w:tcPr>
            <w:tcW w:w="6020" w:type="dxa"/>
            <w:vAlign w:val="bottom"/>
          </w:tcPr>
          <w:p>
            <w:pPr>
              <w:jc w:val="center"/>
              <w:ind w:left="1190"/>
              <w:spacing w:after="0"/>
              <w:rPr>
                <w:sz w:val="20"/>
                <w:szCs w:val="20"/>
                <w:color w:val="auto"/>
              </w:rPr>
            </w:pPr>
            <w:r>
              <w:rPr>
                <w:rFonts w:ascii="Times New Roman" w:cs="Times New Roman" w:eastAsia="Times New Roman" w:hAnsi="Times New Roman"/>
                <w:sz w:val="14"/>
                <w:szCs w:val="14"/>
                <w:color w:val="auto"/>
              </w:rPr>
              <w:t>iv</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528" w:name="page529"/>
    <w:bookmarkEnd w:id="5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103"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SCHEDULES:</w:t>
      </w:r>
    </w:p>
    <w:p>
      <w:pPr>
        <w:spacing w:after="0" w:line="198"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Schedule 1.1</w:t>
      </w:r>
      <w:r>
        <w:rPr>
          <w:sz w:val="20"/>
          <w:szCs w:val="20"/>
          <w:color w:val="auto"/>
        </w:rPr>
        <w:tab/>
      </w:r>
      <w:r>
        <w:rPr>
          <w:rFonts w:ascii="Times New Roman" w:cs="Times New Roman" w:eastAsia="Times New Roman" w:hAnsi="Times New Roman"/>
          <w:sz w:val="13"/>
          <w:szCs w:val="13"/>
          <w:color w:val="auto"/>
        </w:rPr>
        <w:t>Purchasers and Commitments</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Schedule 4.1</w:t>
      </w:r>
      <w:r>
        <w:rPr>
          <w:sz w:val="20"/>
          <w:szCs w:val="20"/>
          <w:color w:val="auto"/>
        </w:rPr>
        <w:tab/>
      </w:r>
      <w:r>
        <w:rPr>
          <w:rFonts w:ascii="Times New Roman" w:cs="Times New Roman" w:eastAsia="Times New Roman" w:hAnsi="Times New Roman"/>
          <w:sz w:val="13"/>
          <w:szCs w:val="13"/>
          <w:color w:val="auto"/>
        </w:rPr>
        <w:t>Security Interest</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Schedule 5.5</w:t>
      </w:r>
      <w:r>
        <w:rPr>
          <w:sz w:val="20"/>
          <w:szCs w:val="20"/>
          <w:color w:val="auto"/>
        </w:rPr>
        <w:tab/>
      </w:r>
      <w:r>
        <w:rPr>
          <w:rFonts w:ascii="Times New Roman" w:cs="Times New Roman" w:eastAsia="Times New Roman" w:hAnsi="Times New Roman"/>
          <w:sz w:val="13"/>
          <w:szCs w:val="13"/>
          <w:color w:val="auto"/>
        </w:rPr>
        <w:t>Intellectual Property</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Schedule 5.10</w:t>
      </w:r>
      <w:r>
        <w:rPr>
          <w:sz w:val="20"/>
          <w:szCs w:val="20"/>
          <w:color w:val="auto"/>
        </w:rPr>
        <w:tab/>
      </w:r>
      <w:r>
        <w:rPr>
          <w:rFonts w:ascii="Times New Roman" w:cs="Times New Roman" w:eastAsia="Times New Roman" w:hAnsi="Times New Roman"/>
          <w:sz w:val="13"/>
          <w:szCs w:val="13"/>
          <w:color w:val="auto"/>
        </w:rPr>
        <w:t>Regulatory Compliance</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98"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Exhibit A</w:t>
      </w:r>
      <w:r>
        <w:rPr>
          <w:sz w:val="20"/>
          <w:szCs w:val="20"/>
          <w:color w:val="auto"/>
        </w:rPr>
        <w:tab/>
      </w:r>
      <w:r>
        <w:rPr>
          <w:rFonts w:ascii="Times New Roman" w:cs="Times New Roman" w:eastAsia="Times New Roman" w:hAnsi="Times New Roman"/>
          <w:sz w:val="13"/>
          <w:szCs w:val="13"/>
          <w:color w:val="auto"/>
        </w:rPr>
        <w:t>Description of Collateral</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Exhibit B</w:t>
      </w:r>
      <w:r>
        <w:rPr>
          <w:sz w:val="20"/>
          <w:szCs w:val="20"/>
          <w:color w:val="auto"/>
        </w:rPr>
        <w:tab/>
      </w:r>
      <w:r>
        <w:rPr>
          <w:rFonts w:ascii="Times New Roman" w:cs="Times New Roman" w:eastAsia="Times New Roman" w:hAnsi="Times New Roman"/>
          <w:sz w:val="13"/>
          <w:szCs w:val="13"/>
          <w:color w:val="auto"/>
        </w:rPr>
        <w:t>Form of Purchase Notice</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Exhibit C</w:t>
      </w:r>
      <w:r>
        <w:rPr>
          <w:sz w:val="20"/>
          <w:szCs w:val="20"/>
          <w:color w:val="auto"/>
        </w:rPr>
        <w:tab/>
      </w:r>
      <w:r>
        <w:rPr>
          <w:rFonts w:ascii="Times New Roman" w:cs="Times New Roman" w:eastAsia="Times New Roman" w:hAnsi="Times New Roman"/>
          <w:sz w:val="13"/>
          <w:szCs w:val="13"/>
          <w:color w:val="auto"/>
        </w:rPr>
        <w:t>Compliance Certificate</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Exhibit D</w:t>
      </w:r>
      <w:r>
        <w:rPr>
          <w:sz w:val="20"/>
          <w:szCs w:val="20"/>
          <w:color w:val="auto"/>
        </w:rPr>
        <w:tab/>
      </w:r>
      <w:r>
        <w:rPr>
          <w:rFonts w:ascii="Times New Roman" w:cs="Times New Roman" w:eastAsia="Times New Roman" w:hAnsi="Times New Roman"/>
          <w:sz w:val="13"/>
          <w:szCs w:val="13"/>
          <w:color w:val="auto"/>
        </w:rPr>
        <w:t>Form of Note</w:t>
      </w:r>
    </w:p>
    <w:p>
      <w:pPr>
        <w:spacing w:after="0" w:line="91" w:lineRule="exact"/>
        <w:rPr>
          <w:sz w:val="20"/>
          <w:szCs w:val="20"/>
          <w:color w:val="auto"/>
        </w:rPr>
      </w:pPr>
    </w:p>
    <w:p>
      <w:pPr>
        <w:ind w:left="560"/>
        <w:spacing w:after="0"/>
        <w:tabs>
          <w:tab w:leader="none" w:pos="1540" w:val="left"/>
        </w:tabs>
        <w:rPr>
          <w:sz w:val="20"/>
          <w:szCs w:val="20"/>
          <w:color w:val="auto"/>
        </w:rPr>
      </w:pPr>
      <w:r>
        <w:rPr>
          <w:rFonts w:ascii="Times New Roman" w:cs="Times New Roman" w:eastAsia="Times New Roman" w:hAnsi="Times New Roman"/>
          <w:sz w:val="14"/>
          <w:szCs w:val="14"/>
          <w:color w:val="auto"/>
        </w:rPr>
        <w:t>Exhibit E</w:t>
      </w:r>
      <w:r>
        <w:rPr>
          <w:sz w:val="20"/>
          <w:szCs w:val="20"/>
          <w:color w:val="auto"/>
        </w:rPr>
        <w:tab/>
      </w:r>
      <w:r>
        <w:rPr>
          <w:rFonts w:ascii="Times New Roman" w:cs="Times New Roman" w:eastAsia="Times New Roman" w:hAnsi="Times New Roman"/>
          <w:sz w:val="13"/>
          <w:szCs w:val="13"/>
          <w:color w:val="auto"/>
        </w:rPr>
        <w:t>Form of Guarantee Assumption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38" w:right="1440" w:bottom="1440" w:gutter="0" w:footer="0" w:header="0"/>
        </w:sectPr>
      </w:pPr>
    </w:p>
    <w:bookmarkStart w:id="529" w:name="page530"/>
    <w:bookmarkEnd w:id="529"/>
    <w:p>
      <w:pPr>
        <w:ind w:left="220" w:right="479" w:firstLine="342"/>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This </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color w:val="auto"/>
        </w:rPr>
        <w:t xml:space="preserve"> (as the same may from time to time be amended, restated, amended and restated, supplemented or otherwise modified from time to time,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xml:space="preserve">”) is entered into as of August 2, 2024, by and among the Purchasers listed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hereof or otherwise a party hereto from time to time (each a “</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Purchasers</w:t>
      </w:r>
      <w:r>
        <w:rPr>
          <w:rFonts w:ascii="Times New Roman" w:cs="Times New Roman" w:eastAsia="Times New Roman" w:hAnsi="Times New Roman"/>
          <w:sz w:val="14"/>
          <w:szCs w:val="14"/>
          <w:color w:val="auto"/>
        </w:rPr>
        <w:t>”), BWCB SA LLC, a Delaware limited liability company, as agent for the Purchasers (in such capacity, “</w:t>
      </w:r>
      <w:r>
        <w:rPr>
          <w:rFonts w:ascii="Times New Roman" w:cs="Times New Roman" w:eastAsia="Times New Roman" w:hAnsi="Times New Roman"/>
          <w:sz w:val="14"/>
          <w:szCs w:val="14"/>
          <w:b w:val="1"/>
          <w:bCs w:val="1"/>
          <w:color w:val="auto"/>
        </w:rPr>
        <w:t>Purchaser Agent</w:t>
      </w:r>
      <w:r>
        <w:rPr>
          <w:rFonts w:ascii="Times New Roman" w:cs="Times New Roman" w:eastAsia="Times New Roman" w:hAnsi="Times New Roman"/>
          <w:sz w:val="14"/>
          <w:szCs w:val="14"/>
          <w:color w:val="auto"/>
        </w:rPr>
        <w:t>”), BillionToOne, Inc., a Delaware corporation (“</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and the other Obligors from time to time party hereto.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ECITALS</w:t>
      </w:r>
    </w:p>
    <w:p>
      <w:pPr>
        <w:spacing w:after="0" w:line="177" w:lineRule="exact"/>
        <w:rPr>
          <w:sz w:val="20"/>
          <w:szCs w:val="20"/>
          <w:color w:val="auto"/>
        </w:rPr>
      </w:pPr>
    </w:p>
    <w:p>
      <w:pPr>
        <w:ind w:left="220" w:right="279" w:firstLine="342"/>
        <w:spacing w:after="0" w:line="282" w:lineRule="auto"/>
        <w:rPr>
          <w:sz w:val="20"/>
          <w:szCs w:val="20"/>
          <w:color w:val="auto"/>
        </w:rPr>
      </w:pPr>
      <w:r>
        <w:rPr>
          <w:rFonts w:ascii="Times New Roman" w:cs="Times New Roman" w:eastAsia="Times New Roman" w:hAnsi="Times New Roman"/>
          <w:sz w:val="14"/>
          <w:szCs w:val="14"/>
          <w:color w:val="auto"/>
        </w:rPr>
        <w:t>Issuer wishes to sell and issue Notes to the Purchasers, and the Purchasers desire to purchase Notes from Issuer, all on the terms and subject to the conditions set forth herein.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parties agree as follows:</w:t>
      </w:r>
    </w:p>
    <w:p>
      <w:pPr>
        <w:spacing w:after="0" w:line="89" w:lineRule="exact"/>
        <w:rPr>
          <w:sz w:val="20"/>
          <w:szCs w:val="20"/>
          <w:color w:val="auto"/>
        </w:rPr>
      </w:pPr>
    </w:p>
    <w:p>
      <w:pPr>
        <w:ind w:left="700" w:hanging="135"/>
        <w:spacing w:after="0"/>
        <w:tabs>
          <w:tab w:leader="none" w:pos="700" w:val="left"/>
        </w:tabs>
        <w:numPr>
          <w:ilvl w:val="0"/>
          <w:numId w:val="3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EFINITIONS AND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ONSTRUCTION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1.1 Definitions</w:t>
      </w:r>
      <w:r>
        <w:rPr>
          <w:rFonts w:ascii="Times New Roman" w:cs="Times New Roman" w:eastAsia="Times New Roman" w:hAnsi="Times New Roman"/>
          <w:sz w:val="14"/>
          <w:szCs w:val="14"/>
          <w:color w:val="auto"/>
        </w:rPr>
        <w:t>. As used in this Agreement, the following terms shall have the following definitions:</w:t>
      </w:r>
    </w:p>
    <w:p>
      <w:pPr>
        <w:spacing w:after="0" w:line="93" w:lineRule="exact"/>
        <w:rPr>
          <w:sz w:val="20"/>
          <w:szCs w:val="20"/>
          <w:color w:val="auto"/>
        </w:rPr>
      </w:pPr>
    </w:p>
    <w:p>
      <w:pPr>
        <w:ind w:left="220" w:right="259" w:firstLine="342"/>
        <w:spacing w:after="0" w:line="261" w:lineRule="auto"/>
        <w:rPr>
          <w:sz w:val="20"/>
          <w:szCs w:val="20"/>
          <w:color w:val="auto"/>
        </w:rPr>
      </w:pPr>
      <w:r>
        <w:rPr>
          <w:rFonts w:ascii="Times New Roman" w:cs="Times New Roman" w:eastAsia="Times New Roman" w:hAnsi="Times New Roman"/>
          <w:sz w:val="14"/>
          <w:szCs w:val="14"/>
          <w:color w:val="auto"/>
        </w:rPr>
        <w:t>“Accounts” means all presently existing and hereafter arising accounts, contract rights, payment intangibles, and all other forms of obligations owing to an Obligor arising out of the sale or lease of goods (including, without limitation, the licensing of software and other technology) or the rendering of services by such Obligor, whether or not earned by performance, and any and all credit insurance, guaranties, and other security therefor, as well as all merchandise returned to or reclaimed by such Obligor and such Obligor’s Books relating to any of the foregoing.</w:t>
      </w:r>
    </w:p>
    <w:p>
      <w:pPr>
        <w:spacing w:after="0" w:line="139" w:lineRule="exact"/>
        <w:rPr>
          <w:sz w:val="20"/>
          <w:szCs w:val="20"/>
          <w:color w:val="auto"/>
        </w:rPr>
      </w:pPr>
    </w:p>
    <w:p>
      <w:pPr>
        <w:ind w:left="220" w:right="339" w:firstLine="342"/>
        <w:spacing w:after="0" w:line="255" w:lineRule="auto"/>
        <w:rPr>
          <w:sz w:val="20"/>
          <w:szCs w:val="20"/>
          <w:color w:val="auto"/>
        </w:rPr>
      </w:pPr>
      <w:r>
        <w:rPr>
          <w:rFonts w:ascii="Times New Roman" w:cs="Times New Roman" w:eastAsia="Times New Roman" w:hAnsi="Times New Roman"/>
          <w:sz w:val="14"/>
          <w:szCs w:val="14"/>
          <w:color w:val="auto"/>
        </w:rPr>
        <w:t>“Acquisition” means (a) any transaction, or any series of related transactions, by which any Person directly or indirectly, by means of a take-over bid, tender offer, amalgamation, merger, purchase of assets or shares or similar transaction having the same effect as any of the foregoing, (i) acquires any business, product, business line or product line, division or unit of operation of any Person, or all or substantially all of the assets of any business, product, business line or product line, division or other unit of operation of any Person, (ii) acquires control of securities of a Person representing more than 50% of the ordinary voting power for the election of directors or other governing body of such Person if the business affairs of such Person are managed by a board of directors or other governing body or (iii) acquires control of more than 50% of the ownership interest in any Person that is not managed by a board of directors or other governing body and (b) any In-License.</w:t>
      </w:r>
    </w:p>
    <w:p>
      <w:pPr>
        <w:spacing w:after="0" w:line="1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“Acquisition Cost” means consideration paid or payable for an Acquisition (including all maintenance and/or similar payments, earnouts,</w:t>
      </w:r>
    </w:p>
    <w:p>
      <w:pPr>
        <w:spacing w:after="0" w:line="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milestone payments and deferred purchase price and other contractual commitments), excluding royalties on sales calculated on an arm’s-length basis.</w:t>
      </w:r>
    </w:p>
    <w:p>
      <w:pPr>
        <w:spacing w:after="0" w:line="172"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“Agreement” is defined in the preamble hereof.</w:t>
      </w:r>
    </w:p>
    <w:p>
      <w:pPr>
        <w:spacing w:after="0" w:line="175" w:lineRule="exact"/>
        <w:rPr>
          <w:sz w:val="20"/>
          <w:szCs w:val="20"/>
          <w:color w:val="auto"/>
        </w:rPr>
      </w:pPr>
    </w:p>
    <w:p>
      <w:pPr>
        <w:ind w:left="220" w:right="359" w:firstLine="342"/>
        <w:spacing w:after="0" w:line="261" w:lineRule="auto"/>
        <w:rPr>
          <w:sz w:val="20"/>
          <w:szCs w:val="20"/>
          <w:color w:val="auto"/>
        </w:rPr>
      </w:pPr>
      <w:r>
        <w:rPr>
          <w:rFonts w:ascii="Times New Roman" w:cs="Times New Roman" w:eastAsia="Times New Roman" w:hAnsi="Times New Roman"/>
          <w:sz w:val="14"/>
          <w:szCs w:val="14"/>
          <w:color w:val="auto"/>
        </w:rPr>
        <w:t>“Anti-Corruption Laws” means all laws of any jurisdiction applicable to Issuer or any of its Subsidiaries from time to time prohibiting bribery or corruption, including without limitation: (a) legislation implementing the OECD Convention on Combating Bribery of Foreign Public Officials in International Business Transactions, 1997; (b) the United Kingdom Bribery Act 2010; (c) the United States Foreign Corrupt Practices Act of 1977, as amended; (d) the (India) Prevention of Corruption Act, 1988; and (e) other similar laws, rules and regulations in other jurisdictions.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30" w:name="page531"/>
    <w:bookmarkEnd w:id="530"/>
    <w:p>
      <w:pPr>
        <w:ind w:left="220" w:right="259" w:firstLine="342"/>
        <w:spacing w:after="0" w:line="27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“Anti-Terrorism Laws” means any laws relating to terrorism or money laundering, including, without limitation, (i) the Money Laundering Control Act of 1986 (e.g., 18 U.S.C. §§ 1956 and 1957), (ii) the Bank Secrecy Act of 1970 (e.g., 31 U.S.C. §§ 5311 – 5330), as amended by the USA PATRIOT Act, (iii) the laws, regulations and Executive Orders administered by OFAC,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(vi) any legislation or regulations applicable to any party to the Note Documents and relating to the fight against money laundering for capital arising from drug-trafficking and the activities of criminal organizations and counter-terrorist financing, (vii) the (India) Prevention of Money Laundering Act, 2002, or (viii) any similar laws enacted in the United States, United Kingdom, European Union, India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“Applicable Rate” means a rate per annum equal to 8%.</w:t>
      </w:r>
    </w:p>
    <w:p>
      <w:pPr>
        <w:spacing w:after="0" w:line="175" w:lineRule="exact"/>
        <w:rPr>
          <w:sz w:val="20"/>
          <w:szCs w:val="20"/>
          <w:color w:val="auto"/>
        </w:rPr>
      </w:pPr>
    </w:p>
    <w:p>
      <w:pPr>
        <w:ind w:left="220" w:right="359" w:firstLine="342"/>
        <w:spacing w:after="0" w:line="258" w:lineRule="auto"/>
        <w:rPr>
          <w:sz w:val="20"/>
          <w:szCs w:val="20"/>
          <w:color w:val="auto"/>
        </w:rPr>
      </w:pPr>
      <w:r>
        <w:rPr>
          <w:rFonts w:ascii="Times New Roman" w:cs="Times New Roman" w:eastAsia="Times New Roman" w:hAnsi="Times New Roman"/>
          <w:sz w:val="14"/>
          <w:szCs w:val="14"/>
          <w:color w:val="auto"/>
        </w:rPr>
        <w:t>“Approved Fund” means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Purchaser or any entity described in the preceding clause (i) and that, with respect to each of the preceding clauses (i) and (ii), is administered or managed by (a) a Purchaser, (b) an Affiliate of a Purchaser or (c) a Person (other than a natural person) or an Affiliate of a Person (other than a natural person) that administers or manages a Purchaser.</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“Approved Purchaser” is defined in </w:t>
      </w:r>
      <w:r>
        <w:rPr>
          <w:rFonts w:ascii="Times New Roman" w:cs="Times New Roman" w:eastAsia="Times New Roman" w:hAnsi="Times New Roman"/>
          <w:sz w:val="14"/>
          <w:szCs w:val="14"/>
          <w:u w:val="single" w:color="auto"/>
          <w:color w:val="auto"/>
        </w:rPr>
        <w:t>Section 13.1(a)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2"/>
        <w:spacing w:after="0" w:line="282" w:lineRule="auto"/>
        <w:rPr>
          <w:sz w:val="20"/>
          <w:szCs w:val="20"/>
          <w:color w:val="auto"/>
        </w:rPr>
      </w:pPr>
      <w:r>
        <w:rPr>
          <w:rFonts w:ascii="Times New Roman" w:cs="Times New Roman" w:eastAsia="Times New Roman" w:hAnsi="Times New Roman"/>
          <w:sz w:val="14"/>
          <w:szCs w:val="14"/>
          <w:color w:val="auto"/>
        </w:rPr>
        <w:t>“Books” means Issuer’s or any of its Subsidiaries’ books and records including: ledgers; records concerning such Persons’ assets or liabilities, the Collateral, business operations or financial condition; and all computer programs, or tape files, and the equipment, containing such information.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“Business Day” means any day that is not a Saturday, Sunday, or other day on which banks in the State of New York are authorized or required to</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close.</w:t>
      </w:r>
    </w:p>
    <w:p>
      <w:pPr>
        <w:spacing w:after="0" w:line="160" w:lineRule="exact"/>
        <w:rPr>
          <w:sz w:val="20"/>
          <w:szCs w:val="20"/>
          <w:color w:val="auto"/>
        </w:rPr>
      </w:pPr>
    </w:p>
    <w:p>
      <w:pPr>
        <w:jc w:val="both"/>
        <w:ind w:left="220" w:right="359" w:firstLine="342"/>
        <w:spacing w:after="0" w:line="277" w:lineRule="auto"/>
        <w:rPr>
          <w:sz w:val="20"/>
          <w:szCs w:val="20"/>
          <w:color w:val="auto"/>
        </w:rPr>
      </w:pPr>
      <w:r>
        <w:rPr>
          <w:rFonts w:ascii="Times New Roman" w:cs="Times New Roman" w:eastAsia="Times New Roman" w:hAnsi="Times New Roman"/>
          <w:sz w:val="13"/>
          <w:szCs w:val="13"/>
          <w:color w:val="auto"/>
        </w:rPr>
        <w:t>“Cash Equivalents” means (i)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w:t>
      </w:r>
    </w:p>
    <w:p>
      <w:pPr>
        <w:spacing w:after="0" w:line="1" w:lineRule="exact"/>
        <w:rPr>
          <w:sz w:val="20"/>
          <w:szCs w:val="20"/>
          <w:color w:val="auto"/>
        </w:rPr>
      </w:pPr>
    </w:p>
    <w:p>
      <w:pPr>
        <w:ind w:left="220" w:right="319" w:firstLine="3"/>
        <w:spacing w:after="0" w:line="252" w:lineRule="auto"/>
        <w:tabs>
          <w:tab w:leader="none" w:pos="465"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maturing no more than one (1) year from the date of investment therein issued by a bank or trust company organized under the laws of the United States of America (or any state thereof) (A) that has combined capital and surplus of at least $500,000,000 or (B) that has (or is a subsidiary of a bank holding company that has) a longterm unsecured debt rating of at least A or the equivalent thereof by Standard &amp; Poor’s Ratings Services or at least A2 or the equivalent thereof by Moody’s Investors Service, Inc. or A or better by Fitch Investor Services, and (iv) money market accounts money market funds that are SEC registered 2a-7 eligible only, have assets in excess of $1,000,000,000, offer a daily purchase/redemption feature and seek to maintain a constant share price; provided that, the Obligors will invest only in ‘no-load’ funds which have a constant $1.00 net asset value target.</w:t>
      </w:r>
    </w:p>
    <w:p>
      <w:pPr>
        <w:spacing w:after="0" w:line="145" w:lineRule="exact"/>
        <w:rPr>
          <w:sz w:val="20"/>
          <w:szCs w:val="20"/>
          <w:color w:val="auto"/>
        </w:rPr>
      </w:pPr>
    </w:p>
    <w:p>
      <w:pPr>
        <w:ind w:left="220" w:right="399" w:firstLine="342"/>
        <w:spacing w:after="0" w:line="258" w:lineRule="auto"/>
        <w:rPr>
          <w:sz w:val="20"/>
          <w:szCs w:val="20"/>
          <w:color w:val="auto"/>
        </w:rPr>
      </w:pPr>
      <w:r>
        <w:rPr>
          <w:rFonts w:ascii="Times New Roman" w:cs="Times New Roman" w:eastAsia="Times New Roman" w:hAnsi="Times New Roman"/>
          <w:sz w:val="14"/>
          <w:szCs w:val="14"/>
          <w:color w:val="auto"/>
        </w:rPr>
        <w:t>“Change of Control” means (A) a transaction in which any “person” or “group” (within the meaning of Section 13(d) and 14(d)(2) of the Securities Exchange Act of 1934) becomes the “beneficial owner” (as defined in Rule 13d-3 under the Exchange Act), directly or indirectly, of a sufficient number of shares of all classes of stock or other equity securities, as applicable, then outstanding of Issuer ordinarily entitled to vote in the election of directors, empowering such “person” or “group” to elect a majority of the board of directors of Issuer, who did not have such power before such transaction, other than (i) as a result of the sale of Issuer’s equity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531" w:name="page532"/>
    <w:bookmarkEnd w:id="531"/>
    <w:p>
      <w:pPr>
        <w:jc w:val="both"/>
        <w:ind w:left="22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a public offering or (ii) by the sale of Issuer’s equity securities to Issuer’s existing investors (as of the Effective Date) in a bona fide equity financing primarily for capital raising purposes, or (B) any event or series of events that results in Issuer’s failure to own, directly or indirectly, beneficially and of record, 100% of all issued and outstanding equity interests of each other Obligor (other than directors’ qualifying shares required pursuant to applicable law).</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“Claims” are defined in </w:t>
      </w:r>
      <w:r>
        <w:rPr>
          <w:rFonts w:ascii="Times New Roman" w:cs="Times New Roman" w:eastAsia="Times New Roman" w:hAnsi="Times New Roman"/>
          <w:sz w:val="14"/>
          <w:szCs w:val="14"/>
          <w:u w:val="single" w:color="auto"/>
          <w:color w:val="auto"/>
        </w:rPr>
        <w:t>Section 13.2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“Code” means the New York Uniform Commercial Code, as amended from time to time.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“Collateral” means the property described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w:t>
      </w:r>
    </w:p>
    <w:p>
      <w:pPr>
        <w:spacing w:after="0" w:line="175" w:lineRule="exact"/>
        <w:rPr>
          <w:sz w:val="20"/>
          <w:szCs w:val="20"/>
          <w:color w:val="auto"/>
        </w:rPr>
      </w:pPr>
    </w:p>
    <w:p>
      <w:pPr>
        <w:ind w:left="220" w:right="319" w:firstLine="342"/>
        <w:spacing w:after="0" w:line="282" w:lineRule="auto"/>
        <w:rPr>
          <w:sz w:val="20"/>
          <w:szCs w:val="20"/>
          <w:color w:val="auto"/>
        </w:rPr>
      </w:pPr>
      <w:r>
        <w:rPr>
          <w:rFonts w:ascii="Times New Roman" w:cs="Times New Roman" w:eastAsia="Times New Roman" w:hAnsi="Times New Roman"/>
          <w:sz w:val="14"/>
          <w:szCs w:val="14"/>
          <w:color w:val="auto"/>
        </w:rPr>
        <w:t>“Collateral Account” means any deposit account, securities account or commodity account, or any other bank account maintained by any Obligor at any time (other than any Excluded Account).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“Commitment” means, for any Purchaser, the obligation of such Purchaser to purchase Notes, up to the principal amount shown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“Commitments” means the aggregate amount of such commitments of all Purchasers.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“Commitment Percentage” is set forth in Schedule 1.1, as amended from time to time.</w:t>
      </w:r>
    </w:p>
    <w:p>
      <w:pPr>
        <w:spacing w:after="0" w:line="175" w:lineRule="exact"/>
        <w:rPr>
          <w:sz w:val="20"/>
          <w:szCs w:val="20"/>
          <w:color w:val="auto"/>
        </w:rPr>
      </w:pPr>
    </w:p>
    <w:p>
      <w:pPr>
        <w:ind w:left="220" w:right="399" w:firstLine="342"/>
        <w:spacing w:after="0" w:line="261" w:lineRule="auto"/>
        <w:rPr>
          <w:sz w:val="20"/>
          <w:szCs w:val="20"/>
          <w:color w:val="auto"/>
        </w:rPr>
      </w:pPr>
      <w:r>
        <w:rPr>
          <w:rFonts w:ascii="Times New Roman" w:cs="Times New Roman" w:eastAsia="Times New Roman" w:hAnsi="Times New Roman"/>
          <w:sz w:val="14"/>
          <w:szCs w:val="14"/>
          <w:color w:val="auto"/>
        </w:rPr>
        <w:t xml:space="preserve">“Commitment Termination Date” means the earliest of (i) (a) with respect to the First Purchase, the First Purchase Date, (b) with respect to the Second Purchase, September 30, 2025, (c) with respect to the Third Purchase, March 31, 2026, and (d) with respect to the Fourth Purchase, March 31, 2026, (ii) the occurrence of a Change of Control, (iii) the redemption or repurchase by Issuer in full of all outstanding Notes, (iv) the payment to the Purchasers of the Repayment Amount, and (v) the termination of the Commitments pursuant to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“Communication” is defined in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“Compliance Certificate” means that certain certificate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2"/>
        <w:spacing w:after="0" w:line="255" w:lineRule="auto"/>
        <w:rPr>
          <w:sz w:val="20"/>
          <w:szCs w:val="20"/>
          <w:color w:val="auto"/>
        </w:rPr>
      </w:pPr>
      <w:r>
        <w:rPr>
          <w:rFonts w:ascii="Times New Roman" w:cs="Times New Roman" w:eastAsia="Times New Roman" w:hAnsi="Times New Roman"/>
          <w:sz w:val="14"/>
          <w:szCs w:val="14"/>
          <w:color w:val="auto"/>
        </w:rPr>
        <w:t>“Confidential Information” means (a) all information disclosed, directly or indirectly, through any means of communication or observation, by or on behalf of the Disclosing Party to the other Receiving Party on or after the date hereof, that relates to or is derived from the Disclosing Party’s business, strategic, marketing or technological affairs, or to any other matter that the Receiving Party is advised or has reason to know is the confidential or proprietary information of the Disclosing Party, (b) the Note Documents and any term sheets, transaction structures and draft agreements or amendments and any discussions or negotiations relating thereto and (c) all notes, analyses, reports, compilations, forecasts, memoranda, studies or other documents or writings (including emails, text or other instant messages and handwritten documents) based on, containing or relating to any of the foregoing which may be prepared or created by, for or on behalf of the Receiving Party or its Representatives.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“Contingent Obligation” means, as applied to any Person, any direct or indirect liability, contingent or otherwise, of that Person with respect to</w:t>
      </w:r>
    </w:p>
    <w:p>
      <w:pPr>
        <w:spacing w:after="0" w:line="22" w:lineRule="exact"/>
        <w:rPr>
          <w:sz w:val="20"/>
          <w:szCs w:val="20"/>
          <w:color w:val="auto"/>
        </w:rPr>
      </w:pPr>
    </w:p>
    <w:p>
      <w:pPr>
        <w:ind w:left="220" w:right="319" w:firstLine="3"/>
        <w:spacing w:after="0" w:line="251" w:lineRule="auto"/>
        <w:tabs>
          <w:tab w:leader="none" w:pos="387"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lease, dividend, letter of credit or other obligation of another; (ii) any obligations with respect to undrawn letters of credit, corporate credit cards, or merchant services issued or provided for the account of that Person; and (iii) 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Purchaser Agent in good faith; provided, however, that such amount shall not in any event exceed the maximum amount of the obligations under the guarantee or other support arrangement.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532" w:name="page533"/>
    <w:bookmarkEnd w:id="532"/>
    <w:p>
      <w:pPr>
        <w:jc w:val="both"/>
        <w:ind w:left="220" w:right="39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“Control Agreement” is any control agreement entered into among the depository institution at which an Obligor maintains a deposit account or the securities intermediary or commodity intermediary at which an Obligor maintains a securities account or a commodity account, such Obligor, and Purchaser Agent pursuant to which Purchaser Agent obtains control (within the meaning of the Code) over any such account.</w:t>
      </w:r>
    </w:p>
    <w:p>
      <w:pPr>
        <w:spacing w:after="0" w:line="136" w:lineRule="exact"/>
        <w:rPr>
          <w:sz w:val="20"/>
          <w:szCs w:val="20"/>
          <w:color w:val="auto"/>
        </w:rPr>
      </w:pPr>
    </w:p>
    <w:p>
      <w:pPr>
        <w:ind w:left="220" w:right="419" w:firstLine="342"/>
        <w:spacing w:after="0" w:line="282" w:lineRule="auto"/>
        <w:rPr>
          <w:sz w:val="20"/>
          <w:szCs w:val="20"/>
          <w:color w:val="auto"/>
        </w:rPr>
      </w:pPr>
      <w:r>
        <w:rPr>
          <w:rFonts w:ascii="Times New Roman" w:cs="Times New Roman" w:eastAsia="Times New Roman" w:hAnsi="Times New Roman"/>
          <w:sz w:val="14"/>
          <w:szCs w:val="14"/>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“Default” means any event that upon the giving of notice, the passage of time or both, would constitute an Event of Default.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“Default Rate” is defined in </w:t>
      </w:r>
      <w:r>
        <w:rPr>
          <w:rFonts w:ascii="Times New Roman" w:cs="Times New Roman" w:eastAsia="Times New Roman" w:hAnsi="Times New Roman"/>
          <w:sz w:val="14"/>
          <w:szCs w:val="14"/>
          <w:u w:val="single" w:color="auto"/>
          <w:color w:val="auto"/>
        </w:rPr>
        <w:t>Section 2.3(c)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39" w:firstLine="342"/>
        <w:spacing w:after="0" w:line="281" w:lineRule="auto"/>
        <w:rPr>
          <w:sz w:val="20"/>
          <w:szCs w:val="20"/>
          <w:color w:val="auto"/>
        </w:rPr>
      </w:pPr>
      <w:r>
        <w:rPr>
          <w:rFonts w:ascii="Times New Roman" w:cs="Times New Roman" w:eastAsia="Times New Roman" w:hAnsi="Times New Roman"/>
          <w:sz w:val="13"/>
          <w:szCs w:val="13"/>
          <w:color w:val="auto"/>
        </w:rPr>
        <w:t>“Designated Deposit Account” means Issuer’s deposit account, account number 8553414569, maintained with Western Alliance Bank, and any successor deposit account designated by Issuer as such by written notice to Purchaser Agent; provided that the Designated Deposit Account shall be</w:t>
      </w:r>
    </w:p>
    <w:p>
      <w:pPr>
        <w:ind w:left="220" w:right="359" w:firstLine="3"/>
        <w:spacing w:after="0" w:line="260" w:lineRule="auto"/>
        <w:tabs>
          <w:tab w:leader="none" w:pos="41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located in the United States, (b) held with a financial institution that meets the requirements set forth in clause (b)(ii) of the definition of “Permitted Investments”, and (c) at all times subject to a Control Agreement and an ACH authorization in favor of Purchaser Agent.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“Disclosing Party” is defined in </w:t>
      </w:r>
      <w:r>
        <w:rPr>
          <w:rFonts w:ascii="Times New Roman" w:cs="Times New Roman" w:eastAsia="Times New Roman" w:hAnsi="Times New Roman"/>
          <w:sz w:val="14"/>
          <w:szCs w:val="14"/>
          <w:u w:val="single" w:color="auto"/>
          <w:color w:val="auto"/>
        </w:rPr>
        <w:t>Section 13.9(a)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2"/>
        <w:spacing w:after="0" w:line="253" w:lineRule="auto"/>
        <w:rPr>
          <w:sz w:val="20"/>
          <w:szCs w:val="20"/>
          <w:color w:val="auto"/>
        </w:rPr>
      </w:pPr>
      <w:r>
        <w:rPr>
          <w:rFonts w:ascii="Times New Roman" w:cs="Times New Roman" w:eastAsia="Times New Roman" w:hAnsi="Times New Roman"/>
          <w:sz w:val="14"/>
          <w:szCs w:val="14"/>
          <w:color w:val="auto"/>
        </w:rPr>
        <w:t xml:space="preserve">“Disqualified Equity Interest”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181 days after the Maturity Date (other than solely for (x) equity interests that are not Disqualified Equity Interests and (y) cash in lieu of fractional shares), (b) is convertible into or exchangeable (unless at the sole option of the issuer thereof) for (i) debt securities or (ii) any equity interest referred to this definition, in each case at any time on or prior to 181 days after the Maturity Date, or (c) contains any repurchase obligation or provides for mandatory distributions which may come into effect prior to Payment in Full;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if such equity interests are issued pursuant to any plan for the benefit of any employee, director, manager or consultant of Issuer or its Subsidiaries or by any such plan to such employee, director, manager or consultant, such equity interests shall not constitute Disqualified Equity Interests because they may be required to be repurchased by Issuer or its Subsidiaries (x) to the extent permitted by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xml:space="preserve">, in order to satisfy applicable statutory or regulatory obligations or (y) to the extent permitted by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as a result of the termination, death or disability of such employee, director, manager or consultant.</w:t>
      </w:r>
    </w:p>
    <w:p>
      <w:pPr>
        <w:spacing w:after="0" w:line="148" w:lineRule="exact"/>
        <w:rPr>
          <w:sz w:val="20"/>
          <w:szCs w:val="20"/>
          <w:color w:val="auto"/>
        </w:rPr>
      </w:pPr>
    </w:p>
    <w:p>
      <w:pPr>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t>“Distressed Debt Investor” means, as reasonably determined by the Purchaser Agent, any investor or investment fund specializing in distressed debt and a majority of whose investment portfolio at all times consists of distressed debt; provided, that for the avoidance of doubt, any investment fund that is not itself a Distressed Debt Investor, but whose parent or operator also owns or operates one or more investment funds that are Distressed Debt Investors, shall not be deemed to be a Distressed Debt Investor.</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“DOJ” means the U.S. Department of Justice or any successor thereto, or any other comparable Governmental Authority.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“Effective Date” means the date of this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533" w:name="page534"/>
    <w:bookmarkEnd w:id="533"/>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“Eligible Assignee” means (i) a Purchaser, (ii) an Affiliate of a Purchaser, (iii) an Approved Fund and (iv) any commercial bank, savings and loan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association or savings bank or any other entity which is an “accredited investor” (as defined in Regulation D under the Securities Act) and which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extends credit or buys loans as one of its businesses, including insurance companies, mutual funds, lease financing companies and commercial finance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companies, in each case of this clause (iv), which either (A) has a rating of BBB or higher from Standard &amp; Poor’s Rating Group and a rating of Baa2 or</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higher from Moody’s Investors Service, Inc. at the date that it becomes a Purchaser or (B) has total assets in excess of Five Billion Dollars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($5,000,000,000). Notwithstanding the foregoing, in no event shall any Person who is (a) an Affiliate or Subsidiary of Issuer or a direct competitor of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Issuer as reasonably determined by Purchaser Agent or (b) a Distressed Debt Investor constitute an Eligible Assignee.</w:t>
      </w:r>
    </w:p>
    <w:p>
      <w:pPr>
        <w:spacing w:after="0" w:line="160"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“Equipment” means all present and future machinery, equipment, tenant improvements, furniture, fixtures, vehicles, tools, parts and attachments in which an Obligor has any interest.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“ERISA” means the Employee Retirement Income Security Act of 1974, as amended, and the regulations thereunder.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“Event of Default” has the meaning assigned in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75" w:lineRule="exact"/>
        <w:rPr>
          <w:sz w:val="20"/>
          <w:szCs w:val="20"/>
          <w:color w:val="auto"/>
        </w:rPr>
      </w:pPr>
    </w:p>
    <w:p>
      <w:pPr>
        <w:jc w:val="both"/>
        <w:ind w:left="220" w:right="279" w:firstLine="342"/>
        <w:spacing w:after="0" w:line="277" w:lineRule="auto"/>
        <w:rPr>
          <w:sz w:val="20"/>
          <w:szCs w:val="20"/>
          <w:color w:val="auto"/>
        </w:rPr>
      </w:pPr>
      <w:r>
        <w:rPr>
          <w:rFonts w:ascii="Times New Roman" w:cs="Times New Roman" w:eastAsia="Times New Roman" w:hAnsi="Times New Roman"/>
          <w:sz w:val="13"/>
          <w:szCs w:val="13"/>
          <w:color w:val="auto"/>
        </w:rPr>
        <w:t>“Excluded Accounts” means, collectively, (a) any deposit account of any Obligor that is used for payroll, payroll Taxes and other employee wage and benefit payments to or for the benefit of Issuer’s or any of its Subsidiaries’ employees, (b) any escrow accounts, deposit accounts and trust accounts that are pledged or otherwise encumbered pursuant to Permitted Liens described in clause (j) of the definition thereof, (c) “zero balance” accounts, and</w:t>
      </w:r>
    </w:p>
    <w:p>
      <w:pPr>
        <w:spacing w:after="0" w:line="1" w:lineRule="exact"/>
        <w:rPr>
          <w:sz w:val="20"/>
          <w:szCs w:val="20"/>
          <w:color w:val="auto"/>
        </w:rPr>
      </w:pPr>
    </w:p>
    <w:p>
      <w:pPr>
        <w:ind w:left="220" w:right="479" w:firstLine="3"/>
        <w:spacing w:after="0" w:line="260" w:lineRule="auto"/>
        <w:tabs>
          <w:tab w:leader="none" w:pos="41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accounts, the balance of which such accounts, in the case of this clause (d), does not exceed, $1,000,000 individually and $2,500,000 in the aggregate at any time.</w:t>
      </w:r>
    </w:p>
    <w:p>
      <w:pPr>
        <w:spacing w:after="0" w:line="140" w:lineRule="exact"/>
        <w:rPr>
          <w:sz w:val="20"/>
          <w:szCs w:val="20"/>
          <w:color w:val="auto"/>
        </w:rPr>
      </w:pPr>
    </w:p>
    <w:p>
      <w:pPr>
        <w:ind w:left="220" w:right="359" w:firstLine="342"/>
        <w:spacing w:after="0" w:line="253" w:lineRule="auto"/>
        <w:rPr>
          <w:sz w:val="20"/>
          <w:szCs w:val="20"/>
          <w:color w:val="auto"/>
        </w:rPr>
      </w:pPr>
      <w:r>
        <w:rPr>
          <w:rFonts w:ascii="Times New Roman" w:cs="Times New Roman" w:eastAsia="Times New Roman" w:hAnsi="Times New Roman"/>
          <w:sz w:val="14"/>
          <w:szCs w:val="14"/>
          <w:color w:val="auto"/>
        </w:rPr>
        <w:t xml:space="preserve">“Excluded Subsidiary” means any Foreign Subsidiary that (i) individually constitutes or holds less than 5% of Issuer’s consolidated total assets and generates less than 5% of Issuer’s consolidated total revenue, and (ii) when taken together with all then existing Excluded Subsidiaries, such Subsidiary and such Excluded Subsidiaries, in the aggregate, would constitute or hold less than 10% of Issuer’s consolidated total assets and generate less than 10% of Issuer’s consolidated total revenue, in each case determined with reference to the most recent fiscal period for which financial statements were required to have been delivered pursuant to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If at any time the aggregate amount of Issuer’s consolidated total assets or consolidated total revenue attributable to Excluded Subsidiaries exceeds 10% of Issuer’s consolidated total assets or consolidated total revenue, Issuer shall promptly (and in any event within thirty (30) days of becoming aware of such excess) designate sufficient Subsidiaries as ceasing to constitute “Excluded Subsidiaries” to eliminate such excess, and such designated Subsidiaries shall be required to become Guarantors in accordance with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color w:val="auto"/>
        </w:rPr>
        <w:t xml:space="preserve">. If at any time any Subsidiary designated as an Excluded Subsidiary individually constitutes or holds 5% or more of Issuer’s consolidated total assets or generates 5% or more of Issuer’s consolidated total revenue, such Subsidiary shall cease to constitute an Excluded Subsidiary and Issuer shall promptly (and in any event within thirty (30) days of becoming aware thereof) cause such Subsidiary to become a Guarantor in accordance with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220" w:right="279" w:firstLine="342"/>
        <w:spacing w:after="0" w:line="255" w:lineRule="auto"/>
        <w:rPr>
          <w:sz w:val="20"/>
          <w:szCs w:val="20"/>
          <w:color w:val="auto"/>
        </w:rPr>
      </w:pPr>
      <w:r>
        <w:rPr>
          <w:rFonts w:ascii="Times New Roman" w:cs="Times New Roman" w:eastAsia="Times New Roman" w:hAnsi="Times New Roman"/>
          <w:sz w:val="14"/>
          <w:szCs w:val="14"/>
          <w:color w:val="auto"/>
        </w:rPr>
        <w:t xml:space="preserve">“Excluded Taxes” means any of the following Taxes imposed on or with respect to any Purchaser or required to be withheld or deducted from a payment to any Purchaser: (a) Taxes imposed on or measured by net income (however denominated), franchise Taxes, and branch profits Taxes, in each case (i) imposed as a result of the Purchaser being organized under the laws of, or having its principal office located in, the jurisdiction imposing such Tax (or any political subdivision thereof) or (ii) that are Other Connection Taxes; (b) Taxes attributable to such Purchaser’s failure to comply with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(c) Taxes resulting directly from such Purchaser changing its jurisdiction of domicile or form of legal entity; and (d) any withholding Taxes imposed under FATCA. For the purposes of the definition of “Excluded Taxes,” the term “Purchaser” includes its successors and assigns pursuant to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534" w:name="page535"/>
    <w:bookmarkEnd w:id="534"/>
    <w:p>
      <w:pPr>
        <w:ind w:left="220" w:right="359" w:firstLine="342"/>
        <w:spacing w:after="0" w:line="29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“Existing Indebtedness” is the indebtedness of Issuer to Western Alliance Bank in the aggregate principal outstanding amount as of the Effective Date of approximately $35,000,000.00 pursuant to that certain Loan and Security Agreement, dated as of October 12, 2021, as amended by the First Amendment to Loan and Security Agreement, dated as of July 22, 2022, by and between Western Alliance Bank, an Arizona corporation, and Issuer.</w:t>
      </w:r>
    </w:p>
    <w:p>
      <w:pPr>
        <w:spacing w:after="0" w:line="118" w:lineRule="exact"/>
        <w:rPr>
          <w:sz w:val="20"/>
          <w:szCs w:val="20"/>
          <w:color w:val="auto"/>
        </w:rPr>
      </w:pPr>
    </w:p>
    <w:p>
      <w:pPr>
        <w:ind w:left="220" w:right="479" w:firstLine="342"/>
        <w:spacing w:after="0" w:line="261" w:lineRule="auto"/>
        <w:rPr>
          <w:sz w:val="20"/>
          <w:szCs w:val="20"/>
          <w:color w:val="auto"/>
        </w:rPr>
      </w:pPr>
      <w:r>
        <w:rPr>
          <w:rFonts w:ascii="Times New Roman" w:cs="Times New Roman" w:eastAsia="Times New Roman" w:hAnsi="Times New Roman"/>
          <w:sz w:val="14"/>
          <w:szCs w:val="14"/>
          <w:color w:val="auto"/>
        </w:rPr>
        <w:t>“FATCA” means Sections 1471 through 1474 of the IRC,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IRC and any fiscal or regulatory legislation, rules or practices adopted pursuant to any intergovernmental agreement, treaty or convention among Governmental Authorities and implementing such Sections of the IRC.</w:t>
      </w:r>
    </w:p>
    <w:p>
      <w:pPr>
        <w:spacing w:after="0" w:line="139" w:lineRule="exact"/>
        <w:rPr>
          <w:sz w:val="20"/>
          <w:szCs w:val="20"/>
          <w:color w:val="auto"/>
        </w:rPr>
      </w:pPr>
    </w:p>
    <w:p>
      <w:pPr>
        <w:jc w:val="both"/>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“FDA” means the U.S. Food and Drug Administration or any successor thereto, or any other comparable Governmental Authority, bodies that are designated to assess the conformity of medical devices, that is concerned with the safety, efficacy, reliability, manufacture, sale, advertising, promotion, reimbursement, import, export or marketing of medical products or drugs.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“Federal Healthcare Program” is defined in </w:t>
      </w:r>
      <w:r>
        <w:rPr>
          <w:rFonts w:ascii="Times New Roman" w:cs="Times New Roman" w:eastAsia="Times New Roman" w:hAnsi="Times New Roman"/>
          <w:sz w:val="14"/>
          <w:szCs w:val="14"/>
          <w:u w:val="single" w:color="auto"/>
          <w:color w:val="auto"/>
        </w:rPr>
        <w:t>Section 5.10(c)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“First Purchase” is defined in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799" w:firstLine="342"/>
        <w:spacing w:after="0" w:line="282" w:lineRule="auto"/>
        <w:rPr>
          <w:sz w:val="20"/>
          <w:szCs w:val="20"/>
          <w:color w:val="auto"/>
        </w:rPr>
      </w:pPr>
      <w:r>
        <w:rPr>
          <w:rFonts w:ascii="Times New Roman" w:cs="Times New Roman" w:eastAsia="Times New Roman" w:hAnsi="Times New Roman"/>
          <w:sz w:val="14"/>
          <w:szCs w:val="14"/>
          <w:color w:val="auto"/>
        </w:rPr>
        <w:t>“First Purchase Date” means the Purchase Date in respect of the First Purchase, which shall occur on the first Business Day immediately following the Effective Date.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“Foreign Subsidiary” means any Subsidiary of Issuer not formed under the laws of the United States or any state or territory thereof.</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“Fourth Purchase” is defined in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“Fourth Purchase Date” means each Purchase Date in respect of a Fourth Purchase.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“GAAP” means generally accepted accounting principles as in effect from time to time.</w:t>
      </w:r>
    </w:p>
    <w:p>
      <w:pPr>
        <w:spacing w:after="0" w:line="175" w:lineRule="exact"/>
        <w:rPr>
          <w:sz w:val="20"/>
          <w:szCs w:val="20"/>
          <w:color w:val="auto"/>
        </w:rPr>
      </w:pPr>
    </w:p>
    <w:p>
      <w:pPr>
        <w:ind w:left="220" w:right="279" w:firstLine="342"/>
        <w:spacing w:after="0" w:line="282" w:lineRule="auto"/>
        <w:rPr>
          <w:sz w:val="20"/>
          <w:szCs w:val="20"/>
          <w:color w:val="auto"/>
        </w:rPr>
      </w:pPr>
      <w:r>
        <w:rPr>
          <w:rFonts w:ascii="Times New Roman" w:cs="Times New Roman" w:eastAsia="Times New Roman" w:hAnsi="Times New Roman"/>
          <w:sz w:val="14"/>
          <w:szCs w:val="14"/>
          <w:color w:val="auto"/>
        </w:rPr>
        <w:t>“Governmental Approval” is any consent, authorization, approval, order, license, franchise, permit, certificate, accreditation, registration, filing or notice, of, issued by, from or to, or other act by or in respect of, any Governmental Authority.</w:t>
      </w:r>
    </w:p>
    <w:p>
      <w:pPr>
        <w:spacing w:after="0" w:line="125" w:lineRule="exact"/>
        <w:rPr>
          <w:sz w:val="20"/>
          <w:szCs w:val="20"/>
          <w:color w:val="auto"/>
        </w:rPr>
      </w:pPr>
    </w:p>
    <w:p>
      <w:pPr>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“Governmental Authority” is any nation or government, any state or other political subdivision thereof, any agency, authority, instrumentality, regulatory body (including, without limitation, the FDA), court, central bank or other entity exercising executive, legislative, judicial, taxing, regulatory or administrative functions of or pertaining to government, any securities exchange and any self-regulatory organization.</w:t>
      </w:r>
    </w:p>
    <w:p>
      <w:pPr>
        <w:spacing w:after="0" w:line="134" w:lineRule="exact"/>
        <w:rPr>
          <w:sz w:val="20"/>
          <w:szCs w:val="20"/>
          <w:color w:val="auto"/>
        </w:rPr>
      </w:pPr>
    </w:p>
    <w:p>
      <w:pPr>
        <w:ind w:left="220" w:right="339" w:firstLine="342"/>
        <w:spacing w:after="0" w:line="285" w:lineRule="auto"/>
        <w:rPr>
          <w:sz w:val="20"/>
          <w:szCs w:val="20"/>
          <w:color w:val="auto"/>
        </w:rPr>
      </w:pPr>
      <w:r>
        <w:rPr>
          <w:rFonts w:ascii="Times New Roman" w:cs="Times New Roman" w:eastAsia="Times New Roman" w:hAnsi="Times New Roman"/>
          <w:sz w:val="14"/>
          <w:szCs w:val="14"/>
          <w:color w:val="auto"/>
        </w:rPr>
        <w:t xml:space="preserve">“Gross Margin” means, for any period of determination, (I) Net Revenue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cost of goods sold </w:t>
      </w:r>
      <w:r>
        <w:rPr>
          <w:rFonts w:ascii="Times New Roman" w:cs="Times New Roman" w:eastAsia="Times New Roman" w:hAnsi="Times New Roman"/>
          <w:sz w:val="14"/>
          <w:szCs w:val="14"/>
          <w:i w:val="1"/>
          <w:iCs w:val="1"/>
          <w:color w:val="auto"/>
        </w:rPr>
        <w:t>divided</w:t>
      </w:r>
      <w:r>
        <w:rPr>
          <w:rFonts w:ascii="Times New Roman" w:cs="Times New Roman" w:eastAsia="Times New Roman" w:hAnsi="Times New Roman"/>
          <w:sz w:val="14"/>
          <w:szCs w:val="14"/>
          <w:color w:val="auto"/>
        </w:rPr>
        <w:t xml:space="preserve"> by (II) Net Revenue, all determined in accordance with GAAP and expressed as a percentage.</w:t>
      </w:r>
    </w:p>
    <w:p>
      <w:pPr>
        <w:spacing w:after="0" w:line="123" w:lineRule="exact"/>
        <w:rPr>
          <w:sz w:val="20"/>
          <w:szCs w:val="20"/>
          <w:color w:val="auto"/>
        </w:rPr>
      </w:pPr>
    </w:p>
    <w:p>
      <w:pPr>
        <w:ind w:left="220" w:right="319" w:firstLine="342"/>
        <w:spacing w:after="0" w:line="282" w:lineRule="auto"/>
        <w:rPr>
          <w:sz w:val="20"/>
          <w:szCs w:val="20"/>
          <w:color w:val="auto"/>
        </w:rPr>
      </w:pPr>
      <w:r>
        <w:rPr>
          <w:rFonts w:ascii="Times New Roman" w:cs="Times New Roman" w:eastAsia="Times New Roman" w:hAnsi="Times New Roman"/>
          <w:sz w:val="14"/>
          <w:szCs w:val="14"/>
          <w:color w:val="auto"/>
        </w:rPr>
        <w:t xml:space="preserve">“Guarantee Assumption Agreement” means a Guarantee Assumption Agreement substantially in the form of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by a Person that, pursuant to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is required to become a “Guarantor” hereunder.</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“Guaranteed Obligations” is defined in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99" w:firstLine="342"/>
        <w:spacing w:after="0" w:line="282" w:lineRule="auto"/>
        <w:rPr>
          <w:sz w:val="20"/>
          <w:szCs w:val="20"/>
          <w:color w:val="auto"/>
        </w:rPr>
      </w:pPr>
      <w:r>
        <w:rPr>
          <w:rFonts w:ascii="Times New Roman" w:cs="Times New Roman" w:eastAsia="Times New Roman" w:hAnsi="Times New Roman"/>
          <w:sz w:val="14"/>
          <w:szCs w:val="14"/>
          <w:color w:val="auto"/>
        </w:rPr>
        <w:t>“Guarantor” means each Person that is a guarantor of the Obligations under a Guaranty, including, without limitation, a Person that becomes a guarantor pursuant to a Guarantee Assumption Agreement.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535" w:name="page536"/>
    <w:bookmarkEnd w:id="535"/>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“Guaranty” means the guaranty set forth in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and/or any guarantee of all or any part of the Obligations in form and substance reasonably satisfactory to Purchaser Agent, as the same may from time to time be amended, restated, modified or otherwise supplemented.</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“Health Care Laws” is defined in </w:t>
      </w:r>
      <w:r>
        <w:rPr>
          <w:rFonts w:ascii="Times New Roman" w:cs="Times New Roman" w:eastAsia="Times New Roman" w:hAnsi="Times New Roman"/>
          <w:sz w:val="14"/>
          <w:szCs w:val="14"/>
          <w:u w:val="single" w:color="auto"/>
          <w:color w:val="auto"/>
        </w:rPr>
        <w:t>Section 5.10(a)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“HIPAA” is defined in </w:t>
      </w:r>
      <w:r>
        <w:rPr>
          <w:rFonts w:ascii="Times New Roman" w:cs="Times New Roman" w:eastAsia="Times New Roman" w:hAnsi="Times New Roman"/>
          <w:sz w:val="14"/>
          <w:szCs w:val="14"/>
          <w:u w:val="single" w:color="auto"/>
          <w:color w:val="auto"/>
        </w:rPr>
        <w:t>Section 5.11(a)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“In-License” means any license or other agreement between the Issuer or any of its Subsidiaries and any third party pursuant to which the Issuer or such Subsidiary obtains a license or sublicense of, covenant not to sue under, or other similar rights to, any Intellectual Property of such third party (other than off-the-shelf software licenses and nonexclusive licenses of Intellectual Property in the ordinary course of business).</w:t>
      </w:r>
    </w:p>
    <w:p>
      <w:pPr>
        <w:spacing w:after="0" w:line="136" w:lineRule="exact"/>
        <w:rPr>
          <w:sz w:val="20"/>
          <w:szCs w:val="20"/>
          <w:color w:val="auto"/>
        </w:rPr>
      </w:pPr>
    </w:p>
    <w:p>
      <w:pPr>
        <w:ind w:left="220" w:right="259" w:firstLine="342"/>
        <w:spacing w:after="0" w:line="277" w:lineRule="auto"/>
        <w:rPr>
          <w:sz w:val="20"/>
          <w:szCs w:val="20"/>
          <w:color w:val="auto"/>
        </w:rPr>
      </w:pPr>
      <w:r>
        <w:rPr>
          <w:rFonts w:ascii="Times New Roman" w:cs="Times New Roman" w:eastAsia="Times New Roman" w:hAnsi="Times New Roman"/>
          <w:sz w:val="13"/>
          <w:szCs w:val="13"/>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(d) all Contingent Obligations, (e) all obligations with respect to Disqualified Equity Interests, and</w:t>
      </w:r>
    </w:p>
    <w:p>
      <w:pPr>
        <w:spacing w:after="0" w:line="1" w:lineRule="exact"/>
        <w:rPr>
          <w:sz w:val="20"/>
          <w:szCs w:val="20"/>
          <w:color w:val="auto"/>
        </w:rPr>
      </w:pPr>
    </w:p>
    <w:p>
      <w:pPr>
        <w:ind w:left="220" w:right="359" w:firstLine="3"/>
        <w:spacing w:after="0" w:line="260" w:lineRule="auto"/>
        <w:tabs>
          <w:tab w:leader="none" w:pos="395"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liability and obligations under receivables factoring, receivable sales or similar transactions or arising under revenue interest agreements, royalty financing agreements or similar financings.</w:t>
      </w:r>
    </w:p>
    <w:p>
      <w:pPr>
        <w:spacing w:after="0" w:line="140" w:lineRule="exact"/>
        <w:rPr>
          <w:sz w:val="20"/>
          <w:szCs w:val="20"/>
          <w:color w:val="auto"/>
        </w:rPr>
      </w:pPr>
    </w:p>
    <w:p>
      <w:pPr>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36" w:lineRule="exact"/>
        <w:rPr>
          <w:sz w:val="20"/>
          <w:szCs w:val="20"/>
          <w:color w:val="auto"/>
        </w:rPr>
      </w:pPr>
    </w:p>
    <w:p>
      <w:pPr>
        <w:ind w:left="220" w:right="439" w:firstLine="342"/>
        <w:spacing w:after="0" w:line="256" w:lineRule="auto"/>
        <w:rPr>
          <w:sz w:val="20"/>
          <w:szCs w:val="20"/>
          <w:color w:val="auto"/>
        </w:rPr>
      </w:pPr>
      <w:r>
        <w:rPr>
          <w:rFonts w:ascii="Times New Roman" w:cs="Times New Roman" w:eastAsia="Times New Roman" w:hAnsi="Times New Roman"/>
          <w:sz w:val="14"/>
          <w:szCs w:val="14"/>
          <w:color w:val="auto"/>
        </w:rPr>
        <w:t>“Intellectual Property” means all of Issuer’s or any Subsidiary’s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45" w:lineRule="exact"/>
        <w:rPr>
          <w:sz w:val="20"/>
          <w:szCs w:val="20"/>
          <w:color w:val="auto"/>
        </w:rPr>
      </w:pPr>
    </w:p>
    <w:p>
      <w:pPr>
        <w:ind w:left="220" w:right="319" w:firstLine="342"/>
        <w:spacing w:after="0" w:line="266" w:lineRule="auto"/>
        <w:rPr>
          <w:sz w:val="20"/>
          <w:szCs w:val="20"/>
          <w:color w:val="auto"/>
        </w:rPr>
      </w:pPr>
      <w:r>
        <w:rPr>
          <w:rFonts w:ascii="Times New Roman" w:cs="Times New Roman" w:eastAsia="Times New Roman" w:hAnsi="Times New Roman"/>
          <w:sz w:val="14"/>
          <w:szCs w:val="14"/>
          <w:color w:val="auto"/>
        </w:rPr>
        <w:t>“Interest Period” means, with respect to each Note, (a) initially, the period commencing on the Purchase Date of such Note and ending on the last day of the calendar quarter in which such Purchase Date occurs, and (b) thereafter, each period beginning on the first day following the end of the immediately preceding Interest Period and ending on the last day of the next succeeding calendar quarter.</w:t>
      </w:r>
    </w:p>
    <w:p>
      <w:pPr>
        <w:spacing w:after="0" w:line="136" w:lineRule="exact"/>
        <w:rPr>
          <w:sz w:val="20"/>
          <w:szCs w:val="20"/>
          <w:color w:val="auto"/>
        </w:rPr>
      </w:pPr>
    </w:p>
    <w:p>
      <w:pPr>
        <w:ind w:left="220" w:right="339" w:firstLine="342"/>
        <w:spacing w:after="0" w:line="258" w:lineRule="auto"/>
        <w:rPr>
          <w:sz w:val="20"/>
          <w:szCs w:val="20"/>
          <w:color w:val="auto"/>
        </w:rPr>
      </w:pPr>
      <w:r>
        <w:rPr>
          <w:rFonts w:ascii="Times New Roman" w:cs="Times New Roman" w:eastAsia="Times New Roman" w:hAnsi="Times New Roman"/>
          <w:sz w:val="14"/>
          <w:szCs w:val="14"/>
          <w:color w:val="auto"/>
        </w:rPr>
        <w:t>“Inventory” means all inventory in which Issuer or a Subsidiary has or acquires any interest, including work in process and finished products intended for sale or lease or to be furnished under a contract of service, of every kind and description now or at any time hereafter owned by or in the custody or possession, actual or constructive, of Issuer of a Subsidiary,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Issuer’s and its Subsidiaries’ Books relating to any of the foregoing.</w:t>
      </w:r>
    </w:p>
    <w:p>
      <w:pPr>
        <w:spacing w:after="0" w:line="142"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“Investment” means (a) any beneficial ownership of (including stock, partnership interest or other securities) any Person, (b) any loan, advance or capital contribution to any Person, (c) the incurrence of any Contingent Obligation or the assumption of any liabilities of any other Person, and (d) any Acquisition.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“IRC” means the Internal Revenue Code of 1986, as amended, and the regulations thereunder.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“Issuer” is defined in the preamble 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536" w:name="page537"/>
    <w:bookmarkEnd w:id="53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“Lien” means any mortgage, lien, deed of trust, charge, pledge, security interest or other encumbrance.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“Liquidity” means, at any time, the aggregate amount of cash and Cash Equivalents held by the Issuer in the Designated Deposit Account.</w:t>
      </w:r>
    </w:p>
    <w:p>
      <w:pPr>
        <w:spacing w:after="0" w:line="173" w:lineRule="exact"/>
        <w:rPr>
          <w:sz w:val="20"/>
          <w:szCs w:val="20"/>
          <w:color w:val="auto"/>
        </w:rPr>
      </w:pPr>
    </w:p>
    <w:p>
      <w:pPr>
        <w:ind w:left="220" w:right="339" w:firstLine="342"/>
        <w:spacing w:after="0" w:line="285" w:lineRule="auto"/>
        <w:rPr>
          <w:sz w:val="20"/>
          <w:szCs w:val="20"/>
          <w:color w:val="auto"/>
        </w:rPr>
      </w:pPr>
      <w:r>
        <w:rPr>
          <w:rFonts w:ascii="Times New Roman" w:cs="Times New Roman" w:eastAsia="Times New Roman" w:hAnsi="Times New Roman"/>
          <w:sz w:val="14"/>
          <w:szCs w:val="14"/>
          <w:color w:val="auto"/>
        </w:rPr>
        <w:t xml:space="preserve">“Liquidity Condition” means, as of any date of determination, Issuer’s Liquidity was greater than 1.1 </w:t>
      </w:r>
      <w:r>
        <w:rPr>
          <w:rFonts w:ascii="Times New Roman" w:cs="Times New Roman" w:eastAsia="Times New Roman" w:hAnsi="Times New Roman"/>
          <w:sz w:val="14"/>
          <w:szCs w:val="14"/>
          <w:i w:val="1"/>
          <w:iCs w:val="1"/>
          <w:color w:val="auto"/>
        </w:rPr>
        <w:t>times</w:t>
      </w:r>
      <w:r>
        <w:rPr>
          <w:rFonts w:ascii="Times New Roman" w:cs="Times New Roman" w:eastAsia="Times New Roman" w:hAnsi="Times New Roman"/>
          <w:sz w:val="14"/>
          <w:szCs w:val="14"/>
          <w:color w:val="auto"/>
        </w:rPr>
        <w:t xml:space="preserve"> the aggregate principal amount of the Notes issued at the time of such date of determination pursuant to this Agreement.</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“Margin Stock” means “margin stock” as such term is defined in Regulation T, U, or X of the Board of Governors of the Federal Reserve System.</w:t>
      </w:r>
    </w:p>
    <w:p>
      <w:pPr>
        <w:spacing w:after="0" w:line="186"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“Market Capitalization” means, as at any date of determination, the product of (x) the number of issued and outstanding shares of common stock of Issuer on such date multiplied by (y) the closing price per share of such common stock.</w:t>
      </w:r>
    </w:p>
    <w:p>
      <w:pPr>
        <w:spacing w:after="0" w:line="125" w:lineRule="exact"/>
        <w:rPr>
          <w:sz w:val="20"/>
          <w:szCs w:val="20"/>
          <w:color w:val="auto"/>
        </w:rPr>
      </w:pPr>
    </w:p>
    <w:p>
      <w:pPr>
        <w:ind w:left="220" w:right="339" w:firstLine="342"/>
        <w:spacing w:after="0" w:line="261" w:lineRule="auto"/>
        <w:rPr>
          <w:sz w:val="20"/>
          <w:szCs w:val="20"/>
          <w:color w:val="auto"/>
        </w:rPr>
      </w:pPr>
      <w:r>
        <w:rPr>
          <w:rFonts w:ascii="Times New Roman" w:cs="Times New Roman" w:eastAsia="Times New Roman" w:hAnsi="Times New Roman"/>
          <w:sz w:val="14"/>
          <w:szCs w:val="14"/>
          <w:color w:val="auto"/>
        </w:rPr>
        <w:t>“Material Adverse Effect” means a material adverse effect on (i) the business, operations or condition (financial or otherwise) of Issuer and its Subsidiaries taken as a whole, (ii) the ability of Issuer to repay the Obligations or otherwise perform its obligations under the Note Documents as and when due, (iii) the validity, value, perfection (except to the extent permitted under this Agreement) or priority of Purchaser Agent’s security interests in the Collateral, or (iv) the validity or enforceability of any of the Note Documents.</w:t>
      </w:r>
    </w:p>
    <w:p>
      <w:pPr>
        <w:spacing w:after="0" w:line="139" w:lineRule="exact"/>
        <w:rPr>
          <w:sz w:val="20"/>
          <w:szCs w:val="20"/>
          <w:color w:val="auto"/>
        </w:rPr>
      </w:pPr>
    </w:p>
    <w:p>
      <w:pPr>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“Material Contract” means (a) any “material contract” (as such term is defined in Item 601(b)(10) of Regulation S-K of the Securities Act, other than those agreements and arrangements described in Item 601(b)(10)(iii)) with respect to Issuer or its Affiliates that relates to the development, manufacture, or commercialization of any product or service; and (b) any agreement with consideration or other payments in excess of $2,500,000.</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“Maturity Date” means the seventh anniversary of the First Purchase Date.</w:t>
      </w:r>
    </w:p>
    <w:p>
      <w:pPr>
        <w:spacing w:after="0" w:line="175" w:lineRule="exact"/>
        <w:rPr>
          <w:sz w:val="20"/>
          <w:szCs w:val="20"/>
          <w:color w:val="auto"/>
        </w:rPr>
      </w:pPr>
    </w:p>
    <w:p>
      <w:pPr>
        <w:ind w:left="220" w:right="3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“Milestone” means Issuer’s achievement of all of the following: (a) trailing twelve-month Net Revenue of at least $220,000,000 and annualized quarterly Net Revenue of at least $275,000,000, in each case as of the last day of the most recent fiscal quarter for which financial statements were delivered pursuant to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and (b) a Qualified Public Offering.</w:t>
      </w:r>
    </w:p>
    <w:p>
      <w:pPr>
        <w:spacing w:after="0" w:line="136"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“Negotiable Collateral” means all letters of credit of which an Obligor is a beneficiary, notes, drafts, instruments, securities, documents of title, and chattel paper, and each Obligor’s Books relating to any of the foregoing.</w:t>
      </w:r>
    </w:p>
    <w:p>
      <w:pPr>
        <w:spacing w:after="0" w:line="125" w:lineRule="exact"/>
        <w:rPr>
          <w:sz w:val="20"/>
          <w:szCs w:val="20"/>
          <w:color w:val="auto"/>
        </w:rPr>
      </w:pPr>
    </w:p>
    <w:p>
      <w:pPr>
        <w:ind w:left="220" w:right="399" w:firstLine="342"/>
        <w:spacing w:after="0" w:line="282" w:lineRule="auto"/>
        <w:rPr>
          <w:sz w:val="20"/>
          <w:szCs w:val="20"/>
          <w:color w:val="auto"/>
        </w:rPr>
      </w:pPr>
      <w:r>
        <w:rPr>
          <w:rFonts w:ascii="Times New Roman" w:cs="Times New Roman" w:eastAsia="Times New Roman" w:hAnsi="Times New Roman"/>
          <w:sz w:val="14"/>
          <w:szCs w:val="14"/>
          <w:color w:val="auto"/>
        </w:rPr>
        <w:t>“Net Revenue” means, for any relevant fiscal period, consolidated worldwide net revenue of Issuer and its Subsidiaries properly recognized and reported under GAAP, consistently applied, during such period.</w:t>
      </w:r>
    </w:p>
    <w:p>
      <w:pPr>
        <w:spacing w:after="0" w:line="125" w:lineRule="exact"/>
        <w:rPr>
          <w:sz w:val="20"/>
          <w:szCs w:val="20"/>
          <w:color w:val="auto"/>
        </w:rPr>
      </w:pPr>
    </w:p>
    <w:p>
      <w:pPr>
        <w:ind w:left="220" w:right="319" w:firstLine="342"/>
        <w:spacing w:after="0" w:line="261" w:lineRule="auto"/>
        <w:rPr>
          <w:sz w:val="20"/>
          <w:szCs w:val="20"/>
          <w:color w:val="auto"/>
        </w:rPr>
      </w:pPr>
      <w:r>
        <w:rPr>
          <w:rFonts w:ascii="Times New Roman" w:cs="Times New Roman" w:eastAsia="Times New Roman" w:hAnsi="Times New Roman"/>
          <w:sz w:val="14"/>
          <w:szCs w:val="14"/>
          <w:color w:val="auto"/>
        </w:rPr>
        <w:t>“Note Documents” means, collectively, this Agreement, the Notes, any mortgages, deeds of trust or deeds to secure debt that encumbers real property, each Guaranty, the Perfection Certificate, each Compliance Certificate, each Purchase Notice, any subordination agreements, notes or guaranties executed by Issuer or any other Obligor and any other present or future agreement entered into by Issuer, any Guarantor or any other Person, in each case, for the benefit of the Secured Parties in connection with this Agreement; all as amended, restated, or otherwise modified.</w:t>
      </w:r>
    </w:p>
    <w:p>
      <w:pPr>
        <w:spacing w:after="0" w:line="139" w:lineRule="exact"/>
        <w:rPr>
          <w:sz w:val="20"/>
          <w:szCs w:val="20"/>
          <w:color w:val="auto"/>
        </w:rPr>
      </w:pPr>
    </w:p>
    <w:p>
      <w:pPr>
        <w:ind w:left="220" w:right="459" w:firstLine="342"/>
        <w:spacing w:after="0" w:line="282" w:lineRule="auto"/>
        <w:rPr>
          <w:sz w:val="20"/>
          <w:szCs w:val="20"/>
          <w:color w:val="auto"/>
        </w:rPr>
      </w:pPr>
      <w:r>
        <w:rPr>
          <w:rFonts w:ascii="Times New Roman" w:cs="Times New Roman" w:eastAsia="Times New Roman" w:hAnsi="Times New Roman"/>
          <w:sz w:val="14"/>
          <w:szCs w:val="14"/>
          <w:color w:val="auto"/>
        </w:rPr>
        <w:t>“Note Record” means a record maintained by each Purchaser with respect to the outstanding Obligations owed by Issuer to such Purchaser and credits made thereto.</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“Notes” means the senior secured notes issued from time to time pursuant to this Agreement.</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537" w:name="page538"/>
    <w:bookmarkEnd w:id="537"/>
    <w:p>
      <w:pPr>
        <w:ind w:left="220" w:right="279" w:firstLine="342"/>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“Obligations” means, with respect to any Obligor, all amounts, obligations, liabilities, covenants and duties of every type and description owing by such Obligor to Purchaser Agent or any Purchaser, any other indemnitee hereunder or any participant, arising out of, under, or in connection with, any Note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all principal and interest and other amounts owing under any Note, all Revenue Participation Payments and the Repayment Amount, whether or not accruing after the filing of any petition in bankruptcy or after the commencement of any insolvency, reorganization or similar proceeding, and whether or not a claim for post-filing or post-petition interest is allowed in any such proceeding and (ii) all other documented out-of-pocket fees, expenses (including documented out-of-pocket fees, charges and disbursement of counsel), interest, commissions, charges, costs, disbursements, indemnities and reimbursement of amounts paid and other sums chargeable to such Obligor under any Note Document. Unless the context otherwise requires, all references herein to Obligations refers to the Obligations of all of the Obligors.</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“Obligors” means, collectively, Issuer and the Guarantors.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“OFAC” means the U.S. Department of Treasury Office of Foreign Assets Control.</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“OIG” is defined in </w:t>
      </w:r>
      <w:r>
        <w:rPr>
          <w:rFonts w:ascii="Times New Roman" w:cs="Times New Roman" w:eastAsia="Times New Roman" w:hAnsi="Times New Roman"/>
          <w:sz w:val="14"/>
          <w:szCs w:val="14"/>
          <w:u w:val="single" w:color="auto"/>
          <w:color w:val="auto"/>
        </w:rPr>
        <w:t>Section 5.10(a)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“Open Source License” is defined in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79" w:firstLine="342"/>
        <w:spacing w:after="0" w:line="261" w:lineRule="auto"/>
        <w:rPr>
          <w:sz w:val="20"/>
          <w:szCs w:val="20"/>
          <w:color w:val="auto"/>
        </w:rPr>
      </w:pPr>
      <w:r>
        <w:rPr>
          <w:rFonts w:ascii="Times New Roman" w:cs="Times New Roman" w:eastAsia="Times New Roman" w:hAnsi="Times New Roman"/>
          <w:sz w:val="14"/>
          <w:szCs w:val="14"/>
          <w:color w:val="auto"/>
        </w:rPr>
        <w:t>“Other Connection Taxes” means, with respect to any Purchaser, Taxes imposed as a result of a present or former connection between such Purchaser and the jurisdiction imposing such Tax (other than connections arising from such Purchaser having executed, delivered, become a party to, performed its obligations under, received payments under, received or perfected a security interest under, engaged in any other transaction pursuant to, or enforced this Agreement).</w:t>
      </w:r>
    </w:p>
    <w:p>
      <w:pPr>
        <w:spacing w:after="0" w:line="139" w:lineRule="exact"/>
        <w:rPr>
          <w:sz w:val="20"/>
          <w:szCs w:val="20"/>
          <w:color w:val="auto"/>
        </w:rPr>
      </w:pPr>
    </w:p>
    <w:p>
      <w:pPr>
        <w:ind w:left="220" w:right="799" w:firstLine="342"/>
        <w:spacing w:after="0" w:line="282" w:lineRule="auto"/>
        <w:rPr>
          <w:sz w:val="20"/>
          <w:szCs w:val="20"/>
          <w:color w:val="auto"/>
        </w:rPr>
      </w:pPr>
      <w:r>
        <w:rPr>
          <w:rFonts w:ascii="Times New Roman" w:cs="Times New Roman" w:eastAsia="Times New Roman" w:hAnsi="Times New Roman"/>
          <w:sz w:val="14"/>
          <w:szCs w:val="14"/>
          <w:color w:val="auto"/>
        </w:rPr>
        <w:t>“Patents” means all patents, patent applications and like protections including without limitation improvements, divisions, continuations, renewals, reissues, revisions, extensions and continuations-in-part of the same and including foreign equivalents.</w:t>
      </w:r>
    </w:p>
    <w:p>
      <w:pPr>
        <w:spacing w:after="0" w:line="125"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“Payment Date” means each March 31, June 30, September 30 and December 31, commencing on the first such date to occur following the First Purchase Date.</w:t>
      </w:r>
    </w:p>
    <w:p>
      <w:pPr>
        <w:spacing w:after="0" w:line="12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“Payment in Full” means all Obligations of the Obligors (other than inchoate indemnity obligations for which no claim has been made) have been fully repaid in cash and all Commitments have been terminated.</w:t>
      </w:r>
    </w:p>
    <w:p>
      <w:pPr>
        <w:spacing w:after="0" w:line="125" w:lineRule="exact"/>
        <w:rPr>
          <w:sz w:val="20"/>
          <w:szCs w:val="20"/>
          <w:color w:val="auto"/>
        </w:rPr>
      </w:pPr>
    </w:p>
    <w:p>
      <w:pPr>
        <w:ind w:left="220" w:right="559" w:firstLine="342"/>
        <w:spacing w:after="0" w:line="282" w:lineRule="auto"/>
        <w:rPr>
          <w:sz w:val="20"/>
          <w:szCs w:val="20"/>
          <w:color w:val="auto"/>
        </w:rPr>
      </w:pPr>
      <w:r>
        <w:rPr>
          <w:rFonts w:ascii="Times New Roman" w:cs="Times New Roman" w:eastAsia="Times New Roman" w:hAnsi="Times New Roman"/>
          <w:sz w:val="14"/>
          <w:szCs w:val="14"/>
          <w:color w:val="auto"/>
        </w:rPr>
        <w:t xml:space="preserve">“Perfection Certificate” means a completed perfection certificate signed by an officer of each Obligor (as updated from time to time (without retroactive effect), subject to the review and approval of Purchaser Agent, including pursuant to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“Permitted Acquisition” means an Acquisition which satisfies each of the following conditions:</w:t>
      </w:r>
    </w:p>
    <w:p>
      <w:pPr>
        <w:spacing w:after="0" w:line="91" w:lineRule="exact"/>
        <w:rPr>
          <w:sz w:val="20"/>
          <w:szCs w:val="20"/>
          <w:color w:val="auto"/>
        </w:rPr>
      </w:pPr>
    </w:p>
    <w:p>
      <w:pPr>
        <w:ind w:left="220" w:right="279" w:firstLine="773"/>
        <w:spacing w:after="0" w:line="266" w:lineRule="auto"/>
        <w:tabs>
          <w:tab w:leader="none" w:pos="1181"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has occurred and is continuing or would exist after giving effect to the Acquisition and Purchaser Agent has received satisfactory evidence that Issuer is in compliance with all terms and conditions of this Agreement (and that it will be in compliance after giving effect to the Acquisition);</w:t>
      </w:r>
    </w:p>
    <w:p>
      <w:pPr>
        <w:spacing w:after="0" w:line="52"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transactions in connection therewith shall be consummated, in all material respects, in accordance with applicable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538" w:name="page539"/>
    <w:bookmarkEnd w:id="538"/>
    <w:p>
      <w:pPr>
        <w:jc w:val="both"/>
        <w:ind w:left="220" w:right="499" w:firstLine="773"/>
        <w:spacing w:after="0" w:line="261" w:lineRule="auto"/>
        <w:tabs>
          <w:tab w:leader="none" w:pos="1181"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 the case of the purchase or other acquisition of equity interests of any Person, (i) all of the equity interests (except for any such equity interest in the nature of directors’ qualifying shares required pursuant to applicable law) acquired or otherwise issued by such Person or any newly formed Subsidiary in connection with such acquisition shall be wholly owned by Issuer or a Guarantor, and (ii) all such Persons whose equity interests are being acquired shall become Obligors to the extent required by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ind w:left="220" w:right="239" w:firstLine="773"/>
        <w:spacing w:after="0" w:line="258" w:lineRule="auto"/>
        <w:tabs>
          <w:tab w:leader="none" w:pos="1189"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Obligors shall have delivered written notice of such Acquisition to the Purchaser Agent, on behalf of the Purchasers, not less than ten (10) Business Days prior to the execution of a definitive agreement for such Acquisition (or such shorter period as may be specified by the Purchaser Agent in its sole discretion), together with (i) the board package(s) provided to Issuer’s board of directors in connection with such Acquisition and (ii) a draft of any acquisition agreement related to the proposed acquisition (together with disclosure schedules, other material agreements and any other related documents reasonably requested by Purchaser Agent and Purchasers);</w:t>
      </w:r>
    </w:p>
    <w:p>
      <w:pPr>
        <w:spacing w:after="0" w:line="58" w:lineRule="exact"/>
        <w:rPr>
          <w:rFonts w:ascii="Times New Roman" w:cs="Times New Roman" w:eastAsia="Times New Roman" w:hAnsi="Times New Roman"/>
          <w:sz w:val="14"/>
          <w:szCs w:val="14"/>
          <w:color w:val="auto"/>
        </w:rPr>
      </w:pPr>
    </w:p>
    <w:p>
      <w:pPr>
        <w:ind w:left="220" w:right="459" w:firstLine="773"/>
        <w:spacing w:after="0" w:line="322" w:lineRule="auto"/>
        <w:tabs>
          <w:tab w:leader="none" w:pos="1181" w:val="left"/>
        </w:tabs>
        <w:numPr>
          <w:ilvl w:val="1"/>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Agent, on behalf of the Purchasers, shall have received, substantially concurrently with the execution of the definitive documentation relating to such Acquisition, fully executed acquisition agreements and other material agreements with all attachments and schedules;</w:t>
      </w:r>
    </w:p>
    <w:p>
      <w:pPr>
        <w:spacing w:after="0" w:line="18" w:lineRule="exact"/>
        <w:rPr>
          <w:rFonts w:ascii="Times New Roman" w:cs="Times New Roman" w:eastAsia="Times New Roman" w:hAnsi="Times New Roman"/>
          <w:sz w:val="13"/>
          <w:szCs w:val="13"/>
          <w:color w:val="auto"/>
        </w:rPr>
      </w:pPr>
    </w:p>
    <w:p>
      <w:pPr>
        <w:jc w:val="both"/>
        <w:ind w:left="220" w:right="239" w:firstLine="773"/>
        <w:spacing w:after="0" w:line="266" w:lineRule="auto"/>
        <w:tabs>
          <w:tab w:leader="none" w:pos="1165"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assets acquired from such Acquisition shall be acquired by Issuer or a Guarantor and shall be subject to the security interest granted to Purchaser Agent under the Note Documents, and the security interest in such assets shall be perfected in accordance with requirement set forth in this Agreement and other Note Documents;</w:t>
      </w:r>
    </w:p>
    <w:p>
      <w:pPr>
        <w:spacing w:after="0" w:line="52" w:lineRule="exact"/>
        <w:rPr>
          <w:rFonts w:ascii="Times New Roman" w:cs="Times New Roman" w:eastAsia="Times New Roman" w:hAnsi="Times New Roman"/>
          <w:sz w:val="14"/>
          <w:szCs w:val="14"/>
          <w:color w:val="auto"/>
        </w:rPr>
      </w:pPr>
    </w:p>
    <w:p>
      <w:pPr>
        <w:ind w:left="220" w:right="459" w:firstLine="773"/>
        <w:spacing w:after="0" w:line="258" w:lineRule="auto"/>
        <w:tabs>
          <w:tab w:leader="none" w:pos="1189"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Milestone has not occurred at the time the definitive binding documentation relating to such Permitted Acquisition is entered into, the aggregate Acquisition Cost that is or may become payable in connection with such Acquisition, either at or before the closing thereof or any time thereafter, shall not exceed (x) $20,000,000 with respect to any individual Acquisition or (y) $50,000,000 when combined with the aggregate Acquisition Cost that has or may at any time become payable in connection with all other Permitted Acquisitions entered into during the term of this Agreement;</w:t>
      </w:r>
    </w:p>
    <w:p>
      <w:pPr>
        <w:spacing w:after="0" w:line="58" w:lineRule="exact"/>
        <w:rPr>
          <w:rFonts w:ascii="Times New Roman" w:cs="Times New Roman" w:eastAsia="Times New Roman" w:hAnsi="Times New Roman"/>
          <w:sz w:val="14"/>
          <w:szCs w:val="14"/>
          <w:color w:val="auto"/>
        </w:rPr>
      </w:pPr>
    </w:p>
    <w:p>
      <w:pPr>
        <w:ind w:left="220" w:right="239" w:firstLine="773"/>
        <w:spacing w:after="0" w:line="254" w:lineRule="auto"/>
        <w:tabs>
          <w:tab w:leader="none" w:pos="1189"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Milestone has occurred at the time the definitive binding documentation relating to such Permitted Acquisition is entered into, the aggregate Acquisition Cost that is or may become payable in connection with such Acquisition, either at or before the closing thereof or any time thereafter (excluding all or any portion of the Acquisition Cost for such Acquisition that is financed by the substantially concurrent issuance, for the specific purpose of making such Acquisition, of Issuer’s equity interests (other than Disqualified Equity Interests), or that is paid in Issuer’s equity interests (other than Disqualified Equity Interests)), combined with the aggregate Acquisition Cost that has or may at any time become payable in connection with all other Permitted Acquisitions entered into during the term of this Agreement, shall not exceed 10% of Issuer’s Market Capitalization (measured, with respect to any particular Permitted Acquisition, as of the trading day immediately preceding the execution of the definitive documentation relating to such Permitted Acquisition);</w:t>
      </w:r>
    </w:p>
    <w:p>
      <w:pPr>
        <w:spacing w:after="0" w:line="64"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Obligors shall have sufficient liquidity to pay their projected expenses and all debt service when due for a period of twelve</w:t>
      </w:r>
    </w:p>
    <w:p>
      <w:pPr>
        <w:spacing w:after="0" w:line="21" w:lineRule="exact"/>
        <w:rPr>
          <w:rFonts w:ascii="Times New Roman" w:cs="Times New Roman" w:eastAsia="Times New Roman" w:hAnsi="Times New Roman"/>
          <w:sz w:val="14"/>
          <w:szCs w:val="14"/>
          <w:color w:val="auto"/>
        </w:rPr>
      </w:pPr>
    </w:p>
    <w:p>
      <w:pPr>
        <w:ind w:left="500" w:hanging="277"/>
        <w:spacing w:after="0"/>
        <w:tabs>
          <w:tab w:leader="none" w:pos="50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after the consummation of such Acquisition (after giving effect to such Acquisition);</w:t>
      </w:r>
    </w:p>
    <w:p>
      <w:pPr>
        <w:spacing w:after="0" w:line="76" w:lineRule="exact"/>
        <w:rPr>
          <w:rFonts w:ascii="Times New Roman" w:cs="Times New Roman" w:eastAsia="Times New Roman" w:hAnsi="Times New Roman"/>
          <w:sz w:val="14"/>
          <w:szCs w:val="14"/>
          <w:color w:val="auto"/>
        </w:rPr>
      </w:pPr>
    </w:p>
    <w:p>
      <w:pPr>
        <w:ind w:left="1160" w:hanging="167"/>
        <w:spacing w:after="0"/>
        <w:tabs>
          <w:tab w:leader="none" w:pos="1160"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Change of Control shall result from such Acquisition;</w:t>
      </w:r>
    </w:p>
    <w:p>
      <w:pPr>
        <w:spacing w:after="0" w:line="90" w:lineRule="exact"/>
        <w:rPr>
          <w:rFonts w:ascii="Times New Roman" w:cs="Times New Roman" w:eastAsia="Times New Roman" w:hAnsi="Times New Roman"/>
          <w:sz w:val="14"/>
          <w:szCs w:val="14"/>
          <w:color w:val="auto"/>
        </w:rPr>
      </w:pPr>
    </w:p>
    <w:p>
      <w:pPr>
        <w:ind w:left="220" w:right="239" w:firstLine="773"/>
        <w:spacing w:after="0" w:line="266" w:lineRule="auto"/>
        <w:tabs>
          <w:tab w:leader="none" w:pos="1189"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whose equity interests or business are being acquired shall be engaged in, or the asset acquired shall be used to engage in, or any In-License shall be in relation to, the same line of business as Issuer or a business reasonably related, incidental or ancillary thereto, as determined by the reasonable judgment of the Required Purchasers;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539" w:name="page540"/>
    <w:bookmarkEnd w:id="539"/>
    <w:p>
      <w:pPr>
        <w:ind w:left="1160" w:hanging="167"/>
        <w:spacing w:after="0"/>
        <w:tabs>
          <w:tab w:leader="none" w:pos="116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the extent such Acquisition is an In-License, such In-License shall not constitute a Restricted License;</w:t>
      </w:r>
    </w:p>
    <w:p>
      <w:pPr>
        <w:spacing w:after="0" w:line="90" w:lineRule="exact"/>
        <w:rPr>
          <w:rFonts w:ascii="Times New Roman" w:cs="Times New Roman" w:eastAsia="Times New Roman" w:hAnsi="Times New Roman"/>
          <w:sz w:val="14"/>
          <w:szCs w:val="14"/>
          <w:color w:val="auto"/>
        </w:rPr>
      </w:pPr>
    </w:p>
    <w:p>
      <w:pPr>
        <w:ind w:left="1240" w:hanging="247"/>
        <w:spacing w:after="0"/>
        <w:tabs>
          <w:tab w:leader="none" w:pos="124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is consensual and approved by the board of directors (or equivalent control group) of all parties thereto; and</w:t>
      </w:r>
    </w:p>
    <w:p>
      <w:pPr>
        <w:spacing w:after="0" w:line="90" w:lineRule="exact"/>
        <w:rPr>
          <w:rFonts w:ascii="Times New Roman" w:cs="Times New Roman" w:eastAsia="Times New Roman" w:hAnsi="Times New Roman"/>
          <w:sz w:val="14"/>
          <w:szCs w:val="14"/>
          <w:color w:val="auto"/>
        </w:rPr>
      </w:pPr>
    </w:p>
    <w:p>
      <w:pPr>
        <w:ind w:left="220" w:right="479" w:firstLine="773"/>
        <w:spacing w:after="0" w:line="282" w:lineRule="auto"/>
        <w:tabs>
          <w:tab w:leader="none" w:pos="1189"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and after giving effect to the Acquisition, the Issuer is compliant with the Liquidity Condition and would have been compliant with the Liquidity Condition at all times during the most recent fiscal quarter on a pro forma basis.</w:t>
      </w:r>
    </w:p>
    <w:p>
      <w:pPr>
        <w:spacing w:after="0" w:line="125" w:lineRule="exact"/>
        <w:rPr>
          <w:sz w:val="20"/>
          <w:szCs w:val="20"/>
          <w:color w:val="auto"/>
        </w:rPr>
      </w:pPr>
    </w:p>
    <w:p>
      <w:pPr>
        <w:ind w:left="220" w:right="299" w:firstLine="342"/>
        <w:spacing w:after="0" w:line="258" w:lineRule="auto"/>
        <w:rPr>
          <w:sz w:val="20"/>
          <w:szCs w:val="20"/>
          <w:color w:val="auto"/>
        </w:rPr>
      </w:pPr>
      <w:r>
        <w:rPr>
          <w:rFonts w:ascii="Times New Roman" w:cs="Times New Roman" w:eastAsia="Times New Roman" w:hAnsi="Times New Roman"/>
          <w:sz w:val="14"/>
          <w:szCs w:val="14"/>
          <w:color w:val="auto"/>
        </w:rPr>
        <w:t>Notwithstanding anything to the contrary contained herein, in order for any acquisition of equity interests or assets of another Person to constitute a Permitted Acquisition, on or prior to the date of such Permitted Acquisition, Purchaser Agent shall have received, in form and substance reasonably satisfactory to Purchaser Agent, a certificate of an authorized officer of Parent certifying (to the knowledge, after due inquiry, of such authorized officer of Parent) compliance with the requirements contained in this definition of “Permitted Acquisition” and with the other terms of the Note Documents (before and after giving effect to such Permitted Acquisition).</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“Permitted Indebtedness” means:</w:t>
      </w:r>
    </w:p>
    <w:p>
      <w:pPr>
        <w:spacing w:after="0" w:line="91" w:lineRule="exact"/>
        <w:rPr>
          <w:sz w:val="20"/>
          <w:szCs w:val="20"/>
          <w:color w:val="auto"/>
        </w:rPr>
      </w:pPr>
    </w:p>
    <w:p>
      <w:pPr>
        <w:ind w:left="1540" w:hanging="204"/>
        <w:spacing w:after="0"/>
        <w:tabs>
          <w:tab w:leader="none" w:pos="1540" w:val="left"/>
        </w:tabs>
        <w:numPr>
          <w:ilvl w:val="1"/>
          <w:numId w:val="3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Indebtedness to the Purchasers and Purchaser Agent arising under this Agreement or any other Note Document;</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1"/>
          <w:numId w:val="3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Indebtedness existing on the Effective Date and disclosed in the Perfection Certificate delivered on or prior to the Effective Date;</w:t>
      </w:r>
    </w:p>
    <w:p>
      <w:pPr>
        <w:spacing w:after="0" w:line="102" w:lineRule="exact"/>
        <w:rPr>
          <w:rFonts w:ascii="Times New Roman" w:cs="Times New Roman" w:eastAsia="Times New Roman" w:hAnsi="Times New Roman"/>
          <w:sz w:val="13"/>
          <w:szCs w:val="13"/>
          <w:b w:val="1"/>
          <w:bCs w:val="1"/>
          <w:color w:val="auto"/>
        </w:rPr>
      </w:pPr>
    </w:p>
    <w:p>
      <w:pPr>
        <w:ind w:left="220" w:right="259" w:firstLine="1116"/>
        <w:spacing w:after="0" w:line="261" w:lineRule="auto"/>
        <w:tabs>
          <w:tab w:leader="none" w:pos="1523" w:val="left"/>
        </w:tabs>
        <w:numPr>
          <w:ilvl w:val="1"/>
          <w:numId w:val="3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Indebtedness secured by a lien described in clause (c) of the defined term “Permitted Liens,” provided (i) such Indebtedness does not exceed the lesser of the cost or fair market value of the equipment financed with such Indebtedness and (ii) such Indebtedness does not exceed</w:t>
      </w:r>
    </w:p>
    <w:p>
      <w:pPr>
        <w:ind w:left="220" w:right="479" w:firstLine="3"/>
        <w:spacing w:after="0" w:line="260" w:lineRule="auto"/>
        <w:tabs>
          <w:tab w:leader="none" w:pos="449"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Milestone, $15,000,000 in the aggregate at any time and (Y) from and after the Milestone, $25,000,000 in the aggregate at any given time;</w:t>
      </w:r>
    </w:p>
    <w:p>
      <w:pPr>
        <w:spacing w:after="0" w:line="56" w:lineRule="exact"/>
        <w:rPr>
          <w:rFonts w:ascii="Times New Roman" w:cs="Times New Roman" w:eastAsia="Times New Roman" w:hAnsi="Times New Roman"/>
          <w:sz w:val="14"/>
          <w:szCs w:val="14"/>
          <w:color w:val="auto"/>
        </w:rPr>
      </w:pPr>
    </w:p>
    <w:p>
      <w:pPr>
        <w:ind w:left="220" w:right="579" w:firstLine="1116"/>
        <w:spacing w:after="0" w:line="282" w:lineRule="auto"/>
        <w:tabs>
          <w:tab w:leader="none" w:pos="1539"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Indebtedness consisting of the endorsement of negotiable instruments for deposit or collection or similar transactions in the ordinary course of business;</w:t>
      </w:r>
    </w:p>
    <w:p>
      <w:pPr>
        <w:spacing w:after="0" w:line="41"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unsecured Indebtedness to trade creditors incurred in the ordinary course of business to the extent not more than (90) days’ past</w:t>
      </w:r>
    </w:p>
    <w:p>
      <w:pPr>
        <w:spacing w:after="0" w:line="21" w:lineRule="exact"/>
        <w:rPr>
          <w:rFonts w:ascii="Times New Roman" w:cs="Times New Roman" w:eastAsia="Times New Roman" w:hAnsi="Times New Roman"/>
          <w:sz w:val="14"/>
          <w:szCs w:val="14"/>
          <w:b w:val="1"/>
          <w:bCs w:val="1"/>
          <w:color w:val="auto"/>
        </w:rPr>
      </w:pPr>
    </w:p>
    <w:p>
      <w:pPr>
        <w:ind w:left="2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due;</w:t>
      </w:r>
    </w:p>
    <w:p>
      <w:pPr>
        <w:spacing w:after="0" w:line="76" w:lineRule="exact"/>
        <w:rPr>
          <w:rFonts w:ascii="Times New Roman" w:cs="Times New Roman" w:eastAsia="Times New Roman" w:hAnsi="Times New Roman"/>
          <w:sz w:val="14"/>
          <w:szCs w:val="14"/>
          <w:b w:val="1"/>
          <w:bCs w:val="1"/>
          <w:color w:val="auto"/>
        </w:rPr>
      </w:pPr>
    </w:p>
    <w:p>
      <w:pPr>
        <w:ind w:left="220" w:right="359" w:firstLine="1116"/>
        <w:spacing w:after="0" w:line="282" w:lineRule="auto"/>
        <w:tabs>
          <w:tab w:leader="none" w:pos="1508"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Indebtedness in connection with the Obligors’ corporate credit cards provided such Indebtedness does not exceed $2,500,000 in the aggregate at any given time;</w:t>
      </w:r>
    </w:p>
    <w:p>
      <w:pPr>
        <w:spacing w:after="0" w:line="41" w:lineRule="exact"/>
        <w:rPr>
          <w:rFonts w:ascii="Times New Roman" w:cs="Times New Roman" w:eastAsia="Times New Roman" w:hAnsi="Times New Roman"/>
          <w:sz w:val="14"/>
          <w:szCs w:val="14"/>
          <w:b w:val="1"/>
          <w:bCs w:val="1"/>
          <w:color w:val="auto"/>
        </w:rPr>
      </w:pPr>
    </w:p>
    <w:p>
      <w:pPr>
        <w:ind w:left="220" w:right="479" w:firstLine="1116"/>
        <w:spacing w:after="0" w:line="261" w:lineRule="auto"/>
        <w:tabs>
          <w:tab w:leader="none" w:pos="1531"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cash management or related services including treasury, depository, return items, overdraft, controlled disbursement, electronic funds transfer, interstate depository network, automatic clearing house transfer (including the Automated Clearing House processing of electronic funds transfers through the direct Federal Reserve Fedline system) and other cash management arrangements, in each case, incurred in the ordinary course of business;</w:t>
      </w:r>
    </w:p>
    <w:p>
      <w:pPr>
        <w:spacing w:after="0" w:line="55" w:lineRule="exact"/>
        <w:rPr>
          <w:rFonts w:ascii="Times New Roman" w:cs="Times New Roman" w:eastAsia="Times New Roman" w:hAnsi="Times New Roman"/>
          <w:sz w:val="14"/>
          <w:szCs w:val="14"/>
          <w:b w:val="1"/>
          <w:bCs w:val="1"/>
          <w:color w:val="auto"/>
        </w:rPr>
      </w:pPr>
    </w:p>
    <w:p>
      <w:pPr>
        <w:ind w:left="220" w:right="299" w:firstLine="1116"/>
        <w:spacing w:after="0" w:line="266" w:lineRule="auto"/>
        <w:tabs>
          <w:tab w:leader="none" w:pos="1539"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reimbursement obligations in connection with letters of credit, banker’s acceptances or similar instruments that are unsecured or secured by cash and issued on behalf of Issuer or a Subsidiary for: (i) real estate purposes in the ordinary course of business in a face amount up to $2,500,000 at any time outstanding and (ii) any other purposes in a face amount not to exceed $2,500,000 at any time outstanding; and</w:t>
      </w:r>
    </w:p>
    <w:p>
      <w:pPr>
        <w:spacing w:after="0" w:line="52" w:lineRule="exact"/>
        <w:rPr>
          <w:rFonts w:ascii="Times New Roman" w:cs="Times New Roman" w:eastAsia="Times New Roman" w:hAnsi="Times New Roman"/>
          <w:sz w:val="14"/>
          <w:szCs w:val="14"/>
          <w:b w:val="1"/>
          <w:bCs w:val="1"/>
          <w:color w:val="auto"/>
        </w:rPr>
      </w:pPr>
    </w:p>
    <w:p>
      <w:pPr>
        <w:ind w:left="1500" w:hanging="164"/>
        <w:spacing w:after="0"/>
        <w:tabs>
          <w:tab w:leader="none" w:pos="1500" w:val="left"/>
        </w:tabs>
        <w:numPr>
          <w:ilvl w:val="1"/>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Subordinated Debt.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540" w:name="page541"/>
    <w:bookmarkEnd w:id="540"/>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“Permitted Investment” means:</w:t>
      </w:r>
    </w:p>
    <w:p>
      <w:pPr>
        <w:spacing w:after="0" w:line="91" w:lineRule="exact"/>
        <w:rPr>
          <w:sz w:val="20"/>
          <w:szCs w:val="20"/>
          <w:color w:val="auto"/>
        </w:rPr>
      </w:pPr>
    </w:p>
    <w:p>
      <w:pPr>
        <w:ind w:left="1540" w:hanging="204"/>
        <w:spacing w:after="0"/>
        <w:tabs>
          <w:tab w:leader="none" w:pos="154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existing on the Effective Date disclosed in the Perfection Certificate delivered on or prior to the Effective Date;</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Cash Equivalents;</w:t>
      </w:r>
    </w:p>
    <w:p>
      <w:pPr>
        <w:spacing w:after="0" w:line="90" w:lineRule="exact"/>
        <w:rPr>
          <w:rFonts w:ascii="Times New Roman" w:cs="Times New Roman" w:eastAsia="Times New Roman" w:hAnsi="Times New Roman"/>
          <w:sz w:val="14"/>
          <w:szCs w:val="14"/>
          <w:b w:val="1"/>
          <w:bCs w:val="1"/>
          <w:color w:val="auto"/>
        </w:rPr>
      </w:pPr>
    </w:p>
    <w:p>
      <w:pPr>
        <w:ind w:left="220" w:right="659" w:firstLine="1116"/>
        <w:spacing w:after="0" w:line="282" w:lineRule="auto"/>
        <w:tabs>
          <w:tab w:leader="none" w:pos="1523"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the endorsement of negotiable instruments for deposit or collection or similar transactions in the ordinary course of business;</w:t>
      </w:r>
    </w:p>
    <w:p>
      <w:pPr>
        <w:spacing w:after="0" w:line="41"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deposit accounts in which Purchaser Agent has a perfected security interest;</w:t>
      </w:r>
    </w:p>
    <w:p>
      <w:pPr>
        <w:spacing w:after="0" w:line="90"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Investments accepted in connection with Transfers permitted by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b w:val="1"/>
          <w:bCs w:val="1"/>
          <w:color w:val="auto"/>
        </w:rPr>
      </w:pPr>
    </w:p>
    <w:p>
      <w:pPr>
        <w:ind w:left="220" w:right="699" w:firstLine="1116"/>
        <w:spacing w:after="0" w:line="282" w:lineRule="auto"/>
        <w:tabs>
          <w:tab w:leader="none" w:pos="1508"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Investments consisting of the creation of a Subsidiary for the purpose of consummating a merger transaction permitted by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of this Agreement, which is otherwise a Permitted Investment;</w:t>
      </w:r>
    </w:p>
    <w:p>
      <w:pPr>
        <w:spacing w:after="0" w:line="41"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Investments consisting of repurchases of equity interests permitted pursuant to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b w:val="1"/>
          <w:bCs w:val="1"/>
          <w:color w:val="auto"/>
        </w:rPr>
      </w:pPr>
    </w:p>
    <w:p>
      <w:pPr>
        <w:ind w:left="220" w:right="279" w:firstLine="1116"/>
        <w:spacing w:after="0" w:line="287" w:lineRule="auto"/>
        <w:tabs>
          <w:tab w:leader="none" w:pos="1539" w:val="left"/>
        </w:tabs>
        <w:numPr>
          <w:ilvl w:val="0"/>
          <w:numId w:val="3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Investments (i) in Issuer or any Guarantor (other than any Guarantor that is a Foreign Subsidiary), (ii) by Obligors in Foreign Subsidiaries and Subsidiaries that are not Obligors not to exceed $2,000,000 in the aggregate in any fiscal year (which amount shall increase to $5,000,000 in the aggregate in any fiscal year from and after the Milestone)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Investments of Intellectual Property material to Issuer and its Subsidiaries shall be permitted under this subclause (ii)), and (iii) by Subsidiaries that are not Obligors in other Subsidiaries that are not Obligors;</w:t>
      </w:r>
    </w:p>
    <w:p>
      <w:pPr>
        <w:spacing w:after="0" w:line="40" w:lineRule="exact"/>
        <w:rPr>
          <w:rFonts w:ascii="Times New Roman" w:cs="Times New Roman" w:eastAsia="Times New Roman" w:hAnsi="Times New Roman"/>
          <w:sz w:val="13"/>
          <w:szCs w:val="13"/>
          <w:b w:val="1"/>
          <w:bCs w:val="1"/>
          <w:color w:val="auto"/>
        </w:rPr>
      </w:pPr>
    </w:p>
    <w:p>
      <w:pPr>
        <w:ind w:left="220" w:right="239" w:firstLine="1116"/>
        <w:spacing w:after="0" w:line="261" w:lineRule="auto"/>
        <w:tabs>
          <w:tab w:leader="none" w:pos="150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(i) travel advances and employee relocation loans in the ordinary course of business, (ii) other employee loans and advances in the ordinary course of business not to exceed $2,000,000 in the aggregate, and (iii) noncash loans to employees, officers or directors relating to the purchase of equity securities of Issuer or its Subsidiaries pursuant to employee stock purchase plans or agreements approved by Issuer’s board of directors;</w:t>
      </w:r>
    </w:p>
    <w:p>
      <w:pPr>
        <w:spacing w:after="0" w:line="55" w:lineRule="exact"/>
        <w:rPr>
          <w:rFonts w:ascii="Times New Roman" w:cs="Times New Roman" w:eastAsia="Times New Roman" w:hAnsi="Times New Roman"/>
          <w:sz w:val="14"/>
          <w:szCs w:val="14"/>
          <w:b w:val="1"/>
          <w:bCs w:val="1"/>
          <w:color w:val="auto"/>
        </w:rPr>
      </w:pPr>
    </w:p>
    <w:p>
      <w:pPr>
        <w:ind w:left="220" w:right="359" w:firstLine="1116"/>
        <w:spacing w:after="0" w:line="282" w:lineRule="auto"/>
        <w:tabs>
          <w:tab w:leader="none" w:pos="1508"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41" w:lineRule="exact"/>
        <w:rPr>
          <w:rFonts w:ascii="Times New Roman" w:cs="Times New Roman" w:eastAsia="Times New Roman" w:hAnsi="Times New Roman"/>
          <w:sz w:val="14"/>
          <w:szCs w:val="14"/>
          <w:b w:val="1"/>
          <w:bCs w:val="1"/>
          <w:color w:val="auto"/>
        </w:rPr>
      </w:pPr>
    </w:p>
    <w:p>
      <w:pPr>
        <w:ind w:left="220" w:right="419" w:firstLine="1116"/>
        <w:spacing w:after="0" w:line="282" w:lineRule="auto"/>
        <w:tabs>
          <w:tab w:leader="none" w:pos="1539"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notes receivable of, or prepaid royalties and other credit extensions, to customers and suppliers who are not Affiliates, in the ordinary course of business; provided that this paragraph (k) shall not apply to Investments of Issuer in any Subsidiary;</w:t>
      </w:r>
    </w:p>
    <w:p>
      <w:pPr>
        <w:spacing w:after="0" w:line="41" w:lineRule="exact"/>
        <w:rPr>
          <w:rFonts w:ascii="Times New Roman" w:cs="Times New Roman" w:eastAsia="Times New Roman" w:hAnsi="Times New Roman"/>
          <w:sz w:val="14"/>
          <w:szCs w:val="14"/>
          <w:b w:val="1"/>
          <w:bCs w:val="1"/>
          <w:color w:val="auto"/>
        </w:rPr>
      </w:pPr>
    </w:p>
    <w:p>
      <w:pPr>
        <w:ind w:left="1500" w:hanging="164"/>
        <w:spacing w:after="0"/>
        <w:tabs>
          <w:tab w:leader="none" w:pos="150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consisting of Permitted Acquisitions; and</w:t>
      </w:r>
    </w:p>
    <w:p>
      <w:pPr>
        <w:spacing w:after="0" w:line="90" w:lineRule="exact"/>
        <w:rPr>
          <w:rFonts w:ascii="Times New Roman" w:cs="Times New Roman" w:eastAsia="Times New Roman" w:hAnsi="Times New Roman"/>
          <w:sz w:val="14"/>
          <w:szCs w:val="14"/>
          <w:b w:val="1"/>
          <w:bCs w:val="1"/>
          <w:color w:val="auto"/>
        </w:rPr>
      </w:pPr>
    </w:p>
    <w:p>
      <w:pPr>
        <w:ind w:left="220" w:right="379" w:firstLine="1116"/>
        <w:spacing w:after="0" w:line="261" w:lineRule="auto"/>
        <w:tabs>
          <w:tab w:leader="none" w:pos="1578"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joint ventures or strategic alliances in the ordinary course of Issuer’s business consisting of the non-exclusive licensing of technology, the development of technology or the providing of technical support, provided that any value of investments by Issuer and its Subsidiaries do not exceed (X) prior to the Milestone, $2,000,000 in the aggregate in any fiscal year subject to a total of $5,000,000, and (Y) from and after the Milestone, $5,000,000 in the aggregate in any fiscal year subject to a total of $10,000,000.</w:t>
      </w:r>
    </w:p>
    <w:p>
      <w:pPr>
        <w:spacing w:after="0" w:line="139" w:lineRule="exact"/>
        <w:rPr>
          <w:sz w:val="20"/>
          <w:szCs w:val="20"/>
          <w:color w:val="auto"/>
        </w:rPr>
      </w:pPr>
    </w:p>
    <w:p>
      <w:pPr>
        <w:ind w:left="220" w:right="319" w:firstLine="342"/>
        <w:spacing w:after="0" w:line="258" w:lineRule="auto"/>
        <w:rPr>
          <w:sz w:val="20"/>
          <w:szCs w:val="20"/>
          <w:color w:val="auto"/>
        </w:rPr>
      </w:pPr>
      <w:r>
        <w:rPr>
          <w:rFonts w:ascii="Times New Roman" w:cs="Times New Roman" w:eastAsia="Times New Roman" w:hAnsi="Times New Roman"/>
          <w:sz w:val="14"/>
          <w:szCs w:val="14"/>
          <w:color w:val="auto"/>
        </w:rPr>
        <w:t>“Permitted Licenses” are (A) licenses of over-the-counter software that is commercially available to the public, and (B) non-exclusive and exclusive licenses for the use of the Intellectual Property of Issuer or any of its Subsidiaries entered into in the ordinary course of business, provided, that, with respect to each such license described in clause (B), (i) no Event of Default has occurred and is continuing at the time of such license; (ii) the license constitutes an arms-length transaction, the terms of which, on their face, do not provide for a sale or assignment of any Intellectual Property and do not restrict the ability of Issuer or any of its Subsidiaries, as applicable, to pledge,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541" w:name="page542"/>
    <w:bookmarkEnd w:id="541"/>
    <w:p>
      <w:pPr>
        <w:ind w:left="22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grant a security interest in or lien on, or assign or otherwise Transfer any Intellectual Property; (iii) such license is not a Restricted License; and (iv) in the case of any exclusive license, (x) Issuer delivers ten (10) days’ prior written notice and a brief summary of the terms of the proposed license to Purchaser Agent and delivers to Purchaser Agent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(v) all upfront payments, royalties, milestone payments or other proceeds arising from the licensing agreement that are payable to Issuer or any of its Subsidiaries are paid to a deposit account that is governed by a Control Agreement.</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“Permitted Liens” means the following:</w:t>
      </w:r>
    </w:p>
    <w:p>
      <w:pPr>
        <w:spacing w:after="0" w:line="91" w:lineRule="exact"/>
        <w:rPr>
          <w:sz w:val="20"/>
          <w:szCs w:val="20"/>
          <w:color w:val="auto"/>
        </w:rPr>
      </w:pPr>
    </w:p>
    <w:p>
      <w:pPr>
        <w:ind w:left="220" w:right="279" w:firstLine="1116"/>
        <w:spacing w:after="0" w:line="282" w:lineRule="auto"/>
        <w:tabs>
          <w:tab w:leader="none" w:pos="1531"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Liens existing on the Effective Date and disclosed in the Perfection Certificate delivered on or prior to the Effective Date or arising under this Agreement or the other Note Documents;</w:t>
      </w:r>
    </w:p>
    <w:p>
      <w:pPr>
        <w:spacing w:after="0" w:line="41" w:lineRule="exact"/>
        <w:rPr>
          <w:rFonts w:ascii="Times New Roman" w:cs="Times New Roman" w:eastAsia="Times New Roman" w:hAnsi="Times New Roman"/>
          <w:sz w:val="14"/>
          <w:szCs w:val="14"/>
          <w:b w:val="1"/>
          <w:bCs w:val="1"/>
          <w:color w:val="auto"/>
        </w:rPr>
      </w:pPr>
    </w:p>
    <w:p>
      <w:pPr>
        <w:ind w:left="220" w:right="279" w:firstLine="1116"/>
        <w:spacing w:after="0" w:line="282" w:lineRule="auto"/>
        <w:tabs>
          <w:tab w:leader="none" w:pos="1539"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for Taxes, fees, assessments or other governmental charges or levies, either not delinquent or being contested in good faith by appropriate proceedings, provided the same have no priority over any of the Secured Parties’ security interests;</w:t>
      </w:r>
    </w:p>
    <w:p>
      <w:pPr>
        <w:spacing w:after="0" w:line="41" w:lineRule="exact"/>
        <w:rPr>
          <w:rFonts w:ascii="Times New Roman" w:cs="Times New Roman" w:eastAsia="Times New Roman" w:hAnsi="Times New Roman"/>
          <w:sz w:val="14"/>
          <w:szCs w:val="14"/>
          <w:b w:val="1"/>
          <w:bCs w:val="1"/>
          <w:color w:val="auto"/>
        </w:rPr>
      </w:pPr>
    </w:p>
    <w:p>
      <w:pPr>
        <w:ind w:left="220" w:right="319" w:firstLine="1116"/>
        <w:spacing w:after="0" w:line="296" w:lineRule="auto"/>
        <w:tabs>
          <w:tab w:leader="none" w:pos="1523" w:val="left"/>
        </w:tabs>
        <w:numPr>
          <w:ilvl w:val="0"/>
          <w:numId w:val="3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Liens (i) upon or in any equipment acquired or held by Issuer or any of its Subsidiaries to secure the purchase price of such equipment or indebtedness incurred solely for the purpose of financing the acquisition of such equipment, or (ii) existing on such equipment at the time of its acquisition, provided that the Lien is confined solely to the property so acquired and improvements thereon, and the proceeds of such equipment;</w:t>
      </w:r>
    </w:p>
    <w:p>
      <w:pPr>
        <w:spacing w:after="0" w:line="34" w:lineRule="exact"/>
        <w:rPr>
          <w:rFonts w:ascii="Times New Roman" w:cs="Times New Roman" w:eastAsia="Times New Roman" w:hAnsi="Times New Roman"/>
          <w:sz w:val="13"/>
          <w:szCs w:val="13"/>
          <w:b w:val="1"/>
          <w:bCs w:val="1"/>
          <w:color w:val="auto"/>
        </w:rPr>
      </w:pPr>
    </w:p>
    <w:p>
      <w:pPr>
        <w:ind w:left="220" w:right="479" w:firstLine="1116"/>
        <w:spacing w:after="0" w:line="261" w:lineRule="auto"/>
        <w:tabs>
          <w:tab w:leader="none" w:pos="1539"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of carriers, warehousemen, suppliers, or other Persons that are possessory in nature arising in the ordinary course of business so long as such Liens attach only to Inventory, securing liabilities in the aggregate amount not to exceed $2,000,000,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55" w:lineRule="exact"/>
        <w:rPr>
          <w:rFonts w:ascii="Times New Roman" w:cs="Times New Roman" w:eastAsia="Times New Roman" w:hAnsi="Times New Roman"/>
          <w:sz w:val="14"/>
          <w:szCs w:val="14"/>
          <w:b w:val="1"/>
          <w:bCs w:val="1"/>
          <w:color w:val="auto"/>
        </w:rPr>
      </w:pPr>
    </w:p>
    <w:p>
      <w:pPr>
        <w:ind w:left="220" w:right="599" w:firstLine="1116"/>
        <w:spacing w:after="0" w:line="282" w:lineRule="auto"/>
        <w:tabs>
          <w:tab w:leader="none" w:pos="1523"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to secure payment of workers’ compensation, employment insurance, old-age pensions, social security and other like obligations incurred in the ordinary course of business (other than Liens imposed by ERISA);</w:t>
      </w:r>
    </w:p>
    <w:p>
      <w:pPr>
        <w:spacing w:after="0" w:line="41" w:lineRule="exact"/>
        <w:rPr>
          <w:rFonts w:ascii="Times New Roman" w:cs="Times New Roman" w:eastAsia="Times New Roman" w:hAnsi="Times New Roman"/>
          <w:sz w:val="14"/>
          <w:szCs w:val="14"/>
          <w:b w:val="1"/>
          <w:bCs w:val="1"/>
          <w:color w:val="auto"/>
        </w:rPr>
      </w:pPr>
    </w:p>
    <w:p>
      <w:pPr>
        <w:ind w:left="220" w:right="379" w:firstLine="1116"/>
        <w:spacing w:after="0" w:line="261" w:lineRule="auto"/>
        <w:tabs>
          <w:tab w:leader="none" w:pos="1508"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leases or subleases of real property granted in the ordinary course of Issuer’s business (or, if referring to another Person, in the ordinary course of such Person’s business), and leases, subleases, non-exclusive licenses or sublicenses of personal property (other than Intellectual Property) granted in the ordinary course of Issuer’s business (or, if referring to another Person, in the ordinary course of such Person’s business), if the leases, subleases, licenses and sublicenses do not prohibit granting the Secured Parties a security interest therein;</w:t>
      </w:r>
    </w:p>
    <w:p>
      <w:pPr>
        <w:spacing w:after="0" w:line="55"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arising from attachments or judgments, orders, or decrees in circumstances not constituting an Event of Default under</w:t>
      </w:r>
    </w:p>
    <w:p>
      <w:pPr>
        <w:spacing w:after="0" w:line="21" w:lineRule="exact"/>
        <w:rPr>
          <w:rFonts w:ascii="Times New Roman" w:cs="Times New Roman" w:eastAsia="Times New Roman" w:hAnsi="Times New Roman"/>
          <w:sz w:val="14"/>
          <w:szCs w:val="14"/>
          <w:b w:val="1"/>
          <w:bCs w:val="1"/>
          <w:color w:val="auto"/>
        </w:rPr>
      </w:pPr>
    </w:p>
    <w:p>
      <w:pPr>
        <w:ind w:left="2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Sections 8.4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8.7</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consisting of Permitted Licenses;</w:t>
      </w:r>
    </w:p>
    <w:p>
      <w:pPr>
        <w:spacing w:after="0" w:line="90" w:lineRule="exact"/>
        <w:rPr>
          <w:rFonts w:ascii="Times New Roman" w:cs="Times New Roman" w:eastAsia="Times New Roman" w:hAnsi="Times New Roman"/>
          <w:sz w:val="14"/>
          <w:szCs w:val="14"/>
          <w:b w:val="1"/>
          <w:bCs w:val="1"/>
          <w:color w:val="auto"/>
        </w:rPr>
      </w:pPr>
    </w:p>
    <w:p>
      <w:pPr>
        <w:ind w:left="220" w:right="359" w:firstLine="1116"/>
        <w:spacing w:after="0" w:line="266" w:lineRule="auto"/>
        <w:tabs>
          <w:tab w:leader="none" w:pos="1500"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in favor of financial institutions arising in connection with Issuer’s or its Subsidiaries’ deposit and/or securities accounts held at such institutions, provided that Issuer or such Subsidiary is permitted under the terms of this Agreement to maintain such accounts and Secured Parties have a perfected security interest in the amounts held by Obligors in such deposit and/or securities accounts;</w:t>
      </w:r>
    </w:p>
    <w:p>
      <w:pPr>
        <w:spacing w:after="0" w:line="52" w:lineRule="exact"/>
        <w:rPr>
          <w:rFonts w:ascii="Times New Roman" w:cs="Times New Roman" w:eastAsia="Times New Roman" w:hAnsi="Times New Roman"/>
          <w:sz w:val="14"/>
          <w:szCs w:val="14"/>
          <w:b w:val="1"/>
          <w:bCs w:val="1"/>
          <w:color w:val="auto"/>
        </w:rPr>
      </w:pPr>
    </w:p>
    <w:p>
      <w:pPr>
        <w:ind w:left="220" w:right="259" w:firstLine="1116"/>
        <w:spacing w:after="0" w:line="261" w:lineRule="auto"/>
        <w:tabs>
          <w:tab w:leader="none" w:pos="1508"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Liens on cash deposits securing Indebtedness permitted pursuant to clause (h) of the definition of “Permitted Indebtedness”; provided that the amount of such cash deposits in respect of any letter of credit does not exceed (X) 105% of the face amount thereof with respect to any obligations denominated in U.S. dollars and (Y) 110% of the face amount thereof with respect to any obligations denominated in another currency, and Liens on cash deposits securing Indebtedness permitted pursuant to clause (f) of the definition of “Permitted Indebtedness”; and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542" w:name="page543"/>
    <w:bookmarkEnd w:id="542"/>
    <w:p>
      <w:pPr>
        <w:ind w:left="220" w:right="339" w:firstLine="1116"/>
        <w:spacing w:after="0" w:line="266" w:lineRule="auto"/>
        <w:tabs>
          <w:tab w:leader="none" w:pos="1539" w:val="left"/>
        </w:tabs>
        <w:numPr>
          <w:ilvl w:val="0"/>
          <w:numId w:val="3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Liens incurred in connection with the extension, renewal or refinancing of the indebtedness secured by Liens of the type described in clauses (a) through (j) above, provided that any extension, renewal or replacement Lien shall be limited to the property encumbered by the existing Lien and the principal amount of the indebtedness being extended, renewed or refinanced does not increase.</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“Permitted Purpose” is defined in </w:t>
      </w:r>
      <w:r>
        <w:rPr>
          <w:rFonts w:ascii="Times New Roman" w:cs="Times New Roman" w:eastAsia="Times New Roman" w:hAnsi="Times New Roman"/>
          <w:sz w:val="14"/>
          <w:szCs w:val="14"/>
          <w:u w:val="single" w:color="auto"/>
          <w:color w:val="auto"/>
        </w:rPr>
        <w:t>Section 13.9(a)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39" w:firstLine="342"/>
        <w:spacing w:after="0" w:line="282" w:lineRule="auto"/>
        <w:rPr>
          <w:sz w:val="20"/>
          <w:szCs w:val="20"/>
          <w:color w:val="auto"/>
        </w:rPr>
      </w:pPr>
      <w:r>
        <w:rPr>
          <w:rFonts w:ascii="Times New Roman" w:cs="Times New Roman" w:eastAsia="Times New Roman" w:hAnsi="Times New Roman"/>
          <w:sz w:val="14"/>
          <w:szCs w:val="14"/>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“Personal Information” is defined in </w:t>
      </w:r>
      <w:r>
        <w:rPr>
          <w:rFonts w:ascii="Times New Roman" w:cs="Times New Roman" w:eastAsia="Times New Roman" w:hAnsi="Times New Roman"/>
          <w:sz w:val="14"/>
          <w:szCs w:val="14"/>
          <w:u w:val="single" w:color="auto"/>
          <w:color w:val="auto"/>
        </w:rPr>
        <w:t>Section 5.11(a)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“Press Release” means a press release mutually agreed upon by the Obligors and Purchaser Agent in respect of the transactions contemplated by the Note Documents.</w:t>
      </w:r>
    </w:p>
    <w:p>
      <w:pPr>
        <w:spacing w:after="0" w:line="125" w:lineRule="exact"/>
        <w:rPr>
          <w:sz w:val="20"/>
          <w:szCs w:val="20"/>
          <w:color w:val="auto"/>
        </w:rPr>
      </w:pPr>
    </w:p>
    <w:p>
      <w:pPr>
        <w:ind w:left="220" w:right="419" w:firstLine="342"/>
        <w:spacing w:after="0" w:line="261" w:lineRule="auto"/>
        <w:rPr>
          <w:sz w:val="20"/>
          <w:szCs w:val="20"/>
          <w:color w:val="auto"/>
        </w:rPr>
      </w:pPr>
      <w:r>
        <w:rPr>
          <w:rFonts w:ascii="Times New Roman" w:cs="Times New Roman" w:eastAsia="Times New Roman" w:hAnsi="Times New Roman"/>
          <w:sz w:val="14"/>
          <w:szCs w:val="14"/>
          <w:color w:val="auto"/>
        </w:rPr>
        <w:t>“Pro Rata Share” means, as of any date of determination, with respect to each Purchaser, a percentage (expressed as a decimal, rounded to the ninth decimal place) determined by dividing the outstanding principal amount of Notes held by such Purchaser by the aggregate outstanding principal amount of all Notes; provided that after repayment of the Notes, each Purchaser’s Pro Rata Share shall be calculated based on the outstanding Notes immediately prior to the repayment hereof.</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“Process Agent” is defined in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“Product Regulatory Laws” is defined in </w:t>
      </w:r>
      <w:r>
        <w:rPr>
          <w:rFonts w:ascii="Times New Roman" w:cs="Times New Roman" w:eastAsia="Times New Roman" w:hAnsi="Times New Roman"/>
          <w:sz w:val="14"/>
          <w:szCs w:val="14"/>
          <w:u w:val="single" w:color="auto"/>
          <w:color w:val="auto"/>
        </w:rPr>
        <w:t>Section 5.10(b)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“Purchase” is defined in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“Purchase Date” means any date on which a purchase of Notes is made by the Purchasers, which date shall be a Business Day.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“Purchase Notice” is that certain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“Purchase Percentage” means, for any Purchaser, the percentage set forth on Schedule 1.1 opposite such Purchaser’s name.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“Purchaser” means any one of the Purchasers.</w:t>
      </w:r>
    </w:p>
    <w:p>
      <w:pPr>
        <w:spacing w:after="0" w:line="175"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 xml:space="preserve">“Purchaser Agent” means BWCB SA LLC (or any successor thereto pursuant to </w:t>
      </w:r>
      <w:r>
        <w:rPr>
          <w:rFonts w:ascii="Times New Roman" w:cs="Times New Roman" w:eastAsia="Times New Roman" w:hAnsi="Times New Roman"/>
          <w:sz w:val="14"/>
          <w:szCs w:val="14"/>
          <w:u w:val="single" w:color="auto"/>
          <w:color w:val="auto"/>
        </w:rPr>
        <w:t>Section 13.14(h))</w:t>
      </w:r>
      <w:r>
        <w:rPr>
          <w:rFonts w:ascii="Times New Roman" w:cs="Times New Roman" w:eastAsia="Times New Roman" w:hAnsi="Times New Roman"/>
          <w:sz w:val="14"/>
          <w:szCs w:val="14"/>
          <w:color w:val="auto"/>
        </w:rPr>
        <w:t>, not in its individual capacity, but solely in its capacity as agent on behalf of and for the benefit of the Purchasers.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“Purchaser Transfer” is defined in </w:t>
      </w:r>
      <w:r>
        <w:rPr>
          <w:rFonts w:ascii="Times New Roman" w:cs="Times New Roman" w:eastAsia="Times New Roman" w:hAnsi="Times New Roman"/>
          <w:sz w:val="14"/>
          <w:szCs w:val="14"/>
          <w:u w:val="single" w:color="auto"/>
          <w:color w:val="auto"/>
        </w:rPr>
        <w:t>Section 13.1(a)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519" w:firstLine="342"/>
        <w:spacing w:after="0" w:line="282" w:lineRule="auto"/>
        <w:rPr>
          <w:sz w:val="20"/>
          <w:szCs w:val="20"/>
          <w:color w:val="auto"/>
        </w:rPr>
      </w:pPr>
      <w:r>
        <w:rPr>
          <w:rFonts w:ascii="Times New Roman" w:cs="Times New Roman" w:eastAsia="Times New Roman" w:hAnsi="Times New Roman"/>
          <w:sz w:val="14"/>
          <w:szCs w:val="14"/>
          <w:color w:val="auto"/>
        </w:rPr>
        <w:t xml:space="preserve">“Purchasers” means the Persons identified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hereto and each assignee that becomes a party to this Agreement or that acquires a Note pursuant to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“Qualified Public Offering” is defined in Issuer’s Restated Certificate of Incorporation as in effect on the date hereof.</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“Receiving Party” is defined in </w:t>
      </w:r>
      <w:r>
        <w:rPr>
          <w:rFonts w:ascii="Times New Roman" w:cs="Times New Roman" w:eastAsia="Times New Roman" w:hAnsi="Times New Roman"/>
          <w:sz w:val="14"/>
          <w:szCs w:val="14"/>
          <w:u w:val="single" w:color="auto"/>
          <w:color w:val="auto"/>
        </w:rPr>
        <w:t>Section 13.9(a)</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543" w:name="page544"/>
    <w:bookmarkEnd w:id="543"/>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“Register” is defined in </w:t>
      </w:r>
      <w:r>
        <w:rPr>
          <w:rFonts w:ascii="Times New Roman" w:cs="Times New Roman" w:eastAsia="Times New Roman" w:hAnsi="Times New Roman"/>
          <w:sz w:val="14"/>
          <w:szCs w:val="14"/>
          <w:u w:val="single" w:color="auto"/>
          <w:color w:val="auto"/>
        </w:rPr>
        <w:t>Section 13.1(b)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color w:val="auto"/>
        </w:rPr>
        <w:t>“Registration” means any registration, authorization, approval, license, permit, clearance, certificate, and exemption issued, received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45" w:lineRule="exact"/>
        <w:rPr>
          <w:sz w:val="20"/>
          <w:szCs w:val="20"/>
          <w:color w:val="auto"/>
        </w:rPr>
      </w:pPr>
    </w:p>
    <w:p>
      <w:pPr>
        <w:ind w:left="220" w:right="339" w:firstLine="342"/>
        <w:spacing w:after="0" w:line="266" w:lineRule="auto"/>
        <w:rPr>
          <w:sz w:val="20"/>
          <w:szCs w:val="20"/>
          <w:color w:val="auto"/>
        </w:rPr>
      </w:pPr>
      <w:r>
        <w:rPr>
          <w:rFonts w:ascii="Times New Roman" w:cs="Times New Roman" w:eastAsia="Times New Roman" w:hAnsi="Times New Roman"/>
          <w:sz w:val="14"/>
          <w:szCs w:val="14"/>
          <w:color w:val="auto"/>
        </w:rPr>
        <w:t>“Regulatory Action”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36" w:lineRule="exact"/>
        <w:rPr>
          <w:sz w:val="20"/>
          <w:szCs w:val="20"/>
          <w:color w:val="auto"/>
        </w:rPr>
      </w:pPr>
    </w:p>
    <w:p>
      <w:pPr>
        <w:ind w:left="220" w:right="379" w:firstLine="342"/>
        <w:spacing w:after="0" w:line="256" w:lineRule="auto"/>
        <w:rPr>
          <w:sz w:val="20"/>
          <w:szCs w:val="20"/>
          <w:color w:val="auto"/>
        </w:rPr>
      </w:pPr>
      <w:r>
        <w:rPr>
          <w:rFonts w:ascii="Times New Roman" w:cs="Times New Roman" w:eastAsia="Times New Roman" w:hAnsi="Times New Roman"/>
          <w:sz w:val="14"/>
          <w:szCs w:val="14"/>
          <w:color w:val="auto"/>
        </w:rPr>
        <w:t xml:space="preserve">“Reimbursable Expenses” means all: reasonable and documented costs or out-of-pocket expenses (including reasonable and documented attorneys’ fees and out-of-pocket expenses) incurred in connection with the preparation, negotiation, administration, and enforcement of the Note Documents; reasonable and documented Collateral audit fees; and the Secured Parties’ reasonable and documented attorneys’ fees and out-of-pocket expenses incurred in amending, enforcing or defending the Note Documents (including fees and expenses of appeal), incurred before, during and after an Insolvency Proceeding, whether or not suit is brought or any other Event of Default;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Reimbursable Expenses incurred prior to the Closing Date shall not exceed $225,000.00.</w:t>
      </w:r>
    </w:p>
    <w:p>
      <w:pPr>
        <w:spacing w:after="0" w:line="145" w:lineRule="exact"/>
        <w:rPr>
          <w:sz w:val="20"/>
          <w:szCs w:val="20"/>
          <w:color w:val="auto"/>
        </w:rPr>
      </w:pPr>
    </w:p>
    <w:p>
      <w:pPr>
        <w:ind w:left="220" w:right="519" w:firstLine="342"/>
        <w:spacing w:after="0" w:line="282" w:lineRule="auto"/>
        <w:rPr>
          <w:sz w:val="20"/>
          <w:szCs w:val="20"/>
          <w:color w:val="auto"/>
        </w:rPr>
      </w:pPr>
      <w:r>
        <w:rPr>
          <w:rFonts w:ascii="Times New Roman" w:cs="Times New Roman" w:eastAsia="Times New Roman" w:hAnsi="Times New Roman"/>
          <w:sz w:val="14"/>
          <w:szCs w:val="14"/>
          <w:color w:val="auto"/>
        </w:rPr>
        <w:t>“Repayment Amount” means, with respect to any payment in full of all Obligations under this Agreement, as of any date of the determination thereof:</w:t>
      </w:r>
    </w:p>
    <w:p>
      <w:pPr>
        <w:spacing w:after="0" w:line="41" w:lineRule="exact"/>
        <w:rPr>
          <w:sz w:val="20"/>
          <w:szCs w:val="20"/>
          <w:color w:val="auto"/>
        </w:rPr>
      </w:pPr>
    </w:p>
    <w:p>
      <w:pPr>
        <w:ind w:left="220" w:right="399" w:firstLine="1116"/>
        <w:spacing w:after="0" w:line="282" w:lineRule="auto"/>
        <w:tabs>
          <w:tab w:leader="none" w:pos="1531"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from and after the First Purchase Date and on or prior to the second anniversary of the First Purchase Date, an amount equal to 130% of the principal amount of the Notes issued pursuant to this Agreement;</w:t>
      </w:r>
    </w:p>
    <w:p>
      <w:pPr>
        <w:spacing w:after="0" w:line="41" w:lineRule="exact"/>
        <w:rPr>
          <w:rFonts w:ascii="Times New Roman" w:cs="Times New Roman" w:eastAsia="Times New Roman" w:hAnsi="Times New Roman"/>
          <w:sz w:val="14"/>
          <w:szCs w:val="14"/>
          <w:b w:val="1"/>
          <w:bCs w:val="1"/>
          <w:color w:val="auto"/>
        </w:rPr>
      </w:pPr>
    </w:p>
    <w:p>
      <w:pPr>
        <w:ind w:left="220" w:right="519" w:firstLine="1116"/>
        <w:spacing w:after="0" w:line="282" w:lineRule="auto"/>
        <w:tabs>
          <w:tab w:leader="none" w:pos="1539"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after the second anniversary of the First Purchase Date and on or prior to the third anniversary of the First Purchase Date, an amount equal to 145% of the principal amount of the Notes issued pursuant to this Agreement;</w:t>
      </w:r>
    </w:p>
    <w:p>
      <w:pPr>
        <w:spacing w:after="0" w:line="41" w:lineRule="exact"/>
        <w:rPr>
          <w:rFonts w:ascii="Times New Roman" w:cs="Times New Roman" w:eastAsia="Times New Roman" w:hAnsi="Times New Roman"/>
          <w:sz w:val="14"/>
          <w:szCs w:val="14"/>
          <w:b w:val="1"/>
          <w:bCs w:val="1"/>
          <w:color w:val="auto"/>
        </w:rPr>
      </w:pPr>
    </w:p>
    <w:p>
      <w:pPr>
        <w:ind w:left="220" w:right="439" w:firstLine="1116"/>
        <w:spacing w:after="0" w:line="258" w:lineRule="auto"/>
        <w:tabs>
          <w:tab w:leader="none" w:pos="1523"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after the third anniversary of the First Purchase Date and on or prior to the fourth anniversary of the First Purchase Date, the amount (greater than zero) that would generate an internal rate of return (calculated utilizing the same methodology utilized by the XIRR function in Microsoft Excel) to the Purchasers equal to 12.25% on the aggregate purchase price paid for the Notes, calculated from the First Purchase Date to the date of repayment (for the avoidance of doubt, the calculation of such amount shall be made for the period beginning on the First Purchase Date and ending on the repayment date regardless of the actual Purchase Date of the Notes);</w:t>
      </w:r>
    </w:p>
    <w:p>
      <w:pPr>
        <w:spacing w:after="0" w:line="58" w:lineRule="exact"/>
        <w:rPr>
          <w:rFonts w:ascii="Times New Roman" w:cs="Times New Roman" w:eastAsia="Times New Roman" w:hAnsi="Times New Roman"/>
          <w:sz w:val="14"/>
          <w:szCs w:val="14"/>
          <w:b w:val="1"/>
          <w:bCs w:val="1"/>
          <w:color w:val="auto"/>
        </w:rPr>
      </w:pPr>
    </w:p>
    <w:p>
      <w:pPr>
        <w:ind w:left="220" w:right="439" w:firstLine="1116"/>
        <w:spacing w:after="0" w:line="258" w:lineRule="auto"/>
        <w:tabs>
          <w:tab w:leader="none" w:pos="1539"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after the fourth anniversary of the First Purchase Date and on or prior to the fifth anniversary of the First Purchase Date, the amount (greater than zero) that would generate an internal rate of return (calculated utilizing the same methodology utilized by the XIRR function in Microsoft Excel) to the Purchasers equal to 11.75% on the aggregate purchase price paid for the Notes, calculated from the First Purchase Date to the date of repayment (for the avoidance of doubt, the calculation of such amount shall be made for the period beginning on the First Purchase Date and ending on the repayment date regardless of the actual Purchase Date of the Notes);</w:t>
      </w:r>
    </w:p>
    <w:p>
      <w:pPr>
        <w:spacing w:after="0" w:line="58" w:lineRule="exact"/>
        <w:rPr>
          <w:rFonts w:ascii="Times New Roman" w:cs="Times New Roman" w:eastAsia="Times New Roman" w:hAnsi="Times New Roman"/>
          <w:sz w:val="14"/>
          <w:szCs w:val="14"/>
          <w:b w:val="1"/>
          <w:bCs w:val="1"/>
          <w:color w:val="auto"/>
        </w:rPr>
      </w:pPr>
    </w:p>
    <w:p>
      <w:pPr>
        <w:ind w:left="220" w:right="299" w:firstLine="1116"/>
        <w:spacing w:after="0" w:line="258" w:lineRule="auto"/>
        <w:tabs>
          <w:tab w:leader="none" w:pos="1523"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after the fifth anniversary of the First Purchase Date and prior to the Maturity Date, the amount (greater than zero) that would generate an internal rate of return (calculated utilizing the same methodology utilized by the XIRR function in Microsoft Excel) to the Purchasers equal to 11.25% on the aggregate purchase price paid for the Notes, calculated from the First Purchase Date to the date of repayment (for the avoidance of doubt, the calculation of such amount shall be made for the period beginning on the First Purchase Date and ending on the repayment date regardless of the actual Purchase Date of the Notes);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544" w:name="page545"/>
    <w:bookmarkEnd w:id="544"/>
    <w:p>
      <w:pPr>
        <w:ind w:left="220" w:right="239" w:firstLine="1116"/>
        <w:spacing w:after="0" w:line="261" w:lineRule="auto"/>
        <w:tabs>
          <w:tab w:leader="none" w:pos="1508" w:val="left"/>
        </w:tabs>
        <w:numPr>
          <w:ilvl w:val="0"/>
          <w:numId w:val="3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on the Maturity Date, the amount (greater than zero) that would generate an internal rate of return (calculated utilizing the same methodology utilized by the XIRR function in Microsoft Excel) to the Purchasers equal to 10% on the aggregate purchase price paid for the Notes, calculated from the First Purchase Date to the date of repayment (for the avoidance of doubt, the calculation of such amount shall be made for the period beginning on the First Purchase Date and ending on the repayment date regardless of the actual Purchase Date of the Notes);</w:t>
      </w:r>
    </w:p>
    <w:p>
      <w:pPr>
        <w:spacing w:after="0" w:line="137" w:lineRule="exact"/>
        <w:rPr>
          <w:sz w:val="20"/>
          <w:szCs w:val="20"/>
          <w:color w:val="auto"/>
        </w:rPr>
      </w:pPr>
    </w:p>
    <w:p>
      <w:pPr>
        <w:ind w:left="220" w:right="259" w:firstLine="342"/>
        <w:spacing w:after="0" w:line="259" w:lineRule="auto"/>
        <w:rPr>
          <w:sz w:val="20"/>
          <w:szCs w:val="20"/>
          <w:color w:val="auto"/>
        </w:rPr>
      </w:pP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in each case, the sum, without duplication, of (i) all regularly scheduled interest paid in cash to the Purchasers prior to such date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respect to the Notes (excluding for the avoidance of doubt, any default interest),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all payments of principal in cash to the Purchasers prior to such date with respect to the Notes,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(iii) all Revenue Participation Payments paid in cash to the Purchasers prior to such date; provided that the Repayment Amount shall not be less than zero or, if any Notes remain outstanding immediately prior to the payment of the Repayment Amount, the outstanding principal amount of the Notes being repurchased.</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“Representatives” is defined in </w:t>
      </w:r>
      <w:r>
        <w:rPr>
          <w:rFonts w:ascii="Times New Roman" w:cs="Times New Roman" w:eastAsia="Times New Roman" w:hAnsi="Times New Roman"/>
          <w:sz w:val="14"/>
          <w:szCs w:val="14"/>
          <w:u w:val="single" w:color="auto"/>
          <w:color w:val="auto"/>
        </w:rPr>
        <w:t>Section 13.9(b)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59" w:firstLine="342"/>
        <w:spacing w:after="0" w:line="322" w:lineRule="auto"/>
        <w:rPr>
          <w:sz w:val="20"/>
          <w:szCs w:val="20"/>
          <w:color w:val="auto"/>
        </w:rPr>
      </w:pPr>
      <w:r>
        <w:rPr>
          <w:rFonts w:ascii="Times New Roman" w:cs="Times New Roman" w:eastAsia="Times New Roman" w:hAnsi="Times New Roman"/>
          <w:sz w:val="13"/>
          <w:szCs w:val="13"/>
          <w:color w:val="auto"/>
        </w:rPr>
        <w:t>“Required Purchasers” means, at any time, (i) prior to the expiration of the Commitments, the Purchasers holding at least 50% of the aggregate principal amount of Notes and unused or unexpired Commitments, and (ii) thereafter, the Purchasers holding at least 50% of the Pro Rata Shares.</w:t>
      </w:r>
    </w:p>
    <w:p>
      <w:pPr>
        <w:spacing w:after="0" w:line="103" w:lineRule="exact"/>
        <w:rPr>
          <w:sz w:val="20"/>
          <w:szCs w:val="20"/>
          <w:color w:val="auto"/>
        </w:rPr>
      </w:pPr>
    </w:p>
    <w:p>
      <w:pPr>
        <w:ind w:left="220" w:right="459" w:firstLine="342"/>
        <w:spacing w:after="0" w:line="282" w:lineRule="auto"/>
        <w:rPr>
          <w:sz w:val="20"/>
          <w:szCs w:val="20"/>
          <w:color w:val="auto"/>
        </w:rPr>
      </w:pPr>
      <w:r>
        <w:rPr>
          <w:rFonts w:ascii="Times New Roman" w:cs="Times New Roman" w:eastAsia="Times New Roman" w:hAnsi="Times New Roman"/>
          <w:sz w:val="14"/>
          <w:szCs w:val="14"/>
          <w:color w:val="auto"/>
        </w:rPr>
        <w:t>“Responsible Officer” means, with respect to any Person, each of the Chief Executive Officer, the Chief Operating Officer, the Chief Financial Officer, the General Counsel and the Controller of such Person.</w:t>
      </w:r>
    </w:p>
    <w:p>
      <w:pPr>
        <w:spacing w:after="0" w:line="125" w:lineRule="exact"/>
        <w:rPr>
          <w:sz w:val="20"/>
          <w:szCs w:val="20"/>
          <w:color w:val="auto"/>
        </w:rPr>
      </w:pPr>
    </w:p>
    <w:p>
      <w:pPr>
        <w:ind w:left="220" w:right="299" w:firstLine="342"/>
        <w:spacing w:after="0" w:line="253" w:lineRule="auto"/>
        <w:rPr>
          <w:sz w:val="20"/>
          <w:szCs w:val="20"/>
          <w:color w:val="auto"/>
        </w:rPr>
      </w:pPr>
      <w:r>
        <w:rPr>
          <w:rFonts w:ascii="Times New Roman" w:cs="Times New Roman" w:eastAsia="Times New Roman" w:hAnsi="Times New Roman"/>
          <w:sz w:val="14"/>
          <w:szCs w:val="14"/>
          <w:color w:val="auto"/>
        </w:rPr>
        <w:t>“Restricted License” means any Material Contract (i) under which a default or of which a termination could interfere with Purchaser Agent’s or any Purchaser’s right to sell any Collateral, (ii) that cannot be collaterally assigned to secure the Obligations or otherwise contains provisions that restrict or penalize the granting of a security interest in or Lien on such Material Contract or if entered into after the Effective Date by Issuer or any other Obligor, does not recognize the collateral assignment thereof to secure the Obligations, (iii) that contains provisions that restrict or penalize the granting of a security interest in or Lien on, or the assignment or other Transfer of, any Intellectual Property, (iv) that restricts the assignment of such Material Contract upon the sale or other disposition of all or substantially all of the assets to which such Material Contract relates (other than customary provisions requiring the assumption by the applicable purchaser of all obligations under such Material Contract), (v) that provides for or results in the legal transfer of any title in or to any Intellectual Property, or (vi) that does not permit the disclosure of information to be provided thereunder to Purchaser Agent and the Purchasers, to any purchaser or prospective purchaser in a foreclosure or other Transfer of all or any portion of the Collateral (subject to customary confidentiality obligations).</w:t>
      </w:r>
    </w:p>
    <w:p>
      <w:pPr>
        <w:spacing w:after="0" w:line="150" w:lineRule="exact"/>
        <w:rPr>
          <w:sz w:val="20"/>
          <w:szCs w:val="20"/>
          <w:color w:val="auto"/>
        </w:rPr>
      </w:pPr>
    </w:p>
    <w:p>
      <w:pPr>
        <w:ind w:left="220" w:right="719" w:firstLine="342"/>
        <w:spacing w:after="0" w:line="282" w:lineRule="auto"/>
        <w:rPr>
          <w:sz w:val="20"/>
          <w:szCs w:val="20"/>
          <w:color w:val="auto"/>
        </w:rPr>
      </w:pPr>
      <w:r>
        <w:rPr>
          <w:rFonts w:ascii="Times New Roman" w:cs="Times New Roman" w:eastAsia="Times New Roman" w:hAnsi="Times New Roman"/>
          <w:sz w:val="14"/>
          <w:szCs w:val="14"/>
          <w:color w:val="auto"/>
        </w:rPr>
        <w:t>“Revenue Participation Payments” means, for any fiscal quarter, 0.01% of Net Revenue for such fiscal quarter (up to $100,000,000 of Net Revenue for each fiscal year) per each $1,000,000 principal amount of Notes issued pursuant to this Agreement.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“Revenue Participation Period” means the period beginning on the First Purchase Date and ending on the Maturity Date.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“Revenue Report” is defined in </w:t>
      </w:r>
      <w:r>
        <w:rPr>
          <w:rFonts w:ascii="Times New Roman" w:cs="Times New Roman" w:eastAsia="Times New Roman" w:hAnsi="Times New Roman"/>
          <w:sz w:val="14"/>
          <w:szCs w:val="14"/>
          <w:u w:val="single" w:color="auto"/>
          <w:color w:val="auto"/>
        </w:rPr>
        <w:t>Section 6.3(o)</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59" w:firstLine="342"/>
        <w:spacing w:after="0" w:line="266" w:lineRule="auto"/>
        <w:rPr>
          <w:sz w:val="20"/>
          <w:szCs w:val="20"/>
          <w:color w:val="auto"/>
        </w:rPr>
      </w:pPr>
      <w:r>
        <w:rPr>
          <w:rFonts w:ascii="Times New Roman" w:cs="Times New Roman" w:eastAsia="Times New Roman" w:hAnsi="Times New Roman"/>
          <w:sz w:val="14"/>
          <w:szCs w:val="14"/>
          <w:color w:val="auto"/>
        </w:rPr>
        <w:t>“Sanctioned Country” means, at any time, a country, region or territory which is itself the subject or target of any comprehensive territorial Sanctions (including, but not limited to, Cuba, Iran, North Korea, Syria, and the Crimea, Donetsk People’s Republic, and Luhansk People’s Republic regions in Ukraine).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545" w:name="page546"/>
    <w:bookmarkEnd w:id="545"/>
    <w:p>
      <w:pPr>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“Sanctioned Person” means, at any time, (i) any Person listed in any Sanctions-related list of designated Persons maintained by any Sanctions Authority (including, without limitation, any “Specially Designated Nationals and Blocked Persons” as designated by OFAC), (ii) any Person operating, organized, located or resident in a Sanctioned Country or (iii) any Person 50% or more owned or otherwise controlled by any such Person or Persons described in the foregoing clauses (i) or (ii).</w:t>
      </w:r>
    </w:p>
    <w:p>
      <w:pPr>
        <w:spacing w:after="0" w:line="139" w:lineRule="exact"/>
        <w:rPr>
          <w:sz w:val="20"/>
          <w:szCs w:val="20"/>
          <w:color w:val="auto"/>
        </w:rPr>
      </w:pPr>
    </w:p>
    <w:p>
      <w:pPr>
        <w:ind w:left="220" w:right="319" w:firstLine="342"/>
        <w:spacing w:after="0" w:line="282" w:lineRule="auto"/>
        <w:rPr>
          <w:sz w:val="20"/>
          <w:szCs w:val="20"/>
          <w:color w:val="auto"/>
        </w:rPr>
      </w:pPr>
      <w:r>
        <w:rPr>
          <w:rFonts w:ascii="Times New Roman" w:cs="Times New Roman" w:eastAsia="Times New Roman" w:hAnsi="Times New Roman"/>
          <w:sz w:val="14"/>
          <w:szCs w:val="14"/>
          <w:color w:val="auto"/>
        </w:rPr>
        <w:t>“Sanctions” means all economic or financial sanctions or trade embargoes imposed, administered or enforced from time to time by any Sanctions Authority.</w:t>
      </w:r>
    </w:p>
    <w:p>
      <w:pPr>
        <w:spacing w:after="0" w:line="125" w:lineRule="exact"/>
        <w:rPr>
          <w:sz w:val="20"/>
          <w:szCs w:val="20"/>
          <w:color w:val="auto"/>
        </w:rPr>
      </w:pPr>
    </w:p>
    <w:p>
      <w:pPr>
        <w:ind w:left="220" w:right="319" w:firstLine="342"/>
        <w:spacing w:after="0" w:line="282" w:lineRule="auto"/>
        <w:rPr>
          <w:sz w:val="20"/>
          <w:szCs w:val="20"/>
          <w:color w:val="auto"/>
        </w:rPr>
      </w:pPr>
      <w:r>
        <w:rPr>
          <w:rFonts w:ascii="Times New Roman" w:cs="Times New Roman" w:eastAsia="Times New Roman" w:hAnsi="Times New Roman"/>
          <w:sz w:val="14"/>
          <w:szCs w:val="14"/>
          <w:color w:val="auto"/>
        </w:rPr>
        <w:t>“Sanctions Authority” means the U.S. government (including OFAC and the U.S. Department of State), the United Nations Security Council, His Majesty’s Treasury, the European Union, any European Union member state or any other applicable sanctions authority.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“Second Purchase” is defined in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“Second Purchase Date” means the Purchase Date in respect of the Second Purchase.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“Secured Parties” means Purchaser Agent and the Purchasers.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“Securities Act” means the Securities Act of 1933, as amended.</w:t>
      </w:r>
    </w:p>
    <w:p>
      <w:pPr>
        <w:spacing w:after="0" w:line="175"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“Shares” means 100% of the issued and outstanding capital stock, membership units or other securities owned or held of record by any Obligor in any Subsidiary of an Obligor.</w:t>
      </w:r>
    </w:p>
    <w:p>
      <w:pPr>
        <w:spacing w:after="0" w:line="125"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“Subordinated Debt” means any debt incurred by an Obligor that is subordinated to the Obligations on terms acceptable to Purchaser Agent (and identified as being such by such Obligor and Purchaser Agent).</w:t>
      </w:r>
    </w:p>
    <w:p>
      <w:pPr>
        <w:spacing w:after="0" w:line="125" w:lineRule="exact"/>
        <w:rPr>
          <w:sz w:val="20"/>
          <w:szCs w:val="20"/>
          <w:color w:val="auto"/>
        </w:rPr>
      </w:pPr>
    </w:p>
    <w:p>
      <w:pPr>
        <w:jc w:val="both"/>
        <w:ind w:left="220" w:right="419" w:firstLine="342"/>
        <w:spacing w:after="0" w:line="266" w:lineRule="auto"/>
        <w:rPr>
          <w:sz w:val="20"/>
          <w:szCs w:val="20"/>
          <w:color w:val="auto"/>
        </w:rPr>
      </w:pPr>
      <w:r>
        <w:rPr>
          <w:rFonts w:ascii="Times New Roman" w:cs="Times New Roman" w:eastAsia="Times New Roman" w:hAnsi="Times New Roman"/>
          <w:sz w:val="14"/>
          <w:szCs w:val="14"/>
          <w:color w:val="auto"/>
        </w:rPr>
        <w:t>“Subsidiary” means any corporation, company or partnership in which (i) any general partnership interest or (ii) more than 50% of the stock or other units of ownership which by the terms thereof has the ordinary voting power to elect the board of directors, managers or trustees of the entity, at the time as of which any determination is being made, is owned by Issuer, either directly or through an Affiliate.</w:t>
      </w:r>
    </w:p>
    <w:p>
      <w:pPr>
        <w:spacing w:after="0" w:line="136"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“Third Purchase” is defined in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“Third Purchase Date” means each Purchase Date in respect of a Third Purchase.</w:t>
      </w:r>
    </w:p>
    <w:p>
      <w:pPr>
        <w:spacing w:after="0" w:line="175"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“Trademarks” means any trademark and servicemark rights, whether registered or not, applications to register and registrations of the same and like protections, and the entire goodwill of the business of Issuer connected with and symbolized by such trademarks.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“Transfer” is defined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“Withholding Taxes” is defined in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20" w:right="27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1.2 Divisions</w:t>
      </w:r>
      <w:r>
        <w:rPr>
          <w:rFonts w:ascii="Times New Roman" w:cs="Times New Roman" w:eastAsia="Times New Roman" w:hAnsi="Times New Roman"/>
          <w:sz w:val="14"/>
          <w:szCs w:val="14"/>
          <w:color w:val="auto"/>
        </w:rPr>
        <w:t>. For all purposes under the Note Documents, in connection with any division or plan of division under Delaware law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46" w:name="page547"/>
    <w:bookmarkEnd w:id="546"/>
    <w:p>
      <w:pPr>
        <w:ind w:left="220" w:right="4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 Accounting Terms</w:t>
      </w:r>
      <w:r>
        <w:rPr>
          <w:rFonts w:ascii="Times New Roman" w:cs="Times New Roman" w:eastAsia="Times New Roman" w:hAnsi="Times New Roman"/>
          <w:sz w:val="14"/>
          <w:szCs w:val="14"/>
          <w:color w:val="auto"/>
        </w:rPr>
        <w:t>. All accounting terms not specifically defined herein shall be construed in accordance with GAAP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calculations made hereunder shall be made in accordance with GAAP. When used herein, the terms “financial statements” shall include the notes and schedules thereto.</w:t>
      </w:r>
    </w:p>
    <w:p>
      <w:pPr>
        <w:spacing w:after="0" w:line="50" w:lineRule="exact"/>
        <w:rPr>
          <w:sz w:val="20"/>
          <w:szCs w:val="20"/>
          <w:color w:val="auto"/>
        </w:rPr>
      </w:pPr>
    </w:p>
    <w:p>
      <w:pPr>
        <w:ind w:left="700" w:hanging="135"/>
        <w:spacing w:after="0"/>
        <w:tabs>
          <w:tab w:leader="none" w:pos="700" w:val="left"/>
        </w:tabs>
        <w:numPr>
          <w:ilvl w:val="0"/>
          <w:numId w:val="3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1"/>
          <w:szCs w:val="11"/>
          <w:b w:val="1"/>
          <w:bCs w:val="1"/>
          <w:color w:val="auto"/>
        </w:rPr>
        <w:t>ERMS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4"/>
          <w:szCs w:val="14"/>
          <w:b w:val="1"/>
          <w:bCs w:val="1"/>
          <w:color w:val="auto"/>
        </w:rPr>
        <w:t>; R</w:t>
      </w:r>
      <w:r>
        <w:rPr>
          <w:rFonts w:ascii="Times New Roman" w:cs="Times New Roman" w:eastAsia="Times New Roman" w:hAnsi="Times New Roman"/>
          <w:sz w:val="11"/>
          <w:szCs w:val="11"/>
          <w:b w:val="1"/>
          <w:bCs w:val="1"/>
          <w:color w:val="auto"/>
        </w:rPr>
        <w:t>EVENUE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ARTICIPATION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2.1 Purchase and Sale of Notes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both"/>
        <w:ind w:left="220" w:right="279" w:firstLine="1116"/>
        <w:spacing w:after="0" w:line="261" w:lineRule="auto"/>
        <w:tabs>
          <w:tab w:leader="none" w:pos="1531"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terms and conditions of this Agreement (including the conditions precedent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on the First Purchase Date, the Purchasers agree, severally and not jointly, to purchase Notes from Issuer, and Issuer agrees to issue and sell Notes to each Purchaser, in an aggregate principal amount of $50,000,000 in one (1) purchase according to each Purchaser’s Commitment as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hereto for a purchase price equal to 100% of the principal amount thereof (the “</w:t>
      </w:r>
      <w:r>
        <w:rPr>
          <w:rFonts w:ascii="Times New Roman" w:cs="Times New Roman" w:eastAsia="Times New Roman" w:hAnsi="Times New Roman"/>
          <w:sz w:val="14"/>
          <w:szCs w:val="14"/>
          <w:b w:val="1"/>
          <w:bCs w:val="1"/>
          <w:color w:val="auto"/>
        </w:rPr>
        <w:t>First Purchase</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b w:val="1"/>
          <w:bCs w:val="1"/>
          <w:color w:val="auto"/>
        </w:rPr>
      </w:pPr>
    </w:p>
    <w:p>
      <w:pPr>
        <w:jc w:val="both"/>
        <w:ind w:left="220" w:right="279" w:firstLine="1116"/>
        <w:spacing w:after="0" w:line="261" w:lineRule="auto"/>
        <w:tabs>
          <w:tab w:leader="none" w:pos="1539"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terms and conditions of this Agreement (including the conditions precedent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on the Second Purchase Date, at the option of Issuer, the Purchasers agree, severally and not jointly, to purchase Notes from Issuer, and Issuer agrees to issue and sell Notes to each Purchaser, in an aggregate principal amount of $35,000,000 in one (1) purchase according to each Purchaser’s Commitment as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hereto for a purchase price equal to 100% of the principal amount thereof (the “</w:t>
      </w:r>
      <w:r>
        <w:rPr>
          <w:rFonts w:ascii="Times New Roman" w:cs="Times New Roman" w:eastAsia="Times New Roman" w:hAnsi="Times New Roman"/>
          <w:sz w:val="14"/>
          <w:szCs w:val="14"/>
          <w:b w:val="1"/>
          <w:bCs w:val="1"/>
          <w:color w:val="auto"/>
        </w:rPr>
        <w:t>Second Purchase</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b w:val="1"/>
          <w:bCs w:val="1"/>
          <w:color w:val="auto"/>
        </w:rPr>
      </w:pPr>
    </w:p>
    <w:p>
      <w:pPr>
        <w:jc w:val="both"/>
        <w:ind w:left="220" w:right="279" w:firstLine="1116"/>
        <w:spacing w:after="0" w:line="261" w:lineRule="auto"/>
        <w:tabs>
          <w:tab w:leader="none" w:pos="1523"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terms and conditions of this Agreement (including the conditions precedent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on the Third Purchase Date, each Purchaser will, severally and not jointly, purchase Notes from Issuer, and Issuer agrees to issue and sell Notes to each Purchaser, in an aggregate principal amount of $30,000,000 in one (1) purchase according to each Purchaser’s Commitment as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hereto for a purchase price equal to 100% of the principal amount thereof (the “</w:t>
      </w:r>
      <w:r>
        <w:rPr>
          <w:rFonts w:ascii="Times New Roman" w:cs="Times New Roman" w:eastAsia="Times New Roman" w:hAnsi="Times New Roman"/>
          <w:sz w:val="14"/>
          <w:szCs w:val="14"/>
          <w:b w:val="1"/>
          <w:bCs w:val="1"/>
          <w:color w:val="auto"/>
        </w:rPr>
        <w:t>Third Purchase</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b w:val="1"/>
          <w:bCs w:val="1"/>
          <w:color w:val="auto"/>
        </w:rPr>
      </w:pPr>
    </w:p>
    <w:p>
      <w:pPr>
        <w:ind w:left="220" w:right="299" w:firstLine="1116"/>
        <w:spacing w:after="0" w:line="256" w:lineRule="auto"/>
        <w:tabs>
          <w:tab w:leader="none" w:pos="1539"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terms and conditions of this Agreement (including the conditions precedent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on a Fourth Purchase Date, at the option of Issuer and subject to the approval of the Purchasers in their sole discretion, each Purchaser may, severally and not jointly, purchase Notes from Issuer, and Issuer agrees to issue and sell Notes to each Purchaser, in an aggregate principal amount not to exceed $25,000,000, according to each Purchaser’s Purchase Percentage, in each case for a purchase price equal to 100% of the principal amount thereof (each, a “</w:t>
      </w:r>
      <w:r>
        <w:rPr>
          <w:rFonts w:ascii="Times New Roman" w:cs="Times New Roman" w:eastAsia="Times New Roman" w:hAnsi="Times New Roman"/>
          <w:sz w:val="14"/>
          <w:szCs w:val="14"/>
          <w:b w:val="1"/>
          <w:bCs w:val="1"/>
          <w:color w:val="auto"/>
        </w:rPr>
        <w:t>Fourth Purchase</w:t>
      </w:r>
      <w:r>
        <w:rPr>
          <w:rFonts w:ascii="Times New Roman" w:cs="Times New Roman" w:eastAsia="Times New Roman" w:hAnsi="Times New Roman"/>
          <w:sz w:val="14"/>
          <w:szCs w:val="14"/>
          <w:color w:val="auto"/>
        </w:rPr>
        <w:t>”; together with the First Purchase, the Second Purchase and the Third Purchase, individually, a “</w:t>
      </w:r>
      <w:r>
        <w:rPr>
          <w:rFonts w:ascii="Times New Roman" w:cs="Times New Roman" w:eastAsia="Times New Roman" w:hAnsi="Times New Roman"/>
          <w:sz w:val="14"/>
          <w:szCs w:val="14"/>
          <w:b w:val="1"/>
          <w:bCs w:val="1"/>
          <w:color w:val="auto"/>
        </w:rPr>
        <w:t>Purchase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Purchases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Notwithstanding anything to the contrary herein, (A) each Purchaser’s Commitments shall expire on the applicable Commitment Termination Date,</w:t>
      </w:r>
    </w:p>
    <w:p>
      <w:pPr>
        <w:spacing w:after="0" w:line="22" w:lineRule="exact"/>
        <w:rPr>
          <w:sz w:val="20"/>
          <w:szCs w:val="20"/>
          <w:color w:val="auto"/>
        </w:rPr>
      </w:pPr>
    </w:p>
    <w:p>
      <w:pPr>
        <w:ind w:left="220" w:right="239" w:firstLine="3"/>
        <w:spacing w:after="0" w:line="260" w:lineRule="auto"/>
        <w:tabs>
          <w:tab w:leader="none" w:pos="441"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Purchaser shall be committed to purchase any Notes as part of any Fourth Purchase, (C) the Purchasers’ aggregate Commitments shall not exceed $115,000,000, and (D) the aggregate principal amount of Notes to be issued pursuant to this Agreement will not exceed $140,000,000.</w:t>
      </w:r>
    </w:p>
    <w:p>
      <w:pPr>
        <w:spacing w:after="0" w:line="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2.2 Payments of Repayment Amount and Revenue Participation Payments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59" w:firstLine="1116"/>
        <w:spacing w:after="0" w:line="262" w:lineRule="auto"/>
        <w:tabs>
          <w:tab w:leader="none" w:pos="1531" w:val="left"/>
        </w:tabs>
        <w:numPr>
          <w:ilvl w:val="0"/>
          <w:numId w:val="3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Repayment of the Notes</w:t>
      </w:r>
      <w:r>
        <w:rPr>
          <w:rFonts w:ascii="Times New Roman" w:cs="Times New Roman" w:eastAsia="Times New Roman" w:hAnsi="Times New Roman"/>
          <w:sz w:val="14"/>
          <w:szCs w:val="14"/>
          <w:color w:val="auto"/>
        </w:rPr>
        <w:t>. The Repayment Amount, together with any accrued and unpaid default interest and Reimbursable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Expenses, shall be due and payable in full on the earlier of (i) the Maturity Date and (ii) the date that all Obligations are accelerated and become due and payable pursuant to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To the extent redeemed or otherwise repaid, the Notes may not be re-issued and the principal amount thereunder may not be re-borrowed.</w:t>
      </w:r>
    </w:p>
    <w:p>
      <w:pPr>
        <w:spacing w:after="0" w:line="52" w:lineRule="exact"/>
        <w:rPr>
          <w:rFonts w:ascii="Times New Roman" w:cs="Times New Roman" w:eastAsia="Times New Roman" w:hAnsi="Times New Roman"/>
          <w:sz w:val="14"/>
          <w:szCs w:val="14"/>
          <w:b w:val="1"/>
          <w:bCs w:val="1"/>
          <w:color w:val="auto"/>
        </w:rPr>
      </w:pPr>
    </w:p>
    <w:p>
      <w:pPr>
        <w:ind w:left="220" w:right="239" w:firstLine="1116"/>
        <w:spacing w:after="0" w:line="257" w:lineRule="auto"/>
        <w:tabs>
          <w:tab w:leader="none" w:pos="1539" w:val="left"/>
        </w:tabs>
        <w:numPr>
          <w:ilvl w:val="0"/>
          <w:numId w:val="3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Voluntary Repurchase and Repayment</w:t>
      </w:r>
      <w:r>
        <w:rPr>
          <w:rFonts w:ascii="Times New Roman" w:cs="Times New Roman" w:eastAsia="Times New Roman" w:hAnsi="Times New Roman"/>
          <w:sz w:val="14"/>
          <w:szCs w:val="14"/>
          <w:color w:val="auto"/>
        </w:rPr>
        <w:t>. Issuer shall have the option to repurchase all, but not less than all, of the outstanding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Notes (if any) and pay all other outstanding Obligations under this Agreement, provided Issuer provides at least ten (10) Business Days’ advance written notice to Purchaser Agent of the date of such redemption and payment. On the applicable date, Issuer shall repurchase the Notes and pay all other Obligations by paying the Repayment Amount, plus all accrued and unpaid default interest, Reimbursable Expenses and all other Obligations to the Purchasers. Notwithstanding anything to the contrary contained in this Agreement, Issuer may rescind any notice of repurchase and payment pursuant to this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xml:space="preserve"> if such repurchase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547" w:name="page548"/>
    <w:bookmarkEnd w:id="547"/>
    <w:p>
      <w:pPr>
        <w:ind w:left="22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would have resulted from a refinancing of the Obligations or a Change of Control, which refinancing or Change of Control shall not be consummated or shall otherwise be delayed; provided that Issuer must provide Purchaser Agent with a new notice at least one (1) Business Day prior to any repurchase date if Issuer has rescinded the prior notice. Upon repurchase of the Notes pursuant to this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the Purchasers’ remaining Commitments shall immediately and irrevocably terminate.</w:t>
      </w:r>
    </w:p>
    <w:p>
      <w:pPr>
        <w:spacing w:after="0" w:line="53" w:lineRule="exact"/>
        <w:rPr>
          <w:sz w:val="20"/>
          <w:szCs w:val="20"/>
          <w:color w:val="auto"/>
        </w:rPr>
      </w:pPr>
    </w:p>
    <w:p>
      <w:pPr>
        <w:ind w:left="1520" w:hanging="184"/>
        <w:spacing w:after="0"/>
        <w:tabs>
          <w:tab w:leader="none" w:pos="1520" w:val="left"/>
        </w:tabs>
        <w:numPr>
          <w:ilvl w:val="0"/>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Participation Payments</w:t>
      </w:r>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b w:val="1"/>
          <w:bCs w:val="1"/>
          <w:color w:val="auto"/>
        </w:rPr>
      </w:pPr>
    </w:p>
    <w:p>
      <w:pPr>
        <w:ind w:left="220" w:right="439" w:firstLine="1544"/>
        <w:spacing w:after="0" w:line="266" w:lineRule="auto"/>
        <w:tabs>
          <w:tab w:leader="none" w:pos="1928" w:val="left"/>
        </w:tabs>
        <w:numPr>
          <w:ilvl w:val="1"/>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From and after the commencement of the Revenue Participation Period, Issuer shall pay to the Purchasers the Revenue Participation Payments quarterly in cash on each Payment Date, until the earlier of (x) Payment in Full and (ii) the end of the Revenue Participation Period.</w:t>
      </w:r>
    </w:p>
    <w:p>
      <w:pPr>
        <w:spacing w:after="0" w:line="52" w:lineRule="exact"/>
        <w:rPr>
          <w:rFonts w:ascii="Times New Roman" w:cs="Times New Roman" w:eastAsia="Times New Roman" w:hAnsi="Times New Roman"/>
          <w:sz w:val="14"/>
          <w:szCs w:val="14"/>
          <w:b w:val="1"/>
          <w:bCs w:val="1"/>
          <w:color w:val="auto"/>
        </w:rPr>
      </w:pPr>
    </w:p>
    <w:p>
      <w:pPr>
        <w:ind w:left="220" w:right="259" w:firstLine="1544"/>
        <w:spacing w:after="0" w:line="254" w:lineRule="auto"/>
        <w:tabs>
          <w:tab w:leader="none" w:pos="1967" w:val="left"/>
        </w:tabs>
        <w:numPr>
          <w:ilvl w:val="1"/>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each fiscal quarter, the relevant amount payable in respect of the Revenue Participation Payments for such fiscal quarter shall be paid on the applicable Payment Date, with such payment to be calculated based on Issuer’s good faith estimate of Net Revenue for such fiscal quarter; provided that all payments in respect of any fiscal quarter shall be subject to reconciliation (x) based on the final Net Revenue for the applicable fiscal quarter on the Payment Date for the subsequent fiscal quarter, with such reconciliation being prepared by Issuer and delivered to the Purchasers on the Payment Date for such subsequent fiscal quarter, and (y) based on the final Net Revenue for the applicable fiscal year in which such fiscal quarter occurs based on the audited financial statements for such fiscal year, with such reconciliation to be prepared by Issuer and delivered to the Purchasers no later than ninety (90) days after the end of such fiscal year. With respect to each reconciliation, any overpayments shall be credited against, and any underpayments shall be added to, the immediately subsequent payment in respect of the Revenue Participation Payments. For the avoidance of doubt, the Purchasers shall not be required to refund any Revenue Participation Payments.</w:t>
      </w:r>
    </w:p>
    <w:p>
      <w:pPr>
        <w:spacing w:after="0" w:line="61" w:lineRule="exact"/>
        <w:rPr>
          <w:rFonts w:ascii="Times New Roman" w:cs="Times New Roman" w:eastAsia="Times New Roman" w:hAnsi="Times New Roman"/>
          <w:sz w:val="14"/>
          <w:szCs w:val="14"/>
          <w:b w:val="1"/>
          <w:bCs w:val="1"/>
          <w:color w:val="auto"/>
        </w:rPr>
      </w:pPr>
    </w:p>
    <w:p>
      <w:pPr>
        <w:ind w:left="220" w:right="299" w:firstLine="1544"/>
        <w:spacing w:after="0" w:line="282" w:lineRule="auto"/>
        <w:tabs>
          <w:tab w:leader="none" w:pos="2006" w:val="left"/>
        </w:tabs>
        <w:numPr>
          <w:ilvl w:val="1"/>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All Revenue Participation Payments and other payments pursuant to this </w:t>
      </w:r>
      <w:r>
        <w:rPr>
          <w:rFonts w:ascii="Times New Roman" w:cs="Times New Roman" w:eastAsia="Times New Roman" w:hAnsi="Times New Roman"/>
          <w:sz w:val="14"/>
          <w:szCs w:val="14"/>
          <w:u w:val="single" w:color="auto"/>
          <w:color w:val="auto"/>
        </w:rPr>
        <w:t>Section 2.2(d)</w:t>
      </w:r>
      <w:r>
        <w:rPr>
          <w:rFonts w:ascii="Times New Roman" w:cs="Times New Roman" w:eastAsia="Times New Roman" w:hAnsi="Times New Roman"/>
          <w:sz w:val="14"/>
          <w:szCs w:val="14"/>
          <w:color w:val="auto"/>
        </w:rPr>
        <w:t xml:space="preserve"> shall be made to each Purchaser in accordance with its Pro Rata Share.</w:t>
      </w:r>
    </w:p>
    <w:p>
      <w:pPr>
        <w:spacing w:after="0" w:line="39" w:lineRule="exact"/>
        <w:rPr>
          <w:rFonts w:ascii="Times New Roman" w:cs="Times New Roman" w:eastAsia="Times New Roman" w:hAnsi="Times New Roman"/>
          <w:sz w:val="14"/>
          <w:szCs w:val="14"/>
          <w:b w:val="1"/>
          <w:bCs w:val="1"/>
          <w:color w:val="auto"/>
        </w:rPr>
      </w:pPr>
    </w:p>
    <w:p>
      <w:pPr>
        <w:ind w:left="220" w:right="259" w:firstLine="1116"/>
        <w:spacing w:after="0" w:line="254" w:lineRule="auto"/>
        <w:tabs>
          <w:tab w:leader="none" w:pos="1539" w:val="left"/>
        </w:tabs>
        <w:numPr>
          <w:ilvl w:val="0"/>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Change of Control. </w:t>
      </w:r>
      <w:r>
        <w:rPr>
          <w:rFonts w:ascii="Times New Roman" w:cs="Times New Roman" w:eastAsia="Times New Roman" w:hAnsi="Times New Roman"/>
          <w:sz w:val="14"/>
          <w:szCs w:val="14"/>
          <w:color w:val="auto"/>
        </w:rPr>
        <w:t>In the event of any Change of Control, Issuer shall provide ten (10) Business Days’ prior written notice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anticipated date of such Change of Control to Purchaser Agent and the Purchasers. In connection with any Change of Control or any announcement of any tender offer or other transaction, which if consummated would constitute a Change of Control, the Required Purchasers in their sole discretion may require Issuer to repurchase the outstanding Notes (if any) and pay all other outstanding Obligations under this Agreement. If the Required Purchasers require Issuer to repurchase the outstanding Notes (if any) and pay all other Obligations, the Required Purchasers (or Purchaser Agent on behalf of the Required Purchasers) shall provide written notice thereof no later than five (5) Business Days after receipt of Issuer’s notice of a Change of Control. If the Required Purchasers have elected to require Issuer to repurchase the Notes (if any) and pay all other Obligations pursuant to this </w:t>
      </w:r>
      <w:r>
        <w:rPr>
          <w:rFonts w:ascii="Times New Roman" w:cs="Times New Roman" w:eastAsia="Times New Roman" w:hAnsi="Times New Roman"/>
          <w:sz w:val="14"/>
          <w:szCs w:val="14"/>
          <w:u w:val="single" w:color="auto"/>
          <w:color w:val="auto"/>
        </w:rPr>
        <w:t>Section 2.2(d)</w:t>
      </w:r>
      <w:r>
        <w:rPr>
          <w:rFonts w:ascii="Times New Roman" w:cs="Times New Roman" w:eastAsia="Times New Roman" w:hAnsi="Times New Roman"/>
          <w:sz w:val="14"/>
          <w:szCs w:val="14"/>
          <w:color w:val="auto"/>
        </w:rPr>
        <w:t>, Issuer shall make such repurchase and payment concurrently with, the consummation of such Change of Control transaction (or on such later date as is acceptable to the Required Purchasers in their sole discretion) by paying the Repayment Amount, plus all accrued and unpaid default interest, Reimbursable Expenses and all other Obligations to the Purchasers.</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2.3 Payments of Principal and Interest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39" w:firstLine="1116"/>
        <w:spacing w:after="0" w:line="267" w:lineRule="auto"/>
        <w:tabs>
          <w:tab w:leader="none" w:pos="1531"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Payments. </w:t>
      </w:r>
      <w:r>
        <w:rPr>
          <w:rFonts w:ascii="Times New Roman" w:cs="Times New Roman" w:eastAsia="Times New Roman" w:hAnsi="Times New Roman"/>
          <w:sz w:val="14"/>
          <w:szCs w:val="14"/>
          <w:color w:val="auto"/>
        </w:rPr>
        <w:t>Issuer shall make quarterly payments of interest on each outstanding Note and any other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commencing on the first (1st) Payment Date following the First Purchase Date and continuing on each successive Payment Date thereafter through and including the Payment Date immediately preceding the Maturity Date.</w:t>
      </w:r>
    </w:p>
    <w:p>
      <w:pPr>
        <w:spacing w:after="0" w:line="50" w:lineRule="exact"/>
        <w:rPr>
          <w:rFonts w:ascii="Times New Roman" w:cs="Times New Roman" w:eastAsia="Times New Roman" w:hAnsi="Times New Roman"/>
          <w:sz w:val="14"/>
          <w:szCs w:val="14"/>
          <w:b w:val="1"/>
          <w:bCs w:val="1"/>
          <w:color w:val="auto"/>
        </w:rPr>
      </w:pPr>
    </w:p>
    <w:p>
      <w:pPr>
        <w:ind w:left="220" w:right="239" w:firstLine="1116"/>
        <w:spacing w:after="0" w:line="257" w:lineRule="auto"/>
        <w:tabs>
          <w:tab w:leader="none" w:pos="1539"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4"/>
          <w:szCs w:val="14"/>
          <w:color w:val="auto"/>
        </w:rPr>
        <w:t>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2.3(c)</w:t>
      </w:r>
      <w:r>
        <w:rPr>
          <w:rFonts w:ascii="Times New Roman" w:cs="Times New Roman" w:eastAsia="Times New Roman" w:hAnsi="Times New Roman"/>
          <w:sz w:val="14"/>
          <w:szCs w:val="14"/>
          <w:color w:val="auto"/>
        </w:rPr>
        <w:t>, the principal amount outstanding under the Notes and any other Obligations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accrue interest at per annum rate equal to the Applicable Rate, which interest shall be payable quarterly in arrears in accordance with </w:t>
      </w:r>
      <w:r>
        <w:rPr>
          <w:rFonts w:ascii="Times New Roman" w:cs="Times New Roman" w:eastAsia="Times New Roman" w:hAnsi="Times New Roman"/>
          <w:sz w:val="14"/>
          <w:szCs w:val="14"/>
          <w:u w:val="single" w:color="auto"/>
          <w:color w:val="auto"/>
        </w:rPr>
        <w:t>Sections 2.3(a)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2.3(f)</w:t>
      </w:r>
      <w:r>
        <w:rPr>
          <w:rFonts w:ascii="Times New Roman" w:cs="Times New Roman" w:eastAsia="Times New Roman" w:hAnsi="Times New Roman"/>
          <w:sz w:val="14"/>
          <w:szCs w:val="14"/>
          <w:color w:val="auto"/>
        </w:rPr>
        <w:t>. Interest shall accrue on each Note commencing on, and including, the Purchase Date of such Note, and shall accrue on the principal amount outstanding under such Note through and including the day on which such Note is paid in full. Interest shall accrue on all other Obligations commencing on, and including, the date that such Obligations are due, and shall accrue on the unpaid amount of such Obligations through and including the day on which such Obligations are paid in full.</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48" w:name="page549"/>
    <w:bookmarkEnd w:id="548"/>
    <w:p>
      <w:pPr>
        <w:ind w:left="220" w:right="319" w:firstLine="1116"/>
        <w:spacing w:after="0" w:line="262" w:lineRule="auto"/>
        <w:tabs>
          <w:tab w:leader="none" w:pos="1523"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Default Rate</w:t>
      </w:r>
      <w:r>
        <w:rPr>
          <w:rFonts w:ascii="Times New Roman" w:cs="Times New Roman" w:eastAsia="Times New Roman" w:hAnsi="Times New Roman"/>
          <w:sz w:val="14"/>
          <w:szCs w:val="14"/>
          <w:color w:val="auto"/>
        </w:rPr>
        <w:t>. Immediately upon the occurrence and during the continuance of an Event of Default, all outstanding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accrue interest at a floating per annum rate equal to the rate that is otherwise applicable thereto plus 5% (the “</w:t>
      </w:r>
      <w:r>
        <w:rPr>
          <w:rFonts w:ascii="Times New Roman" w:cs="Times New Roman" w:eastAsia="Times New Roman" w:hAnsi="Times New Roman"/>
          <w:sz w:val="14"/>
          <w:szCs w:val="14"/>
          <w:b w:val="1"/>
          <w:bCs w:val="1"/>
          <w:color w:val="auto"/>
        </w:rPr>
        <w:t>Default Rate</w:t>
      </w:r>
      <w:r>
        <w:rPr>
          <w:rFonts w:ascii="Times New Roman" w:cs="Times New Roman" w:eastAsia="Times New Roman" w:hAnsi="Times New Roman"/>
          <w:sz w:val="14"/>
          <w:szCs w:val="14"/>
          <w:color w:val="auto"/>
        </w:rPr>
        <w:t xml:space="preserve">”). Payment or acceptance of the increased interest rate provided in this </w:t>
      </w:r>
      <w:r>
        <w:rPr>
          <w:rFonts w:ascii="Times New Roman" w:cs="Times New Roman" w:eastAsia="Times New Roman" w:hAnsi="Times New Roman"/>
          <w:sz w:val="14"/>
          <w:szCs w:val="14"/>
          <w:u w:val="single" w:color="auto"/>
          <w:color w:val="auto"/>
        </w:rPr>
        <w:t>Section 2.3(c)</w:t>
      </w:r>
      <w:r>
        <w:rPr>
          <w:rFonts w:ascii="Times New Roman" w:cs="Times New Roman" w:eastAsia="Times New Roman" w:hAnsi="Times New Roman"/>
          <w:sz w:val="14"/>
          <w:szCs w:val="14"/>
          <w:color w:val="auto"/>
        </w:rPr>
        <w:t xml:space="preserve"> is not a permitted alternative to timely payment and shall not constitute a waiver of any Event of Default or otherwise prejudice or limit any rights or remedies of Purchaser Agent or any Purchaser</w:t>
      </w:r>
    </w:p>
    <w:p>
      <w:pPr>
        <w:spacing w:after="0" w:line="52"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360-Day Year</w:t>
      </w:r>
      <w:r>
        <w:rPr>
          <w:rFonts w:ascii="Times New Roman" w:cs="Times New Roman" w:eastAsia="Times New Roman" w:hAnsi="Times New Roman"/>
          <w:sz w:val="14"/>
          <w:szCs w:val="14"/>
          <w:color w:val="auto"/>
        </w:rPr>
        <w:t>. Interest shall be computed on the basis of a three hundred sixty (360) day year for the actual number of days</w:t>
      </w:r>
    </w:p>
    <w:p>
      <w:pPr>
        <w:spacing w:after="0" w:line="23" w:lineRule="exact"/>
        <w:rPr>
          <w:rFonts w:ascii="Times New Roman" w:cs="Times New Roman" w:eastAsia="Times New Roman" w:hAnsi="Times New Roman"/>
          <w:sz w:val="14"/>
          <w:szCs w:val="14"/>
          <w:b w:val="1"/>
          <w:bCs w:val="1"/>
          <w:color w:val="auto"/>
        </w:rPr>
      </w:pPr>
    </w:p>
    <w:p>
      <w:pPr>
        <w:ind w:left="2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elapsed.</w:t>
      </w:r>
    </w:p>
    <w:p>
      <w:pPr>
        <w:spacing w:after="0" w:line="74" w:lineRule="exact"/>
        <w:rPr>
          <w:rFonts w:ascii="Times New Roman" w:cs="Times New Roman" w:eastAsia="Times New Roman" w:hAnsi="Times New Roman"/>
          <w:sz w:val="14"/>
          <w:szCs w:val="14"/>
          <w:b w:val="1"/>
          <w:bCs w:val="1"/>
          <w:color w:val="auto"/>
        </w:rPr>
      </w:pPr>
    </w:p>
    <w:p>
      <w:pPr>
        <w:ind w:left="220" w:right="319" w:firstLine="1116"/>
        <w:spacing w:after="0" w:line="262" w:lineRule="auto"/>
        <w:tabs>
          <w:tab w:leader="none" w:pos="1523"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Debit of Accounts</w:t>
      </w:r>
      <w:r>
        <w:rPr>
          <w:rFonts w:ascii="Times New Roman" w:cs="Times New Roman" w:eastAsia="Times New Roman" w:hAnsi="Times New Roman"/>
          <w:sz w:val="14"/>
          <w:szCs w:val="14"/>
          <w:color w:val="auto"/>
        </w:rPr>
        <w:t>. Upon the occurrence and during the continuance of any Default or Event of Default, Purchaser Agent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Purchaser may debit (or ACH) the Designated Deposit Account, or, to the extent adequate funds are not available in the Designated Deposit Account, any other Collateral Account maintained by any Obligor, for principal and interest payments or any other amounts Issuer owes the Purchasers under the Note Documents when due. Any such debits (or ACH activity) shall not constitute a set-off.</w:t>
      </w:r>
    </w:p>
    <w:p>
      <w:pPr>
        <w:spacing w:after="0" w:line="52" w:lineRule="exact"/>
        <w:rPr>
          <w:rFonts w:ascii="Times New Roman" w:cs="Times New Roman" w:eastAsia="Times New Roman" w:hAnsi="Times New Roman"/>
          <w:sz w:val="14"/>
          <w:szCs w:val="14"/>
          <w:b w:val="1"/>
          <w:bCs w:val="1"/>
          <w:color w:val="auto"/>
        </w:rPr>
      </w:pPr>
    </w:p>
    <w:p>
      <w:pPr>
        <w:ind w:left="220" w:right="239" w:firstLine="1116"/>
        <w:spacing w:after="0" w:line="256" w:lineRule="auto"/>
        <w:tabs>
          <w:tab w:leader="none" w:pos="1508"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Payments</w:t>
      </w:r>
      <w:r>
        <w:rPr>
          <w:rFonts w:ascii="Times New Roman" w:cs="Times New Roman" w:eastAsia="Times New Roman" w:hAnsi="Times New Roman"/>
          <w:sz w:val="14"/>
          <w:szCs w:val="14"/>
          <w:color w:val="auto"/>
        </w:rPr>
        <w:t>. Except as otherwise expressly provided herein, all payments by Issuer under the Note Documents shall be made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Purchaser to which such payments are owed (or in the case of any Obligations owed to Purchaser Agent, to Purchaser Agent), at such Purchaser’s office (or if applicable, Purchaser Agent’s office) in immediately available funds on the date specified herein. Payments received after 2:00 pm Eastern time are considered received at the opening of business on the next Business Day. When a payment is due on a day that is not a Business Day, the payment is due the next preceding Business Day. All payments to be made by Issuer or any Guarantor hereunder or under any other Note Document, including payments of principal and interest, and all fees, expenses, indemnities and reimbursements, shall be made without set-off, recoupment or counterclaim, in lawful money of the United States and in immediately available funds.</w:t>
      </w:r>
    </w:p>
    <w:p>
      <w:pPr>
        <w:spacing w:after="0" w:line="57" w:lineRule="exact"/>
        <w:rPr>
          <w:sz w:val="20"/>
          <w:szCs w:val="20"/>
          <w:color w:val="auto"/>
        </w:rPr>
      </w:pPr>
    </w:p>
    <w:p>
      <w:pPr>
        <w:ind w:left="220" w:right="25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2.4 Form of Notes; Note Record</w:t>
      </w:r>
      <w:r>
        <w:rPr>
          <w:rFonts w:ascii="Times New Roman" w:cs="Times New Roman" w:eastAsia="Times New Roman" w:hAnsi="Times New Roman"/>
          <w:sz w:val="14"/>
          <w:szCs w:val="14"/>
          <w:color w:val="auto"/>
        </w:rPr>
        <w:t>. The Notes shall be substantially in the form attached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and the terms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shall be incorporated by reference into the Notes as if set forth therein; provided that in the event of any conflict between the terms of this Agreement and the Notes, the terms of this Agreement shall control. Issuer irrevocably authorizes each Purchaser to make or cause to be made, on or about the Purchase Date of any Notes or at the time of receipt of any payment of principal on such Purchaser’s Note, an appropriate notation on such Purchaser’s Note Record reflecting the purchase of such Notes or (as the case may be) the receipt of such payment. The outstanding amount of each Note set forth on such Purchaser’s Note Record shall be prima facie evidence of the principal amount thereof owing and unpaid to such Purchaser, but the failure to record, or any error in so recording, any such amount on such Purchaser’s Note Record shall not limit or otherwise affect the obligations of Issuer under any Note or any other Note Document to make payments of principal of or interest on, or the Repayment Amount in respect of, any Note when due. Upon receipt of an affidavit of an officer of a Purchaser as to the loss, theft, destruction, or mutilation of its Note, Issuer shall issue, in lieu thereof, a replacement Note in the same principal amount thereof and of like tenor.</w:t>
      </w:r>
    </w:p>
    <w:p>
      <w:pPr>
        <w:spacing w:after="0" w:line="59" w:lineRule="exact"/>
        <w:rPr>
          <w:sz w:val="20"/>
          <w:szCs w:val="20"/>
          <w:color w:val="auto"/>
        </w:rPr>
      </w:pPr>
    </w:p>
    <w:p>
      <w:pPr>
        <w:ind w:left="220" w:right="359" w:firstLine="771"/>
        <w:spacing w:after="0" w:line="280" w:lineRule="auto"/>
        <w:rPr>
          <w:sz w:val="20"/>
          <w:szCs w:val="20"/>
          <w:color w:val="auto"/>
        </w:rPr>
      </w:pPr>
      <w:r>
        <w:rPr>
          <w:rFonts w:ascii="Times New Roman" w:cs="Times New Roman" w:eastAsia="Times New Roman" w:hAnsi="Times New Roman"/>
          <w:sz w:val="13"/>
          <w:szCs w:val="13"/>
          <w:b w:val="1"/>
          <w:bCs w:val="1"/>
          <w:color w:val="auto"/>
        </w:rPr>
        <w:t>2.5 Reimbursable Expenses</w:t>
      </w:r>
      <w:r>
        <w:rPr>
          <w:rFonts w:ascii="Times New Roman" w:cs="Times New Roman" w:eastAsia="Times New Roman" w:hAnsi="Times New Roman"/>
          <w:sz w:val="13"/>
          <w:szCs w:val="13"/>
          <w:color w:val="auto"/>
        </w:rPr>
        <w:t>. Issuer shall pay to Purchaser Agent all Reimbursable Expenses (including reasonable and documented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out-of-pocket attorneys’ fees and expenses for documentation and negotiation of this Agreement) incurred through and after the Effective Date, except as set forth in </w:t>
      </w:r>
      <w:r>
        <w:rPr>
          <w:rFonts w:ascii="Times New Roman" w:cs="Times New Roman" w:eastAsia="Times New Roman" w:hAnsi="Times New Roman"/>
          <w:sz w:val="13"/>
          <w:szCs w:val="13"/>
          <w:u w:val="single" w:color="auto"/>
          <w:color w:val="auto"/>
        </w:rPr>
        <w:t>Sections 3.1(f)</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3.5(f)</w:t>
      </w:r>
      <w:r>
        <w:rPr>
          <w:rFonts w:ascii="Times New Roman" w:cs="Times New Roman" w:eastAsia="Times New Roman" w:hAnsi="Times New Roman"/>
          <w:sz w:val="13"/>
          <w:szCs w:val="13"/>
          <w:color w:val="auto"/>
        </w:rPr>
        <w:t xml:space="preserve">, within ten (10) Business Days of the delivery of an invoice therefor, or if later, when due. It is the intention of the parties hereto that Issuer shall pay Reimbursable Expenses directly. In the event Purchaser Agent pays any of such expenses directly, Issuer will reimburse Purchaser Agent for such expenses and interest on such expenses shall accrue beginning on the third (3rd) Business Day following written notice to Issuer of such expenses until reimbursed at the interest rate specified in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 xml:space="preserve"> (or, subject to </w:t>
      </w:r>
      <w:r>
        <w:rPr>
          <w:rFonts w:ascii="Times New Roman" w:cs="Times New Roman" w:eastAsia="Times New Roman" w:hAnsi="Times New Roman"/>
          <w:sz w:val="13"/>
          <w:szCs w:val="13"/>
          <w:u w:val="single" w:color="auto"/>
          <w:color w:val="auto"/>
        </w:rPr>
        <w:t>Section 2.3(c)</w:t>
      </w:r>
      <w:r>
        <w:rPr>
          <w:rFonts w:ascii="Times New Roman" w:cs="Times New Roman" w:eastAsia="Times New Roman" w:hAnsi="Times New Roman"/>
          <w:sz w:val="13"/>
          <w:szCs w:val="13"/>
          <w:color w:val="auto"/>
        </w:rPr>
        <w:t>, the Default Rate).</w:t>
      </w:r>
    </w:p>
    <w:p>
      <w:pPr>
        <w:spacing w:after="0" w:line="45" w:lineRule="exact"/>
        <w:rPr>
          <w:sz w:val="20"/>
          <w:szCs w:val="20"/>
          <w:color w:val="auto"/>
        </w:rPr>
      </w:pPr>
    </w:p>
    <w:p>
      <w:pPr>
        <w:ind w:left="700" w:hanging="135"/>
        <w:spacing w:after="0"/>
        <w:tabs>
          <w:tab w:leader="none" w:pos="700" w:val="left"/>
        </w:tabs>
        <w:numPr>
          <w:ilvl w:val="0"/>
          <w:numId w:val="3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ONDITIONS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RECEDENT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7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3.1 Conditions Precedent to the Effective Date and First Purchase</w:t>
      </w:r>
      <w:r>
        <w:rPr>
          <w:rFonts w:ascii="Times New Roman" w:cs="Times New Roman" w:eastAsia="Times New Roman" w:hAnsi="Times New Roman"/>
          <w:sz w:val="14"/>
          <w:szCs w:val="14"/>
          <w:color w:val="auto"/>
        </w:rPr>
        <w:t>. The effectiveness of this Agreement, and the obligation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Purchasers to make the First Purchase, are subject to the condition precedent that Purchasers shall have received, in form and substance reasonably satisfactory to Purchasers, the following, duly executed by the applicable parties thereto (provided that the satisfaction or performance of each condition may be waived by the Required Purchasers in their sole discretion):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549" w:name="page550"/>
    <w:bookmarkEnd w:id="549"/>
    <w:p>
      <w:pPr>
        <w:ind w:left="1540" w:hanging="204"/>
        <w:spacing w:after="0"/>
        <w:tabs>
          <w:tab w:leader="none" w:pos="1540"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this Agreement;</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certificate of the Secretary of Issuer with respect to incumbency and resolutions authorizing the execution and delivery of this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w:t>
      </w:r>
    </w:p>
    <w:p>
      <w:pPr>
        <w:spacing w:after="0" w:line="76" w:lineRule="exact"/>
        <w:rPr>
          <w:sz w:val="20"/>
          <w:szCs w:val="20"/>
          <w:color w:val="auto"/>
        </w:rPr>
      </w:pPr>
    </w:p>
    <w:p>
      <w:pPr>
        <w:ind w:left="1520" w:hanging="184"/>
        <w:spacing w:after="0"/>
        <w:tabs>
          <w:tab w:leader="none" w:pos="152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UCC National Form Financing Statement;</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[reserved];</w:t>
      </w:r>
    </w:p>
    <w:p>
      <w:pPr>
        <w:spacing w:after="0" w:line="90"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[reserved];</w:t>
      </w:r>
    </w:p>
    <w:p>
      <w:pPr>
        <w:spacing w:after="0" w:line="90" w:lineRule="exact"/>
        <w:rPr>
          <w:rFonts w:ascii="Times New Roman" w:cs="Times New Roman" w:eastAsia="Times New Roman" w:hAnsi="Times New Roman"/>
          <w:sz w:val="14"/>
          <w:szCs w:val="14"/>
          <w:b w:val="1"/>
          <w:bCs w:val="1"/>
          <w:color w:val="auto"/>
        </w:rPr>
      </w:pPr>
    </w:p>
    <w:p>
      <w:pPr>
        <w:ind w:left="220" w:right="399" w:firstLine="1116"/>
        <w:spacing w:after="0" w:line="282" w:lineRule="auto"/>
        <w:tabs>
          <w:tab w:leader="none" w:pos="1508"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payment of the Reimbursable Expenses then due specified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hereof to the extent invoiced at least one (1) Business Day prior to the Effective Date;</w:t>
      </w:r>
    </w:p>
    <w:p>
      <w:pPr>
        <w:spacing w:after="0" w:line="41"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financial statements of Issuer;</w:t>
      </w:r>
    </w:p>
    <w:p>
      <w:pPr>
        <w:spacing w:after="0" w:line="90" w:lineRule="exact"/>
        <w:rPr>
          <w:rFonts w:ascii="Times New Roman" w:cs="Times New Roman" w:eastAsia="Times New Roman" w:hAnsi="Times New Roman"/>
          <w:sz w:val="14"/>
          <w:szCs w:val="14"/>
          <w:b w:val="1"/>
          <w:bCs w:val="1"/>
          <w:color w:val="auto"/>
        </w:rPr>
      </w:pPr>
    </w:p>
    <w:p>
      <w:pPr>
        <w:ind w:left="220" w:right="299" w:firstLine="1116"/>
        <w:spacing w:after="0" w:line="261" w:lineRule="auto"/>
        <w:tabs>
          <w:tab w:leader="none" w:pos="1539"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duly executed signature to a payoff letter from Western Alliance Bank with respect to the Existing Indebtedness which provides that the documents and/or filings evidencing the perfection of any Liens, including without limitation any financing statements and/or control agreements, have or will, subject to payment of the payoff amount owing thereunder substantially concurrently (subject to </w:t>
      </w:r>
      <w:r>
        <w:rPr>
          <w:rFonts w:ascii="Times New Roman" w:cs="Times New Roman" w:eastAsia="Times New Roman" w:hAnsi="Times New Roman"/>
          <w:sz w:val="14"/>
          <w:szCs w:val="14"/>
          <w:u w:val="single" w:color="auto"/>
          <w:color w:val="auto"/>
        </w:rPr>
        <w:t>Section 3.6(d)</w:t>
      </w:r>
      <w:r>
        <w:rPr>
          <w:rFonts w:ascii="Times New Roman" w:cs="Times New Roman" w:eastAsia="Times New Roman" w:hAnsi="Times New Roman"/>
          <w:sz w:val="14"/>
          <w:szCs w:val="14"/>
          <w:color w:val="auto"/>
        </w:rPr>
        <w:t>) with the First Purchase, be terminated;</w:t>
      </w:r>
    </w:p>
    <w:p>
      <w:pPr>
        <w:spacing w:after="0" w:line="55" w:lineRule="exact"/>
        <w:rPr>
          <w:rFonts w:ascii="Times New Roman" w:cs="Times New Roman" w:eastAsia="Times New Roman" w:hAnsi="Times New Roman"/>
          <w:sz w:val="14"/>
          <w:szCs w:val="14"/>
          <w:b w:val="1"/>
          <w:bCs w:val="1"/>
          <w:color w:val="auto"/>
        </w:rPr>
      </w:pPr>
    </w:p>
    <w:p>
      <w:pPr>
        <w:ind w:left="220" w:right="259" w:firstLine="1116"/>
        <w:spacing w:after="0" w:line="266" w:lineRule="auto"/>
        <w:tabs>
          <w:tab w:leader="none" w:pos="150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certified copies, dated as of a recent date, of financing statement searches, as Purchasers may request, accompanied by written evidence (including any UCC termination statements) that the Liens indicated in any such financing statements either constitute Permitted Liens or have been or, in connection with the First Purchase, will be terminated or released;</w:t>
      </w:r>
    </w:p>
    <w:p>
      <w:pPr>
        <w:spacing w:after="0" w:line="52"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Perfection Certificate;</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[reserved];</w:t>
      </w:r>
    </w:p>
    <w:p>
      <w:pPr>
        <w:spacing w:after="0" w:line="90" w:lineRule="exact"/>
        <w:rPr>
          <w:rFonts w:ascii="Times New Roman" w:cs="Times New Roman" w:eastAsia="Times New Roman" w:hAnsi="Times New Roman"/>
          <w:sz w:val="14"/>
          <w:szCs w:val="14"/>
          <w:b w:val="1"/>
          <w:bCs w:val="1"/>
          <w:color w:val="auto"/>
        </w:rPr>
      </w:pPr>
    </w:p>
    <w:p>
      <w:pPr>
        <w:ind w:left="1500" w:hanging="164"/>
        <w:spacing w:after="0"/>
        <w:tabs>
          <w:tab w:leader="none" w:pos="150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[reserved];</w:t>
      </w:r>
    </w:p>
    <w:p>
      <w:pPr>
        <w:spacing w:after="0" w:line="90" w:lineRule="exact"/>
        <w:rPr>
          <w:rFonts w:ascii="Times New Roman" w:cs="Times New Roman" w:eastAsia="Times New Roman" w:hAnsi="Times New Roman"/>
          <w:sz w:val="14"/>
          <w:szCs w:val="14"/>
          <w:b w:val="1"/>
          <w:bCs w:val="1"/>
          <w:color w:val="auto"/>
        </w:rPr>
      </w:pPr>
    </w:p>
    <w:p>
      <w:pPr>
        <w:ind w:left="1580" w:hanging="244"/>
        <w:spacing w:after="0"/>
        <w:tabs>
          <w:tab w:leader="none" w:pos="158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certificate(s) for the Shares, duly endorsed in blank;</w:t>
      </w:r>
    </w:p>
    <w:p>
      <w:pPr>
        <w:spacing w:after="0" w:line="90" w:lineRule="exact"/>
        <w:rPr>
          <w:rFonts w:ascii="Times New Roman" w:cs="Times New Roman" w:eastAsia="Times New Roman" w:hAnsi="Times New Roman"/>
          <w:sz w:val="14"/>
          <w:szCs w:val="14"/>
          <w:b w:val="1"/>
          <w:bCs w:val="1"/>
          <w:color w:val="auto"/>
        </w:rPr>
      </w:pPr>
    </w:p>
    <w:p>
      <w:pPr>
        <w:ind w:left="220" w:right="279" w:firstLine="1116"/>
        <w:spacing w:after="0" w:line="282" w:lineRule="auto"/>
        <w:tabs>
          <w:tab w:leader="none" w:pos="1539"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short-form security agreements for Intellectual Property in proper form for filing against Issuer with the United States Patent and Trademark Office or the United States Copyright Office, as applicable;</w:t>
      </w:r>
    </w:p>
    <w:p>
      <w:pPr>
        <w:spacing w:after="0" w:line="41" w:lineRule="exact"/>
        <w:rPr>
          <w:rFonts w:ascii="Times New Roman" w:cs="Times New Roman" w:eastAsia="Times New Roman" w:hAnsi="Times New Roman"/>
          <w:sz w:val="14"/>
          <w:szCs w:val="14"/>
          <w:b w:val="1"/>
          <w:bCs w:val="1"/>
          <w:color w:val="auto"/>
        </w:rPr>
      </w:pPr>
    </w:p>
    <w:p>
      <w:pPr>
        <w:ind w:left="220" w:right="379" w:firstLine="1116"/>
        <w:spacing w:after="0" w:line="282" w:lineRule="auto"/>
        <w:tabs>
          <w:tab w:leader="none" w:pos="1531"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duly executed legal opinion of Gunderson Dettmer Stough Villeneuve Franklin &amp; Hachigian, LLP, counsel to Issuer, dated as of the First Purchase Date and in form and substance satisfactory to Purchaser Agent;</w:t>
      </w:r>
    </w:p>
    <w:p>
      <w:pPr>
        <w:spacing w:after="0" w:line="41" w:lineRule="exact"/>
        <w:rPr>
          <w:rFonts w:ascii="Times New Roman" w:cs="Times New Roman" w:eastAsia="Times New Roman" w:hAnsi="Times New Roman"/>
          <w:sz w:val="14"/>
          <w:szCs w:val="14"/>
          <w:b w:val="1"/>
          <w:bCs w:val="1"/>
          <w:color w:val="auto"/>
        </w:rPr>
      </w:pPr>
    </w:p>
    <w:p>
      <w:pPr>
        <w:ind w:left="220" w:right="499" w:firstLine="1116"/>
        <w:spacing w:after="0" w:line="282" w:lineRule="auto"/>
        <w:tabs>
          <w:tab w:leader="none" w:pos="1539"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duly executed legal opinion of Rutan &amp; Tucker, LLP, counsel to Issuer, dated as of the First Purchase Date and in form and substance satisfactory to Purchaser Agent;</w:t>
      </w:r>
    </w:p>
    <w:p>
      <w:pPr>
        <w:spacing w:after="0" w:line="41" w:lineRule="exact"/>
        <w:rPr>
          <w:rFonts w:ascii="Times New Roman" w:cs="Times New Roman" w:eastAsia="Times New Roman" w:hAnsi="Times New Roman"/>
          <w:sz w:val="14"/>
          <w:szCs w:val="14"/>
          <w:b w:val="1"/>
          <w:bCs w:val="1"/>
          <w:color w:val="auto"/>
        </w:rPr>
      </w:pPr>
    </w:p>
    <w:p>
      <w:pPr>
        <w:ind w:left="220" w:right="239" w:firstLine="1116"/>
        <w:spacing w:after="0" w:line="258" w:lineRule="auto"/>
        <w:tabs>
          <w:tab w:leader="none" w:pos="1539"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annual audited consolidated financial statements of Issuer for the fiscal year ended December 31, 2023, prepared in accordance with GAAP, consistently applied, together with a report and opinion on the financial statements and on internal controls and procedures from PwC (which report and opinion shall be prepared in accordance with GAAP and shall not be subject to any qualification, emphasis of matter or statement as to “going concern” or scope of audit, except for qualifications relating to changes in accounting principles or practices reflecting changes in GAAP and required or approved by PwC);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550" w:name="page551"/>
    <w:bookmarkEnd w:id="550"/>
    <w:p>
      <w:pPr>
        <w:ind w:left="220" w:right="399" w:firstLine="1116"/>
        <w:spacing w:after="0" w:line="282" w:lineRule="auto"/>
        <w:tabs>
          <w:tab w:leader="none" w:pos="1523" w:val="left"/>
        </w:tabs>
        <w:numPr>
          <w:ilvl w:val="0"/>
          <w:numId w:val="3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Purchaser Agent shall have received bank statements containing substantially current information as of the First Purchase Date with respect to each deposit account and securities account of Issuer; and</w:t>
      </w:r>
    </w:p>
    <w:p>
      <w:pPr>
        <w:spacing w:after="0" w:line="41"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other documents, and completion of such other matters, as the Purchasers may reasonably deem necessary or appropriate.</w:t>
      </w:r>
    </w:p>
    <w:p>
      <w:pPr>
        <w:spacing w:after="0" w:line="89" w:lineRule="exact"/>
        <w:rPr>
          <w:sz w:val="20"/>
          <w:szCs w:val="20"/>
          <w:color w:val="auto"/>
        </w:rPr>
      </w:pPr>
    </w:p>
    <w:p>
      <w:pPr>
        <w:ind w:left="220" w:right="29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3.2 Conditions Precedent to the Second Purchase Date</w:t>
      </w:r>
      <w:r>
        <w:rPr>
          <w:rFonts w:ascii="Times New Roman" w:cs="Times New Roman" w:eastAsia="Times New Roman" w:hAnsi="Times New Roman"/>
          <w:sz w:val="14"/>
          <w:szCs w:val="14"/>
          <w:color w:val="auto"/>
        </w:rPr>
        <w:t>. The obligation of each Purchaser to make the Second Purchase is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satisfaction of the following conditions precedent, the satisfaction or performance of which may be waived by the Required Purchasers in their sole discretion:</w:t>
      </w:r>
    </w:p>
    <w:p>
      <w:pPr>
        <w:spacing w:after="0" w:line="52" w:lineRule="exact"/>
        <w:rPr>
          <w:sz w:val="20"/>
          <w:szCs w:val="20"/>
          <w:color w:val="auto"/>
        </w:rPr>
      </w:pPr>
    </w:p>
    <w:p>
      <w:pPr>
        <w:ind w:left="1540" w:hanging="204"/>
        <w:spacing w:after="0"/>
        <w:tabs>
          <w:tab w:leader="none" w:pos="1540"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First Purchase shall have occurred;</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applicable Second Purchase Date shall occur on or prior to the applicable Commitment Termination Date;</w:t>
      </w:r>
    </w:p>
    <w:p>
      <w:pPr>
        <w:spacing w:after="0" w:line="90" w:lineRule="exact"/>
        <w:rPr>
          <w:rFonts w:ascii="Times New Roman" w:cs="Times New Roman" w:eastAsia="Times New Roman" w:hAnsi="Times New Roman"/>
          <w:sz w:val="14"/>
          <w:szCs w:val="14"/>
          <w:b w:val="1"/>
          <w:bCs w:val="1"/>
          <w:color w:val="auto"/>
        </w:rPr>
      </w:pPr>
    </w:p>
    <w:p>
      <w:pPr>
        <w:ind w:left="220" w:right="559" w:firstLine="1116"/>
        <w:spacing w:after="0" w:line="266" w:lineRule="auto"/>
        <w:tabs>
          <w:tab w:leader="none" w:pos="1523"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Issuer shall have achieved trailing six-month Net Revenue of at least $80,000,000 as of the last day of the most recent fiscal quarter for which financial statements were delivered pursuant to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determined by Purchaser Agent in its reasonable discretion with reference to such financial statements; and</w:t>
      </w:r>
    </w:p>
    <w:p>
      <w:pPr>
        <w:spacing w:after="0" w:line="52"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Issuer shall have satisfied all of the post-closing obligations set forth in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jc w:val="both"/>
        <w:ind w:left="220" w:right="5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3.3 Conditions Precedent to the Third Purchase Date</w:t>
      </w:r>
      <w:r>
        <w:rPr>
          <w:rFonts w:ascii="Times New Roman" w:cs="Times New Roman" w:eastAsia="Times New Roman" w:hAnsi="Times New Roman"/>
          <w:sz w:val="14"/>
          <w:szCs w:val="14"/>
          <w:color w:val="auto"/>
        </w:rPr>
        <w:t>. The obligation of each Purchaser to make a Third Purchase is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satisfaction of the following conditions precedent, the satisfaction or performance of which may be waived by the Required Purchasers in their sole discretion:</w:t>
      </w:r>
    </w:p>
    <w:p>
      <w:pPr>
        <w:spacing w:after="0" w:line="52" w:lineRule="exact"/>
        <w:rPr>
          <w:sz w:val="20"/>
          <w:szCs w:val="20"/>
          <w:color w:val="auto"/>
        </w:rPr>
      </w:pPr>
    </w:p>
    <w:p>
      <w:pPr>
        <w:ind w:left="1540" w:hanging="204"/>
        <w:spacing w:after="0"/>
        <w:tabs>
          <w:tab w:leader="none" w:pos="1540"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First Purchase shall have occurred;</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applicable Third Purchase Date shall occur on or prior to the applicable Commitment Termination Date;</w:t>
      </w:r>
    </w:p>
    <w:p>
      <w:pPr>
        <w:spacing w:after="0" w:line="90" w:lineRule="exact"/>
        <w:rPr>
          <w:rFonts w:ascii="Times New Roman" w:cs="Times New Roman" w:eastAsia="Times New Roman" w:hAnsi="Times New Roman"/>
          <w:sz w:val="14"/>
          <w:szCs w:val="14"/>
          <w:b w:val="1"/>
          <w:bCs w:val="1"/>
          <w:color w:val="auto"/>
        </w:rPr>
      </w:pPr>
    </w:p>
    <w:p>
      <w:pPr>
        <w:ind w:left="220" w:right="479" w:firstLine="1116"/>
        <w:spacing w:after="0" w:line="266" w:lineRule="auto"/>
        <w:tabs>
          <w:tab w:leader="none" w:pos="1523"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Issuer shall have achieved trailing six-month Net Revenue of at least $112,500,000 and trailing six-month Gross Margin of at least 45%, in each case as of the last day of the most recent fiscal quarter for which financial statements were delivered pursuant to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determined by Purchaser Agent in its reasonable discretion with reference to such financial statements; and</w:t>
      </w:r>
    </w:p>
    <w:p>
      <w:pPr>
        <w:spacing w:after="0" w:line="52"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Issuer shall have satisfied all of the post-closing obligations set forth in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20" w:right="49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3.4 Conditions Precedent to any Fourth Purchase Date</w:t>
      </w:r>
      <w:r>
        <w:rPr>
          <w:rFonts w:ascii="Times New Roman" w:cs="Times New Roman" w:eastAsia="Times New Roman" w:hAnsi="Times New Roman"/>
          <w:sz w:val="14"/>
          <w:szCs w:val="14"/>
          <w:color w:val="auto"/>
        </w:rPr>
        <w:t>. The Fourth Purchase is subject to the approval of each Purchaser in its sole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discretion, and each Fourth Purchase Date shall occur on or prior to the applicable Commitment Termination Date (or such later date as specified in writing by the Required Purchasers in their sole discretion). It is understood and agreed that the making of any Fourth Purchase shall be at each Purchaser’s sole discretion.</w:t>
      </w:r>
    </w:p>
    <w:p>
      <w:pPr>
        <w:spacing w:after="0" w:line="53" w:lineRule="exact"/>
        <w:rPr>
          <w:sz w:val="20"/>
          <w:szCs w:val="20"/>
          <w:color w:val="auto"/>
        </w:rPr>
      </w:pPr>
    </w:p>
    <w:p>
      <w:pPr>
        <w:ind w:left="220" w:right="5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3.5 Conditions Precedent to all Note Purchases</w:t>
      </w:r>
      <w:r>
        <w:rPr>
          <w:rFonts w:ascii="Times New Roman" w:cs="Times New Roman" w:eastAsia="Times New Roman" w:hAnsi="Times New Roman"/>
          <w:sz w:val="14"/>
          <w:szCs w:val="14"/>
          <w:color w:val="auto"/>
        </w:rPr>
        <w:t>. The obligation of each Purchaser to make any Purchase is subject to the following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precedent, the satisfaction or performance of which may be waived by the Required Purchasers in their sole discretion:</w:t>
      </w:r>
    </w:p>
    <w:p>
      <w:pPr>
        <w:spacing w:after="0" w:line="39" w:lineRule="exact"/>
        <w:rPr>
          <w:sz w:val="20"/>
          <w:szCs w:val="20"/>
          <w:color w:val="auto"/>
        </w:rPr>
      </w:pPr>
    </w:p>
    <w:p>
      <w:pPr>
        <w:ind w:left="220" w:right="879" w:firstLine="1116"/>
        <w:spacing w:after="0" w:line="282" w:lineRule="auto"/>
        <w:tabs>
          <w:tab w:leader="none" w:pos="1531" w:val="left"/>
        </w:tabs>
        <w:numPr>
          <w:ilvl w:val="0"/>
          <w:numId w:val="3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within the time period required by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such shorter period as agreed in writing by Purchaser Agent and the Purchasers), receipt by Purchaser Agent of an executed Purchase Notice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attached hereto;</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551" w:name="page552"/>
    <w:bookmarkEnd w:id="551"/>
    <w:p>
      <w:pPr>
        <w:ind w:left="220" w:right="379" w:firstLine="1116"/>
        <w:spacing w:after="0" w:line="261" w:lineRule="auto"/>
        <w:tabs>
          <w:tab w:leader="none" w:pos="1539"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representations and warranties in Article 5 hereof shall be true, accurate and complete in all material respects on the date of the Purchase Notice, and on the Purchase Date of each purchase of Notes; provided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55"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Default or Event of Default shall have occurred and be continuing or result from the purchase of Notes;</w:t>
      </w:r>
    </w:p>
    <w:p>
      <w:pPr>
        <w:spacing w:after="0" w:line="90" w:lineRule="exact"/>
        <w:rPr>
          <w:rFonts w:ascii="Times New Roman" w:cs="Times New Roman" w:eastAsia="Times New Roman" w:hAnsi="Times New Roman"/>
          <w:sz w:val="14"/>
          <w:szCs w:val="14"/>
          <w:b w:val="1"/>
          <w:bCs w:val="1"/>
          <w:color w:val="auto"/>
        </w:rPr>
      </w:pPr>
    </w:p>
    <w:p>
      <w:pPr>
        <w:ind w:left="220" w:right="399" w:firstLine="1116"/>
        <w:spacing w:after="0" w:line="282" w:lineRule="auto"/>
        <w:tabs>
          <w:tab w:leader="none" w:pos="1539"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Purchasers shall have received duly executed Notes, in number, form and content acceptable to each Purchaser, and in favor of each Purchaser with respect to the Notes purchased by such Purchaser in such Purchase;</w:t>
      </w:r>
    </w:p>
    <w:p>
      <w:pPr>
        <w:spacing w:after="0" w:line="41" w:lineRule="exact"/>
        <w:rPr>
          <w:rFonts w:ascii="Times New Roman" w:cs="Times New Roman" w:eastAsia="Times New Roman" w:hAnsi="Times New Roman"/>
          <w:sz w:val="14"/>
          <w:szCs w:val="14"/>
          <w:b w:val="1"/>
          <w:bCs w:val="1"/>
          <w:color w:val="auto"/>
        </w:rPr>
      </w:pPr>
    </w:p>
    <w:p>
      <w:pPr>
        <w:jc w:val="both"/>
        <w:ind w:left="220" w:right="519" w:firstLine="1116"/>
        <w:spacing w:after="0" w:line="266" w:lineRule="auto"/>
        <w:tabs>
          <w:tab w:leader="none" w:pos="1523"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Issuer shall have provided updates to the information in the Perfection Certificate since the Effective Date or the most recent update thereto and all financial statements, reports or notices required under the Note Documents prior to the applicable Purchase Date to the extent required under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and</w:t>
      </w:r>
    </w:p>
    <w:p>
      <w:pPr>
        <w:spacing w:after="0" w:line="52"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payment of Reimbursable Expenses then due as specified in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hereof.</w:t>
      </w:r>
    </w:p>
    <w:p>
      <w:pPr>
        <w:spacing w:after="0" w:line="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3.6 Post-Closing Items</w:t>
      </w:r>
      <w:r>
        <w:rPr>
          <w:rFonts w:ascii="Times New Roman" w:cs="Times New Roman" w:eastAsia="Times New Roman" w:hAnsi="Times New Roman"/>
          <w:sz w:val="14"/>
          <w:szCs w:val="14"/>
          <w:color w:val="auto"/>
        </w:rPr>
        <w:t>. Following the First Purchase Date, Issuer agrees to:</w:t>
      </w:r>
    </w:p>
    <w:p>
      <w:pPr>
        <w:spacing w:after="0" w:line="93" w:lineRule="exact"/>
        <w:rPr>
          <w:sz w:val="20"/>
          <w:szCs w:val="20"/>
          <w:color w:val="auto"/>
        </w:rPr>
      </w:pPr>
    </w:p>
    <w:p>
      <w:pPr>
        <w:ind w:left="220" w:right="379" w:firstLine="1116"/>
        <w:spacing w:after="0" w:line="261" w:lineRule="auto"/>
        <w:tabs>
          <w:tab w:leader="none" w:pos="1531"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Within 30 days of the Effective Date (or such later date acceptable to Purchaser Agent in its sole discretion), provide Purchaser Agent with a landlord’s consent in favor of Purchaser Agent for each of Issuer’s leased locations, by the respective landlord thereof, together with the duly executed signatures thereto, and a bailee waiver in favor of Purchaser Agent from each third party bailee, together with the duly executed signatures thereto, in each case, to the extent any Collateral at such location is valued in excess of $1,000,000 as of the Effective Date;</w:t>
      </w:r>
    </w:p>
    <w:p>
      <w:pPr>
        <w:spacing w:after="0" w:line="55" w:lineRule="exact"/>
        <w:rPr>
          <w:rFonts w:ascii="Times New Roman" w:cs="Times New Roman" w:eastAsia="Times New Roman" w:hAnsi="Times New Roman"/>
          <w:sz w:val="14"/>
          <w:szCs w:val="14"/>
          <w:b w:val="1"/>
          <w:bCs w:val="1"/>
          <w:color w:val="auto"/>
        </w:rPr>
      </w:pPr>
    </w:p>
    <w:p>
      <w:pPr>
        <w:ind w:left="220" w:right="359" w:firstLine="1116"/>
        <w:spacing w:after="0" w:line="266" w:lineRule="auto"/>
        <w:tabs>
          <w:tab w:leader="none" w:pos="1539"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Within 30 days of the Effective Date (or such later date acceptable to Purchaser Agent in its sole discretion), provide Purchaser Agent with an ACH authorization and Control Agreement in favor of Purchaser Agent for each of Issuer’s accounts (except for Excluded Accounts), including, for the avoidance of doubt, the Designated Deposit Account;</w:t>
      </w:r>
    </w:p>
    <w:p>
      <w:pPr>
        <w:spacing w:after="0" w:line="52" w:lineRule="exact"/>
        <w:rPr>
          <w:rFonts w:ascii="Times New Roman" w:cs="Times New Roman" w:eastAsia="Times New Roman" w:hAnsi="Times New Roman"/>
          <w:sz w:val="14"/>
          <w:szCs w:val="14"/>
          <w:b w:val="1"/>
          <w:bCs w:val="1"/>
          <w:color w:val="auto"/>
        </w:rPr>
      </w:pPr>
    </w:p>
    <w:p>
      <w:pPr>
        <w:jc w:val="both"/>
        <w:ind w:left="220" w:right="379" w:firstLine="1116"/>
        <w:spacing w:after="0" w:line="266" w:lineRule="auto"/>
        <w:tabs>
          <w:tab w:leader="none" w:pos="1523"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Within 30 days of the Effective Date (or such later date acceptable to Purchaser Agent in its sole discretion), provide Purchaser Agent with evidence satisfactory to Purchasers that the insurance policies and endorsements required by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hereof are in full force and effect; and</w:t>
      </w:r>
    </w:p>
    <w:p>
      <w:pPr>
        <w:spacing w:after="0" w:line="52" w:lineRule="exact"/>
        <w:rPr>
          <w:rFonts w:ascii="Times New Roman" w:cs="Times New Roman" w:eastAsia="Times New Roman" w:hAnsi="Times New Roman"/>
          <w:sz w:val="14"/>
          <w:szCs w:val="14"/>
          <w:b w:val="1"/>
          <w:bCs w:val="1"/>
          <w:color w:val="auto"/>
        </w:rPr>
      </w:pPr>
    </w:p>
    <w:p>
      <w:pPr>
        <w:ind w:left="220" w:right="239" w:firstLine="1116"/>
        <w:spacing w:after="0" w:line="266" w:lineRule="auto"/>
        <w:tabs>
          <w:tab w:leader="none" w:pos="1539"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Within 10 Business Days of the Effective Date (or such later date acceptable to Purchaser Agent in its sole discretion), deliver, or cause to be delivered, signed letters in form and substance satisfactory to the Purchaser Agent to each depositary bank of Issuer, with respect to which a control agreement exists in favor of Western Alliance Bank in respect of the Existing Indebtedness, terminating such control agreements.</w:t>
      </w:r>
    </w:p>
    <w:p>
      <w:pPr>
        <w:spacing w:after="0" w:line="50" w:lineRule="exact"/>
        <w:rPr>
          <w:sz w:val="20"/>
          <w:szCs w:val="20"/>
          <w:color w:val="auto"/>
        </w:rPr>
      </w:pPr>
    </w:p>
    <w:p>
      <w:pPr>
        <w:ind w:left="220" w:right="27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3.7 Covenant to Deliver</w:t>
      </w:r>
      <w:r>
        <w:rPr>
          <w:rFonts w:ascii="Times New Roman" w:cs="Times New Roman" w:eastAsia="Times New Roman" w:hAnsi="Times New Roman"/>
          <w:sz w:val="14"/>
          <w:szCs w:val="14"/>
          <w:color w:val="auto"/>
        </w:rPr>
        <w:t>. Issuer agrees to promptly deliver to Purchaser Agent and the Purchasers each item required to be delivered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Purchaser Agent under this Agreement as a condition precedent to any purchase of Notes. Issuer expressly agrees that a purchase of Notes made prior to the receipt by Purchaser Agent or any Purchaser of any such item shall not constitute a waiver by Purchaser Agent or any Purchaser of Issuer’s obligation to deliver such item, and any such purchase of Notes in the absence of a required item shall be made in each Purchaser’s sole discretion.</w:t>
      </w:r>
    </w:p>
    <w:p>
      <w:pPr>
        <w:spacing w:after="0" w:line="53" w:lineRule="exact"/>
        <w:rPr>
          <w:sz w:val="20"/>
          <w:szCs w:val="20"/>
          <w:color w:val="auto"/>
        </w:rPr>
      </w:pPr>
    </w:p>
    <w:p>
      <w:pPr>
        <w:ind w:left="220" w:right="25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3.8 Procedures for Issuance and Purchase</w:t>
      </w:r>
      <w:r>
        <w:rPr>
          <w:rFonts w:ascii="Times New Roman" w:cs="Times New Roman" w:eastAsia="Times New Roman" w:hAnsi="Times New Roman"/>
          <w:sz w:val="14"/>
          <w:szCs w:val="14"/>
          <w:color w:val="auto"/>
        </w:rPr>
        <w:t>. Subject to the prior satisfaction of all other applicable conditions to the purchase of Notes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forth in this Agreement, to issue Notes, with respect to each Purchase, Issuer shall notify the Purchasers (which notice shall be irrevocable) by electronic mail or telephone by 2:00 pm Eastern time fifteen (15) Business Days (or such shorter periods as agreed in writing by Purchaser Agent and the Purchasers) prior to the date the Notes are to be issued;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Purchaser Agent and the Purchaser may waive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552" w:name="page553"/>
    <w:bookmarkEnd w:id="552"/>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such notice requirement and specify a Purchase Date, notwithstanding the absence of any such notice, in their sole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with respect to the First Purchase, one (1) Business Day’s advance notice shall suffice. Together with any such electronic or telephonic notification, Issuer shall deliver to the Purchasers by electronic mail a completed Purchase Notice executed by a Responsible Officer of Issuer or his or her designee. The Purchasers may rely on any telephone notice given by a person whom a Purchaser reasonably believes is a Responsible Officer of Issuer or designee thereof. On each Purchase Date, each Purchaser shall credit and/or transfer (as applicable) to the Designated Deposit Account, an amount equal to the purchase price of the Notes purchased by such Purchaser on such Purchase Date.</w:t>
      </w:r>
    </w:p>
    <w:p>
      <w:pPr>
        <w:spacing w:after="0" w:line="59" w:lineRule="exact"/>
        <w:rPr>
          <w:sz w:val="20"/>
          <w:szCs w:val="20"/>
          <w:color w:val="auto"/>
        </w:rPr>
      </w:pPr>
    </w:p>
    <w:p>
      <w:pPr>
        <w:ind w:left="700" w:hanging="135"/>
        <w:spacing w:after="0"/>
        <w:tabs>
          <w:tab w:leader="none" w:pos="700" w:val="left"/>
        </w:tabs>
        <w:numPr>
          <w:ilvl w:val="0"/>
          <w:numId w:val="3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REATION OF</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ECURITY</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NTEREST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1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4.1 Grant of Security Interest</w:t>
      </w:r>
      <w:r>
        <w:rPr>
          <w:rFonts w:ascii="Times New Roman" w:cs="Times New Roman" w:eastAsia="Times New Roman" w:hAnsi="Times New Roman"/>
          <w:sz w:val="14"/>
          <w:szCs w:val="14"/>
          <w:color w:val="auto"/>
        </w:rPr>
        <w:t>. Each Obligor grants and pledges to Purchaser Agent, for the benefit of the Secured Parties, a continuing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security interest in all presently existing and hereafter acquired or arising Collateral in order to secure prompt repayment of any and all Obligations and in order to secure prompt performance by the Obligors of each of their covenants and duties under the Note Documents. Upon the taking of the actions contemplated by </w:t>
      </w:r>
      <w:r>
        <w:rPr>
          <w:rFonts w:ascii="Times New Roman" w:cs="Times New Roman" w:eastAsia="Times New Roman" w:hAnsi="Times New Roman"/>
          <w:sz w:val="14"/>
          <w:szCs w:val="14"/>
          <w:u w:val="single" w:color="auto"/>
          <w:color w:val="auto"/>
        </w:rPr>
        <w:t>Schedule 4.1</w:t>
      </w:r>
      <w:r>
        <w:rPr>
          <w:rFonts w:ascii="Times New Roman" w:cs="Times New Roman" w:eastAsia="Times New Roman" w:hAnsi="Times New Roman"/>
          <w:sz w:val="14"/>
          <w:szCs w:val="14"/>
          <w:color w:val="auto"/>
        </w:rPr>
        <w:t xml:space="preserve"> (as updated from time to time after the First Purchase Date in respect of assets acquired or Obligors acquired or formed after the First Purchase Date), such security interest constitutes a valid, first priority security interest in the presently existing Collateral, and will constitute a valid, first priority security interest in Collateral acquired after the date hereof. If any Obligor shall acquire a Commercial Tort Claim (as defined in the UCC) asserting damages in excess of $500,000, such Obligor shall promptly notify Purchaser Agent in a writing signed by Issuer, as the case may be, of the general details thereof (and further details as may be required by Purchaser Agent) and grant to Purchaser Agent, for the benefit of the Secured Parties, in such writing a security interest therein and in the proceeds thereof, all upon the terms of this Agreement, with such writing to be in form and substance reasonably satisfactory to Purchaser Agent.</w:t>
      </w:r>
    </w:p>
    <w:p>
      <w:pPr>
        <w:spacing w:after="0" w:line="59" w:lineRule="exact"/>
        <w:rPr>
          <w:sz w:val="20"/>
          <w:szCs w:val="20"/>
          <w:color w:val="auto"/>
        </w:rPr>
      </w:pPr>
    </w:p>
    <w:p>
      <w:pPr>
        <w:ind w:left="220" w:right="25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4.2 Pledge of Collateral</w:t>
      </w:r>
      <w:r>
        <w:rPr>
          <w:rFonts w:ascii="Times New Roman" w:cs="Times New Roman" w:eastAsia="Times New Roman" w:hAnsi="Times New Roman"/>
          <w:sz w:val="14"/>
          <w:szCs w:val="14"/>
          <w:color w:val="auto"/>
        </w:rPr>
        <w:t>. Each Obligor hereby pledges, assigns and grants to Purchaser Agent, for the benefit of the Secured Parties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First Purchase Date, or, to the extent not certificated as of the First Purchase Date, within ten (10) days of the certification of any Shares, the certificate or certificates for the Shares will be delivered to Purchaser Agent, accompanied by an instrument of assignment duly governing the Shares. The Obligors shall cause the books of each entity whose Shares are part of the Collateral and any transfer agent to reflect the pledge of the Shares. Upon the occurrence and during the continuance of an Event of Default hereunder, Purchaser Agent may effect the transfer of any securities included in the Collateral (including but not limited to the Shares) into the name of Purchaser Agent and cause new certificates representing such securities to be issued in the name of Purchaser Agent or its transferee. Unless an Event of Default shall have occurred and be continuing, the Obligors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60" w:lineRule="exact"/>
        <w:rPr>
          <w:sz w:val="20"/>
          <w:szCs w:val="20"/>
          <w:color w:val="auto"/>
        </w:rPr>
      </w:pPr>
    </w:p>
    <w:p>
      <w:pPr>
        <w:ind w:left="220" w:right="29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4.3 Delivery of Additional Documentation Required</w:t>
      </w:r>
      <w:r>
        <w:rPr>
          <w:rFonts w:ascii="Times New Roman" w:cs="Times New Roman" w:eastAsia="Times New Roman" w:hAnsi="Times New Roman"/>
          <w:sz w:val="14"/>
          <w:szCs w:val="14"/>
          <w:color w:val="auto"/>
        </w:rPr>
        <w:t>. Each Obligor shall from time to time execute and deliver to Purchaser Agent,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request of Purchaser Agent or the Purchasers, all Negotiable Collateral, all financing statements and other documents that Purchaser Agent or the Purchasers may reasonably request, in form satisfactory to Purchaser Agent or the Purchasers, to perfect and continue the perfection of Secured Parties’ security interests in the Collateral and in order to fully consummate all of the transactions contemplated under the Note Documents.</w:t>
      </w:r>
    </w:p>
    <w:p>
      <w:pPr>
        <w:spacing w:after="0" w:line="53" w:lineRule="exact"/>
        <w:rPr>
          <w:sz w:val="20"/>
          <w:szCs w:val="20"/>
          <w:color w:val="auto"/>
        </w:rPr>
      </w:pPr>
    </w:p>
    <w:p>
      <w:pPr>
        <w:ind w:left="220" w:right="25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4.4 Authorization to File Financing Statements</w:t>
      </w:r>
      <w:r>
        <w:rPr>
          <w:rFonts w:ascii="Times New Roman" w:cs="Times New Roman" w:eastAsia="Times New Roman" w:hAnsi="Times New Roman"/>
          <w:sz w:val="14"/>
          <w:szCs w:val="14"/>
          <w:color w:val="auto"/>
        </w:rPr>
        <w:t>. Each Obligor hereby authorizes Purchaser Agent, at Issuer’s or such Obligor’s sole cost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expense, to file financing statements, make any registration or take any other action, without notice to such Obligor, with all appropriate jurisdictions (as determined by Purchaser Agent) to perfect or protect Purchaser Agent’s interest or rights hereunder, including a notice that any disposition of the Collateral, by any Obligor or any other Person, shall be deemed to violate the rights of the Secured Parties under the Code.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553" w:name="page554"/>
    <w:bookmarkEnd w:id="553"/>
    <w:p>
      <w:pPr>
        <w:ind w:left="220" w:right="31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4.5 Right to Inspect</w:t>
      </w:r>
      <w:r>
        <w:rPr>
          <w:rFonts w:ascii="Times New Roman" w:cs="Times New Roman" w:eastAsia="Times New Roman" w:hAnsi="Times New Roman"/>
          <w:sz w:val="14"/>
          <w:szCs w:val="14"/>
          <w:color w:val="auto"/>
        </w:rPr>
        <w:t>. Purchaser Agent and the Purchasers (through any of their officers, employees, or agents) shall have the right,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ten (10) Business Days’ prior written notice, from time to time during the Obligors’ usual business hours but no more than once a year (unless an Event of Default has occurred and is continuing), to inspect the Obligors’ Books and to make copies thereof and to check, test, and appraise the Collateral in order to verify the Obligors’ financial condition or the amount, condition of, or any other matter relating to, the Collateral;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Issuer shall be given the opportunity to be present during any such inspections.</w:t>
      </w:r>
    </w:p>
    <w:p>
      <w:pPr>
        <w:spacing w:after="0" w:line="55" w:lineRule="exact"/>
        <w:rPr>
          <w:sz w:val="20"/>
          <w:szCs w:val="20"/>
          <w:color w:val="auto"/>
        </w:rPr>
      </w:pPr>
    </w:p>
    <w:p>
      <w:pPr>
        <w:ind w:left="700" w:hanging="135"/>
        <w:spacing w:after="0"/>
        <w:tabs>
          <w:tab w:leader="none" w:pos="70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EPRESENTATIONS AND</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ARRANTIES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Each Obligor represents and warrants to Purchaser Agent and Purchasers as follows:</w:t>
      </w:r>
    </w:p>
    <w:p>
      <w:pPr>
        <w:spacing w:after="0" w:line="89" w:lineRule="exact"/>
        <w:rPr>
          <w:sz w:val="20"/>
          <w:szCs w:val="20"/>
          <w:color w:val="auto"/>
        </w:rPr>
      </w:pPr>
    </w:p>
    <w:p>
      <w:pPr>
        <w:ind w:left="220" w:right="27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5.1 Due Organization and Qualification</w:t>
      </w:r>
      <w:r>
        <w:rPr>
          <w:rFonts w:ascii="Times New Roman" w:cs="Times New Roman" w:eastAsia="Times New Roman" w:hAnsi="Times New Roman"/>
          <w:sz w:val="14"/>
          <w:szCs w:val="14"/>
          <w:color w:val="auto"/>
        </w:rPr>
        <w:t>. Issuer and each Subsidiary is a corporation or limited liability company, as applicable,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existing under the laws of its state or jurisdiction of incorporation or formation, as applicable, and is qualified and licensed to do business in: (a) its state or jurisdiction of incorporation or formation, and the state where its chief executive office is located, and (b) any other state or jurisdiction in which the conduct of its business or its ownership of property requires that it be so qualified, except, in the case of such other states and jurisdictions, where the failure to do so could not reasonably be expected to cause a Material Adverse Effect.</w:t>
      </w:r>
    </w:p>
    <w:p>
      <w:pPr>
        <w:spacing w:after="0" w:line="55" w:lineRule="exact"/>
        <w:rPr>
          <w:sz w:val="20"/>
          <w:szCs w:val="20"/>
          <w:color w:val="auto"/>
        </w:rPr>
      </w:pPr>
    </w:p>
    <w:p>
      <w:pPr>
        <w:ind w:left="220" w:right="23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5.2 Due Authorization; No Conflict; No Consents</w:t>
      </w:r>
      <w:r>
        <w:rPr>
          <w:rFonts w:ascii="Times New Roman" w:cs="Times New Roman" w:eastAsia="Times New Roman" w:hAnsi="Times New Roman"/>
          <w:sz w:val="14"/>
          <w:szCs w:val="14"/>
          <w:color w:val="auto"/>
        </w:rPr>
        <w:t>. The execution, delivery, and performance of the Note Documents are within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Obligor’s powers, have been duly authorized, and are not in conflict with nor constitute a breach of any provision contained in such Obligor’s Certificate of Incorporation, Bylaws and/or other applicable governing documents, nor will they constitute an event of default under any Material Contract, nor will they contravene, conflict with or violate, in any material respect, any applicable law, order, writ, judgment, injunction, decree, determination or award of any Governmental Authority by which such Obligor or any of its property or assets may be bound or affected. No consent, approval, order or authorization of, or registration, qualification, designation, declaration or filing with, any federal, state or local governmental authority on the part of the Obligors is required in connection with the consummation of the transactions contemplated by this Agreement, except such Governmental Approvals which have already been obtained and are in full force and effect and except for appropriate security interest filings to be made in any applicable jurisdiction). The Obligors are not in violation, default, conflict or breach in any material respect of any provision of its Certificate of Incorporation, Bylaws and/or other applicable governing documents, or in any material respect of any instrument, judgment, order, writ, decree, or contract to which it is a party or by which it is bound, or, to its knowledge, of any provision of any federal or state statute, rule or regulation applicable to the Issuer (including, without limitation, those related to export control).</w:t>
      </w:r>
    </w:p>
    <w:p>
      <w:pPr>
        <w:spacing w:after="0" w:line="62" w:lineRule="exact"/>
        <w:rPr>
          <w:sz w:val="20"/>
          <w:szCs w:val="20"/>
          <w:color w:val="auto"/>
        </w:rPr>
      </w:pPr>
    </w:p>
    <w:p>
      <w:pPr>
        <w:ind w:left="220" w:right="53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5.3 No Prior Encumbrances</w:t>
      </w:r>
      <w:r>
        <w:rPr>
          <w:rFonts w:ascii="Times New Roman" w:cs="Times New Roman" w:eastAsia="Times New Roman" w:hAnsi="Times New Roman"/>
          <w:sz w:val="14"/>
          <w:szCs w:val="14"/>
          <w:color w:val="auto"/>
        </w:rPr>
        <w:t>. Issuer and each of its Subsidiaries has good and marketable title to its property, free and clear of Liens,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for Permitted Liens.</w:t>
      </w:r>
    </w:p>
    <w:p>
      <w:pPr>
        <w:spacing w:after="0" w:line="37" w:lineRule="exact"/>
        <w:rPr>
          <w:sz w:val="20"/>
          <w:szCs w:val="20"/>
          <w:color w:val="auto"/>
        </w:rPr>
      </w:pPr>
    </w:p>
    <w:p>
      <w:pPr>
        <w:ind w:left="220" w:right="59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5.4 Merchantable Inventory</w:t>
      </w:r>
      <w:r>
        <w:rPr>
          <w:rFonts w:ascii="Times New Roman" w:cs="Times New Roman" w:eastAsia="Times New Roman" w:hAnsi="Times New Roman"/>
          <w:sz w:val="14"/>
          <w:szCs w:val="14"/>
          <w:color w:val="auto"/>
        </w:rPr>
        <w:t>. All Inventory is in all material respects of good and marketable quality, free from all material defects,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for Inventory for which adequate reserves have been made.</w:t>
      </w:r>
    </w:p>
    <w:p>
      <w:pPr>
        <w:spacing w:after="0" w:line="37" w:lineRule="exact"/>
        <w:rPr>
          <w:sz w:val="20"/>
          <w:szCs w:val="20"/>
          <w:color w:val="auto"/>
        </w:rPr>
      </w:pPr>
    </w:p>
    <w:p>
      <w:pPr>
        <w:ind w:left="220" w:right="23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5.5 Intellectual Property</w:t>
      </w:r>
      <w:r>
        <w:rPr>
          <w:rFonts w:ascii="Times New Roman" w:cs="Times New Roman" w:eastAsia="Times New Roman" w:hAnsi="Times New Roman"/>
          <w:sz w:val="14"/>
          <w:szCs w:val="14"/>
          <w:color w:val="auto"/>
        </w:rPr>
        <w:t>. To the Obligors’ knowledge, the Obligors have sufficient rights to use all Intellectual Property necessary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their business as now conducted, without any violation or infringement of the rights of others, except for such items as have yet to be conceived or developed or that are expected to be available for licensing on reasonable terms from third parties, which may include present and former employees and consultants, or academic or medical institutions with which any of them may be affiliated now or may have been affiliated with in the past. </w:t>
      </w:r>
      <w:r>
        <w:rPr>
          <w:rFonts w:ascii="Times New Roman" w:cs="Times New Roman" w:eastAsia="Times New Roman" w:hAnsi="Times New Roman"/>
          <w:sz w:val="14"/>
          <w:szCs w:val="14"/>
          <w:u w:val="single" w:color="auto"/>
          <w:color w:val="auto"/>
        </w:rPr>
        <w:t>Schedule 5.5</w:t>
      </w:r>
      <w:r>
        <w:rPr>
          <w:rFonts w:ascii="Times New Roman" w:cs="Times New Roman" w:eastAsia="Times New Roman" w:hAnsi="Times New Roman"/>
          <w:sz w:val="14"/>
          <w:szCs w:val="14"/>
          <w:color w:val="auto"/>
        </w:rPr>
        <w:t xml:space="preserve"> (as updated by the Obligors from time to time after the Effective Date by written notice to Purchaser Agent) contains a complete list of applications and registrations for Intellectual Property owned by, or exclusively licensed to, Issuer or any Subsidiary. Except as set forth in </w:t>
      </w:r>
      <w:r>
        <w:rPr>
          <w:rFonts w:ascii="Times New Roman" w:cs="Times New Roman" w:eastAsia="Times New Roman" w:hAnsi="Times New Roman"/>
          <w:sz w:val="14"/>
          <w:szCs w:val="14"/>
          <w:u w:val="single" w:color="auto"/>
          <w:color w:val="auto"/>
        </w:rPr>
        <w:t>Schedule 5.5</w:t>
      </w:r>
      <w:r>
        <w:rPr>
          <w:rFonts w:ascii="Times New Roman" w:cs="Times New Roman" w:eastAsia="Times New Roman" w:hAnsi="Times New Roman"/>
          <w:sz w:val="14"/>
          <w:szCs w:val="14"/>
          <w:color w:val="auto"/>
        </w:rPr>
        <w:t xml:space="preserve"> (as delivered to Purchaser Agent on the Effective Date), there are no outstanding options, licenses, agreements, claims, encumbrances or shared ownership of interests of any kind relating to Intellectual Property of Issuer or any Subsidiary, nor is the Issuer or any Subsidiary bound by or a party to any options, licenses or agreements of any kind with respect to the Intellectual Property of any other person or entity, except, in either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554" w:name="page555"/>
    <w:bookmarkEnd w:id="554"/>
    <w:p>
      <w:pPr>
        <w:ind w:left="220" w:right="2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case, for agreements referenced in </w:t>
      </w:r>
      <w:r>
        <w:rPr>
          <w:rFonts w:ascii="Times New Roman" w:cs="Times New Roman" w:eastAsia="Times New Roman" w:hAnsi="Times New Roman"/>
          <w:sz w:val="14"/>
          <w:szCs w:val="14"/>
          <w:u w:val="single" w:color="auto"/>
          <w:color w:val="auto"/>
        </w:rPr>
        <w:t>Section 7.1(ii)</w:t>
      </w:r>
      <w:r>
        <w:rPr>
          <w:rFonts w:ascii="Times New Roman" w:cs="Times New Roman" w:eastAsia="Times New Roman" w:hAnsi="Times New Roman"/>
          <w:sz w:val="14"/>
          <w:szCs w:val="14"/>
          <w:color w:val="auto"/>
        </w:rPr>
        <w:t>. Neither Issuer nor any Subsidiary has received any communications alleging that Issuer or such Subsidiary has violated or would violate any of the Intellectual Property rights of any other person or entity. Neither Issuer nor any Subsidiary is aware that any of its employees or consultants is obligated under any contract (including licenses, covenants or commitments of any nature) or other agreement, or subject to any judgment, decree or order of any court or administrative agency, that would interfere with the use of his or her commercially reasonable efforts to promote the interests of Issuer or such Subsidiary or that would conflict with Issuer’s or such Subsidiary’s business as presently conducted. Neither the execution nor delivery of this Agreement, nor the carrying on of the Obligors’ business by their employees, will, to the knowledge of the Obligors, conflict with or result in a breach of the terms, conditions or provisions of, or constitute a default under, any contract, covenant or instrument with a former employer of such employee, or academic or medical institutions with which any of them may be affiliated now or may have been affiliated with in the past, under which any of such employees is now obligated. Each employee and consultant has assigned to an Obligor all intellectual property rights he or she owns that are related to the Obligors’ business as now conducted and all intellectual property rights that he, she or it solely or jointly conceived, reduced to practice, developed or made during the period of his, her or its employment or consulting relationship with such Obligor or any Subsidiary that (i) relate, at the time of conception, reduction to practice, development, or making of such intellectual property right, to the Obligors’ business as then conducted, (ii) were developed on any amount of the Obligors’ of any Subsidiary’s time or with the use of any of the Obligors’ or any Subsidiary’s equipment, supplies, facilities or information, or (iii) resulted from the performance of services for any Obligor or Subsidiary. The Obligors do not believe it is or will be necessary to utilize any inventions of any of its employees (or people it currently intends to hire) made prior to or outside the scope of their employment by any Obligor or Subsidiary that have not been fully assigned to an Obligor prior to the date hereof. To the extent any Obligor or Subsidiary uses any “open source” or “copyleft” software in its products or services with respect to any components in its products or services (each, an “</w:t>
      </w:r>
      <w:r>
        <w:rPr>
          <w:rFonts w:ascii="Times New Roman" w:cs="Times New Roman" w:eastAsia="Times New Roman" w:hAnsi="Times New Roman"/>
          <w:sz w:val="14"/>
          <w:szCs w:val="14"/>
          <w:b w:val="1"/>
          <w:bCs w:val="1"/>
          <w:color w:val="auto"/>
        </w:rPr>
        <w:t>Open Source License</w:t>
      </w:r>
      <w:r>
        <w:rPr>
          <w:rFonts w:ascii="Times New Roman" w:cs="Times New Roman" w:eastAsia="Times New Roman" w:hAnsi="Times New Roman"/>
          <w:sz w:val="14"/>
          <w:szCs w:val="14"/>
          <w:color w:val="auto"/>
        </w:rPr>
        <w:t xml:space="preserve">”), such Obligor or Subsidiary is in substantial compliance with the material terms of any such licenses, and such Obligor or Subsidiary is not required under any such Open Source License to (a) make or permit any disclosure or to make available any source code for its (or any of its licensors’) proprietary software or (b) distribute or make available any of the Obligors’ or any Subsidiary’s proprietary software or intellectual property (or to permit any such distribution or availability). For purposes of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the Obligors shall be deemed to have knowledge of a patent right if Issuer or any Subsidiary has actual knowledge of the patent right or would be found to be on notice of such patent right as determined by reference to United States patent laws. No government funding, facilities of a university, college, other educational institution or research center, or funding from third parties was used in the development of any Intellectual Property owned by any Obligor or Subsidiary. No person who was involved in, or who contributed to, the creation or development of any Intellectual Property owned by any Obligor or Subsidiary, has performed services for the government, university, college, or other educational institution or research center in a manner that would affect any Obligor’s or Subsidiary’s rights in such Intellectual Property.</w:t>
      </w:r>
    </w:p>
    <w:p>
      <w:pPr>
        <w:spacing w:after="0" w:line="69" w:lineRule="exact"/>
        <w:rPr>
          <w:sz w:val="20"/>
          <w:szCs w:val="20"/>
          <w:color w:val="auto"/>
        </w:rPr>
      </w:pPr>
    </w:p>
    <w:p>
      <w:pPr>
        <w:ind w:left="220" w:right="43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5.6 Name; Location of Chief Executive Office</w:t>
      </w:r>
      <w:r>
        <w:rPr>
          <w:rFonts w:ascii="Times New Roman" w:cs="Times New Roman" w:eastAsia="Times New Roman" w:hAnsi="Times New Roman"/>
          <w:sz w:val="14"/>
          <w:szCs w:val="14"/>
          <w:color w:val="auto"/>
        </w:rPr>
        <w:t>. Except as disclosed in the most recent Perfection Certificate delivered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Issuer has not done business under any name other than that specified on the signature page hereof. The chief executive office of each Obligor is located at the address indicated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hereof, unless previously disclosed to Purchaser Agent in writing. Except as disclosed in the most recent Perfection Certificate delivered pursuant to this Agreement, all the Obligors’ Inventory and Equipment is located only at the location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hereof.</w:t>
      </w:r>
    </w:p>
    <w:p>
      <w:pPr>
        <w:spacing w:after="0" w:line="55" w:lineRule="exact"/>
        <w:rPr>
          <w:sz w:val="20"/>
          <w:szCs w:val="20"/>
          <w:color w:val="auto"/>
        </w:rPr>
      </w:pPr>
    </w:p>
    <w:p>
      <w:pPr>
        <w:ind w:left="220" w:right="4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5.7 Litigation</w:t>
      </w:r>
      <w:r>
        <w:rPr>
          <w:rFonts w:ascii="Times New Roman" w:cs="Times New Roman" w:eastAsia="Times New Roman" w:hAnsi="Times New Roman"/>
          <w:sz w:val="14"/>
          <w:szCs w:val="14"/>
          <w:color w:val="auto"/>
        </w:rPr>
        <w:t>. Except as set forth in the most recent Perfection Certificate delivered pursuant to this Agreement, there are no actions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proceedings pending by or against Issuer or any Subsidiary before any court or administrative agency in which an adverse decision could have a Material Adverse Effect, or a material adverse effect on Issuer’s interest or the Secured Parties’ security interest in the Collateral.</w:t>
      </w:r>
    </w:p>
    <w:p>
      <w:pPr>
        <w:spacing w:after="0" w:line="50" w:lineRule="exact"/>
        <w:rPr>
          <w:sz w:val="20"/>
          <w:szCs w:val="20"/>
          <w:color w:val="auto"/>
        </w:rPr>
      </w:pPr>
    </w:p>
    <w:p>
      <w:pPr>
        <w:ind w:left="220" w:right="25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5.8 No Material Adverse Change in Financial Statements</w:t>
      </w:r>
      <w:r>
        <w:rPr>
          <w:rFonts w:ascii="Times New Roman" w:cs="Times New Roman" w:eastAsia="Times New Roman" w:hAnsi="Times New Roman"/>
          <w:sz w:val="14"/>
          <w:szCs w:val="14"/>
          <w:color w:val="auto"/>
        </w:rPr>
        <w:t>. All consolidated and consolidating financial statements related to Issuer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Subsidiary that the Purchasers have received from Issuer or any Subsidiary fairly present in all material respects Issuer’s and its Subsidiaries’ financial condition as of the date thereof and Issuer’s and its Subsidiaries’ consolidated and consolidating results of operations for the period then ended. There has not been a material adverse change in the consolidated financial condition of Issuer and its Subsidiaries since the date of the most recent of such financial statements submitted to Purchaser Agent.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555" w:name="page556"/>
    <w:bookmarkEnd w:id="555"/>
    <w:p>
      <w:pPr>
        <w:ind w:left="10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5.9 Solvency, Payment of Debts</w:t>
      </w:r>
      <w:r>
        <w:rPr>
          <w:rFonts w:ascii="Times New Roman" w:cs="Times New Roman" w:eastAsia="Times New Roman" w:hAnsi="Times New Roman"/>
          <w:sz w:val="14"/>
          <w:szCs w:val="14"/>
          <w:color w:val="auto"/>
        </w:rPr>
        <w:t>. Issuer and its Subsidiaries are solvent and able to pay their debts (including trade debts) as they mature.</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5.10 Regulatory Compliance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39" w:firstLine="1116"/>
        <w:spacing w:after="0" w:line="252" w:lineRule="auto"/>
        <w:tabs>
          <w:tab w:leader="none" w:pos="1531" w:val="left"/>
        </w:tabs>
        <w:numPr>
          <w:ilvl w:val="0"/>
          <w:numId w:val="3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Issuer and each of its Subsidiaries is, and for the past six (6) years has been, operated in compliance in all material respects with all applicable laws, including but not limited to the federal Anti-Kickback Statute (42 U.S.C. § 1320a-7b and the regulations promulgated thereunder) and applicable state fraud and abuse laws, the Eliminating Kickbacks in Recovery Act, the Food Drug and Cosmetic Act (21 U.S.C. §§ 301 et seq. and regulations promulgated thereunder), the Public Health Service Act including the Clinical Laboratory Improvement Amendments 421 U.S.C. §§ 201 et seq. and regulations promulgated thereunder) and other applicable federal and state laws and regulations regulating clinical laboratories and products used therein, the Federal False Claims Act, laws related to the Medicare and Medicaid programs (including Titles XVIII and XIX of the Social Security Act), the Federal Civil Monetary Penalties Law (42 U.S.C. § 1320a-7a), the Federal Program Fraud Civil Remedies Act (31 U.S.C. § 3801 et seq.), the federal Exclusion Laws (42 U.S.C. § 1320a-7), the Federal Health Care Fraud Law (18 U.S.C. § 1347), the federal Physician Self-Referral Law ((42 U.S.C. § 1395nn) and all applicable state laws and regulations governing substantially the same conduct and all applicable state laws and regulations governing laboratory operations and the processing, storing, and transmitting of genetic information (collectively, “</w:t>
      </w:r>
      <w:r>
        <w:rPr>
          <w:rFonts w:ascii="Times New Roman" w:cs="Times New Roman" w:eastAsia="Times New Roman" w:hAnsi="Times New Roman"/>
          <w:sz w:val="14"/>
          <w:szCs w:val="14"/>
          <w:b w:val="1"/>
          <w:bCs w:val="1"/>
          <w:color w:val="auto"/>
        </w:rPr>
        <w:t>Health Care Laws</w:t>
      </w:r>
      <w:r>
        <w:rPr>
          <w:rFonts w:ascii="Times New Roman" w:cs="Times New Roman" w:eastAsia="Times New Roman" w:hAnsi="Times New Roman"/>
          <w:sz w:val="14"/>
          <w:szCs w:val="14"/>
          <w:color w:val="auto"/>
        </w:rPr>
        <w:t>”). Neither Issuer nor any of its Subsidiaries is currently, or has in the past six (6) years been, in violation in any material respect of any law, regulation, policy or guidance issued by any Governmental Authority. Neither Issuer nor any Subsidiary has received within the past six (6) years written or, to the knowledge of Issuer and its Subsidiaries, oral, notice, including notification of any pending or threatened claim, suit, proceeding, hearing, enforcement, audit, investigation, or other action, from any Governmental Authority, including but not limited to the FDA, the Centers for Medicare &amp; Medicaid Services, the HHS Office of Inspector General (“</w:t>
      </w:r>
      <w:r>
        <w:rPr>
          <w:rFonts w:ascii="Times New Roman" w:cs="Times New Roman" w:eastAsia="Times New Roman" w:hAnsi="Times New Roman"/>
          <w:sz w:val="14"/>
          <w:szCs w:val="14"/>
          <w:b w:val="1"/>
          <w:bCs w:val="1"/>
          <w:color w:val="auto"/>
        </w:rPr>
        <w:t>OIG</w:t>
      </w:r>
      <w:r>
        <w:rPr>
          <w:rFonts w:ascii="Times New Roman" w:cs="Times New Roman" w:eastAsia="Times New Roman" w:hAnsi="Times New Roman"/>
          <w:sz w:val="14"/>
          <w:szCs w:val="14"/>
          <w:color w:val="auto"/>
        </w:rPr>
        <w:t>”), or the DOJ, of noncompliance by, or liability of, Issuer or any Subsidiary or any person acting on behalf of Issuer or any Subsidiary. Issuer and its Subsidiaries have established, and maintain, a corporate compliance program consistent with the OIG model compliance plan for clinician laboratories that addresses applicable laws to which Issuer’s or such Subsidiary’s business, operations and activities are subject. Neither Issuer nor any Subsidiary has made any voluntary or involuntary self-disclosure to any Governmental Authority or representative thereof regarding any potential noncompliance with law applicable to Issuer’s or such Subsidiary’s business, operations, or activities.</w:t>
      </w:r>
    </w:p>
    <w:p>
      <w:pPr>
        <w:spacing w:after="0" w:line="62" w:lineRule="exact"/>
        <w:rPr>
          <w:rFonts w:ascii="Times New Roman" w:cs="Times New Roman" w:eastAsia="Times New Roman" w:hAnsi="Times New Roman"/>
          <w:sz w:val="14"/>
          <w:szCs w:val="14"/>
          <w:b w:val="1"/>
          <w:bCs w:val="1"/>
          <w:color w:val="auto"/>
        </w:rPr>
      </w:pPr>
    </w:p>
    <w:p>
      <w:pPr>
        <w:ind w:left="220" w:right="299" w:firstLine="1116"/>
        <w:spacing w:after="0" w:line="256" w:lineRule="auto"/>
        <w:tabs>
          <w:tab w:leader="none" w:pos="1539" w:val="left"/>
        </w:tabs>
        <w:numPr>
          <w:ilvl w:val="0"/>
          <w:numId w:val="3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past six (6) years, all of the products or services of Issuer and its Subsidiaries have been and are being manufactured, processed, developed, packaged, labeled, promoted, marketed, sold, stored, tested, distributed, imported, exported, and provided in material compliance with all applicable Health Care Laws, as well requirements under all applicable laws regarding non-clinical testing, clinical research, establishment registration, drug and device listing, good manufacturing practices, record-keeping, adverse event reporting, and reporting of corrections and removals (collectively, “Product Regulatory Laws”), and Issuer and each Subsidiary is and has been in material compliance with all Health Care Laws and Product Regulatory Laws to the extent applicable.</w:t>
      </w:r>
    </w:p>
    <w:p>
      <w:pPr>
        <w:spacing w:after="0" w:line="60" w:lineRule="exact"/>
        <w:rPr>
          <w:rFonts w:ascii="Times New Roman" w:cs="Times New Roman" w:eastAsia="Times New Roman" w:hAnsi="Times New Roman"/>
          <w:sz w:val="14"/>
          <w:szCs w:val="14"/>
          <w:b w:val="1"/>
          <w:bCs w:val="1"/>
          <w:color w:val="auto"/>
        </w:rPr>
      </w:pPr>
    </w:p>
    <w:p>
      <w:pPr>
        <w:ind w:left="220" w:right="279" w:firstLine="1116"/>
        <w:spacing w:after="0" w:line="254" w:lineRule="auto"/>
        <w:tabs>
          <w:tab w:leader="none" w:pos="1523" w:val="left"/>
        </w:tabs>
        <w:numPr>
          <w:ilvl w:val="0"/>
          <w:numId w:val="3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past six (6) years, neither Issuer, any Subsidiary, any of their respective officers, directors, managers, members, employees or, to the knowledge of Issuer and its Subsidiaries, independent contractors, (i) has been convicted of, charged with or investigated for a U.S. government or state health program, including Medicaid (“Federal Healthcare Program”) related offense, or convicted of, charged with or investigated for a violation of law related to fraud, abuse, theft, embezzlement, breach of fiduciary responsibility, financial misconduct, or obstruction of an investigation; (ii) has been debarred, excluded or suspended from participation in any Federal Healthcare Program; or (iii) has been subject to any order or consent decree of, or criminal or civil fine or penalty imposed by, any Governmental Authority. During the past six (6) years, neither Issuer nor any Subsidiary has arranged for or contracted with (by employment or otherwise) any person that it knows or should know has been convicted of or pled guilty or nolo contendere to any federal or state criminal offense under any Health Care Laws, entered into any settlement with any Governmental Authority for violation of any Health Care Laws, or is excluded from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556" w:name="page557"/>
    <w:bookmarkEnd w:id="556"/>
    <w:p>
      <w:pPr>
        <w:ind w:left="22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participation in any Federal Healthcare Program. No exclusion, suspension, or debarment claims, actions, proceedings, audits or investigations relating to the business of Issuer or any Subsidiary are pending or, to the knowledge of Issuer and its Subsidiaries, threatened against Issuer or any Subsidiary, nor, to the knowledge of Issuer and its Subsidiaries, are there any exclusion, suspension or debarment claims, actions, proceedings, audits or investigations relating to the business of Issuer and its Subsidiaries pending or threatened against any of Issuer’s or any Subsidiary’s officers, directors, managers, members, employees or agents. Neither Issuer nor any Subsidiary entered into any settlement, deferred prosecution or reformation agreement with any Governmental Authority relating to the delivery of any item or service under a Federal Health Care Program. Neither Issuer nor any Subsidiary is currently, nor has it ever been, a party or subject to the terms of a corporate integrity agreement required by the OIG or similar agreement or consent order of any other Governmental Authority.</w:t>
      </w:r>
    </w:p>
    <w:p>
      <w:pPr>
        <w:spacing w:after="0" w:line="64" w:lineRule="exact"/>
        <w:rPr>
          <w:sz w:val="20"/>
          <w:szCs w:val="20"/>
          <w:color w:val="auto"/>
        </w:rPr>
      </w:pPr>
    </w:p>
    <w:p>
      <w:pPr>
        <w:ind w:left="220" w:right="379" w:firstLine="1116"/>
        <w:spacing w:after="0" w:line="256" w:lineRule="auto"/>
        <w:tabs>
          <w:tab w:leader="none" w:pos="1539" w:val="left"/>
        </w:tabs>
        <w:numPr>
          <w:ilvl w:val="1"/>
          <w:numId w:val="3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Each of Issuer and its Subsidiaries holds and has held all permits required under Health Care Laws that are necessary for the conduct of Issuer’s and its Subsidiaries’ business and the ownership, use and operation of its assets. Except as disclosed on </w:t>
      </w:r>
      <w:r>
        <w:rPr>
          <w:rFonts w:ascii="Times New Roman" w:cs="Times New Roman" w:eastAsia="Times New Roman" w:hAnsi="Times New Roman"/>
          <w:sz w:val="14"/>
          <w:szCs w:val="14"/>
          <w:u w:val="single" w:color="auto"/>
          <w:color w:val="auto"/>
        </w:rPr>
        <w:t>Schedule 5.10</w:t>
      </w:r>
      <w:r>
        <w:rPr>
          <w:rFonts w:ascii="Times New Roman" w:cs="Times New Roman" w:eastAsia="Times New Roman" w:hAnsi="Times New Roman"/>
          <w:sz w:val="14"/>
          <w:szCs w:val="14"/>
          <w:color w:val="auto"/>
        </w:rPr>
        <w:t>, (i) the permits are valid and in full force and effect and (ii) neither Issuer nor any Subsidiary is in breach or violation of, or default under, any such permit. There are no actions pending or, to Issuer’s and its Subsidiaries’ knowledge, threatened, that seek the revocation, cancellation, or adverse modification of any permit. All applications required to have been filed for the renewal of any permits have been duly filed on a timely basis with the appropriate Governmental Authority.</w:t>
      </w:r>
    </w:p>
    <w:p>
      <w:pPr>
        <w:spacing w:after="0" w:line="60" w:lineRule="exact"/>
        <w:rPr>
          <w:rFonts w:ascii="Times New Roman" w:cs="Times New Roman" w:eastAsia="Times New Roman" w:hAnsi="Times New Roman"/>
          <w:sz w:val="14"/>
          <w:szCs w:val="14"/>
          <w:b w:val="1"/>
          <w:bCs w:val="1"/>
          <w:color w:val="auto"/>
        </w:rPr>
      </w:pPr>
    </w:p>
    <w:p>
      <w:pPr>
        <w:ind w:left="220" w:right="239" w:firstLine="1116"/>
        <w:spacing w:after="0" w:line="254" w:lineRule="auto"/>
        <w:tabs>
          <w:tab w:leader="none" w:pos="1523" w:val="left"/>
        </w:tabs>
        <w:numPr>
          <w:ilvl w:val="1"/>
          <w:numId w:val="3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past six (6) years, Issuer and its Subsidiaries have timely filed with the applicable Governmental Authorities all material filings, documents, declarations, listings, registrations, reports, statements, amendments, supplements or submissions, including but not limited to adverse event reports, as may be applicable, that are required to be filed by it under the applicable Health Care Laws and/or Product Regulatory Laws, any such filings were in material compliance with applicable laws when filed, and no material deficiencies have been asserted by any applicable Governmental Authority with respect to any such filings. To the knowledge of Issuer and its Subsidiaries, (i) each such filing was true and correct in all material respects as of the date of submission, or was corrected in or supplemented by a subsequent filing, and (ii) any material and legally necessary or required updates, changes, corrections, amendments, supplements or modifications to such filings have been submitted to the applicable Governmental Authority.</w:t>
      </w:r>
    </w:p>
    <w:p>
      <w:pPr>
        <w:spacing w:after="0" w:line="64" w:lineRule="exact"/>
        <w:rPr>
          <w:rFonts w:ascii="Times New Roman" w:cs="Times New Roman" w:eastAsia="Times New Roman" w:hAnsi="Times New Roman"/>
          <w:sz w:val="14"/>
          <w:szCs w:val="14"/>
          <w:b w:val="1"/>
          <w:bCs w:val="1"/>
          <w:color w:val="auto"/>
        </w:rPr>
      </w:pPr>
    </w:p>
    <w:p>
      <w:pPr>
        <w:ind w:left="220" w:right="299" w:firstLine="1116"/>
        <w:spacing w:after="0" w:line="277" w:lineRule="auto"/>
        <w:tabs>
          <w:tab w:leader="none" w:pos="1508" w:val="left"/>
        </w:tabs>
        <w:numPr>
          <w:ilvl w:val="1"/>
          <w:numId w:val="3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During the past six (6) years, neither Issuer nor any Subsidiary has received or been subject to any action, notice, warning, administrative proceeding, review, or investigation by a Governmental Authority, including any FDA Form 483, FDA warning letter or untitled letter or any similar notice, that (i) alleged or asserted that Issuer or such Subsidiary violated any applicable Health Care Laws or Product Regulatory Laws, or</w:t>
      </w:r>
    </w:p>
    <w:p>
      <w:pPr>
        <w:ind w:left="220" w:right="319" w:firstLine="3"/>
        <w:spacing w:after="0" w:line="260" w:lineRule="auto"/>
        <w:tabs>
          <w:tab w:leader="none" w:pos="426"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or threatened to initiate, any action, suit, claim, investigation, proceeding or order to withdraw, discontinue, terminate, amend, change, correct or otherwise adversely affect a permit required under applicable Health Care Laws or Product Regulatory Laws.</w:t>
      </w:r>
    </w:p>
    <w:p>
      <w:pPr>
        <w:spacing w:after="0" w:line="56" w:lineRule="exact"/>
        <w:rPr>
          <w:rFonts w:ascii="Times New Roman" w:cs="Times New Roman" w:eastAsia="Times New Roman" w:hAnsi="Times New Roman"/>
          <w:sz w:val="14"/>
          <w:szCs w:val="14"/>
          <w:color w:val="auto"/>
        </w:rPr>
      </w:pPr>
    </w:p>
    <w:p>
      <w:pPr>
        <w:ind w:left="220" w:right="279" w:firstLine="1116"/>
        <w:spacing w:after="0" w:line="254" w:lineRule="auto"/>
        <w:tabs>
          <w:tab w:leader="none" w:pos="1531" w:val="left"/>
        </w:tabs>
        <w:numPr>
          <w:ilvl w:val="1"/>
          <w:numId w:val="3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Neither Issuer nor any Subsidiary has (i) knowingly or willfully made or caused to be made any false statement or representation of a material fact for use in determining rights to any benefit or payment by any third party payor; (ii) presented or caused to be presented a claim for reimbursement to any third party payor for any item or service that Issuer or such Subsidiary knew or should have been known was not provided as claimed or was false or fraudulent in any way; (iii) failed to disclose knowledge of the occurrence of any event affecting the initial or continued right to any benefit or payment on its own behalf or on behalf of another, with intent to fraudulently secure such benefit or payment; or (iv) knowingly or willfully offered, paid, solicited or received any remuneration (including any kickback, bribe, or rebate), directly or indirectly, overtly or covertly, in cash or in kind in return for referring an individual to a person for the furnishing or withholding of any item or service for which payment may be made in whole or in part by a Federal Health Care Program in violation of the Anti-Kickback Statute.</w:t>
      </w:r>
    </w:p>
    <w:p>
      <w:pPr>
        <w:spacing w:after="0" w:line="64" w:lineRule="exact"/>
        <w:rPr>
          <w:rFonts w:ascii="Times New Roman" w:cs="Times New Roman" w:eastAsia="Times New Roman" w:hAnsi="Times New Roman"/>
          <w:sz w:val="14"/>
          <w:szCs w:val="14"/>
          <w:b w:val="1"/>
          <w:bCs w:val="1"/>
          <w:color w:val="auto"/>
        </w:rPr>
      </w:pPr>
    </w:p>
    <w:p>
      <w:pPr>
        <w:ind w:left="220" w:right="239" w:firstLine="1116"/>
        <w:spacing w:after="0" w:line="256" w:lineRule="auto"/>
        <w:tabs>
          <w:tab w:leader="none" w:pos="1539" w:val="left"/>
        </w:tabs>
        <w:numPr>
          <w:ilvl w:val="1"/>
          <w:numId w:val="3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None of Issuer, any of its Subsidiaries, or any of their Affiliates or, to the knowledge of Issuer or any of its Subsidiaries, any of their respective agents acting or benefiting in any capacity in connection with the transactions contemplated by this Agreement is, or has been at any time during the past five (5) years, (i) in violation of any Anti-Terrorism Law or Anti-Corruption Laws, (ii) engaging in or conspiring to engage in any transaction that evades or avoids, or has the purpose of evading or avoiding or attempts to violate, any of the prohibitions set forth in any Anti-Terrorism Law or Anti-Corruption Laws, or (iii) a Sanctioned Person. None of Issuer, any of its Subsidiaries or any of their Affiliates or, to the knowledge of Issuer or any of its Subsidiaries, any of their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557" w:name="page558"/>
    <w:bookmarkEnd w:id="557"/>
    <w:p>
      <w:pPr>
        <w:jc w:val="both"/>
        <w:ind w:left="220" w:right="3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respective agents acting or benefiting in any capacity in connection with the transactions contemplated by this Agreement, (x) conducts any business or engages in making or receiving any contribution of funds, goods or services to or for the benefit of any Sanctioned Person, or (y) deals in, or otherwise engages in any transaction relating to, any property or interest in property blocked or sanctioned pursuant to any Sanctions (including Executive Order No. 13224, any similar executive order), other Anti-Terrorism Law or other Anti-Corruption Laws.</w:t>
      </w:r>
    </w:p>
    <w:p>
      <w:pPr>
        <w:spacing w:after="0" w:line="55" w:lineRule="exact"/>
        <w:rPr>
          <w:sz w:val="20"/>
          <w:szCs w:val="20"/>
          <w:color w:val="auto"/>
        </w:rPr>
      </w:pPr>
    </w:p>
    <w:p>
      <w:pPr>
        <w:ind w:left="220" w:right="239" w:firstLine="1116"/>
        <w:spacing w:after="0" w:line="253" w:lineRule="auto"/>
        <w:tabs>
          <w:tab w:leader="none" w:pos="1500"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Issuer and each Subsidiary have met the minimum funding requirements of ERISA with respect to any employee benefit plans subject to ERISA, and no event has occurred resulting from Issuer’s failure to comply with ERISA that could reasonably be expected to result in Issuer’s incurring any material liability. Issuer is not an “investment company” or a company “controlled” by an “investment company” within the meaning of the Investment Company Act of 1940. Issuer is not engaged principally, or as one of the important activities, in the business of extending credit for the purpose of purchasing or carrying Margin Stock. Issuer has complied in all material respects with all the provisions of the Federal Fair Labor Standards Act. Issuer has not violated any statutes, laws, ordinances or rules applicable to it, violation of which could be reasonably expected to have a Material Adverse Effect. Neither Issuer nor any of its Subsidiaries is in violation in any material respect of any applicable requirement of law relating to terrorism or money laundering, including Executive Order No. 13224, effective September 24, 2001, The Currency and Foreign Transactions Reporting Act (also known as the “Bank Secrecy Act,” 31 U.S.C. §§ 5311 5330), the Trading With the Enemy Act (50 U.S.C. §§1¬44, as amended), the Uniting and Strengthening America by Providing Appropriate Tools Required to Intercept and Obstruct Terrorism Act of 2001, Public Law 107 56, signed into law October 26, 2001, the Criminal Justice (Money Laundering and Terrorist Financing) Act 2010 as amended and the Criminal Justice (Terrorist Offences) Act 2005.</w:t>
      </w:r>
    </w:p>
    <w:p>
      <w:pPr>
        <w:spacing w:after="0" w:line="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5.11 Data Privacy</w:t>
      </w:r>
    </w:p>
    <w:p>
      <w:pPr>
        <w:spacing w:after="0" w:line="93" w:lineRule="exact"/>
        <w:rPr>
          <w:sz w:val="20"/>
          <w:szCs w:val="20"/>
          <w:color w:val="auto"/>
        </w:rPr>
      </w:pPr>
    </w:p>
    <w:p>
      <w:pPr>
        <w:ind w:left="220" w:right="259" w:firstLine="1116"/>
        <w:spacing w:after="0" w:line="256" w:lineRule="auto"/>
        <w:tabs>
          <w:tab w:leader="none" w:pos="1531" w:val="left"/>
        </w:tabs>
        <w:numPr>
          <w:ilvl w:val="0"/>
          <w:numId w:val="3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connection with its collection, storage, transfer (including, without limitation, any transfer across national borders) and/or use of any personally identifiable information or protected health information from any individuals, (collectively, “</w:t>
      </w:r>
      <w:r>
        <w:rPr>
          <w:rFonts w:ascii="Times New Roman" w:cs="Times New Roman" w:eastAsia="Times New Roman" w:hAnsi="Times New Roman"/>
          <w:sz w:val="14"/>
          <w:szCs w:val="14"/>
          <w:b w:val="1"/>
          <w:bCs w:val="1"/>
          <w:color w:val="auto"/>
        </w:rPr>
        <w:t>Personal Information</w:t>
      </w:r>
      <w:r>
        <w:rPr>
          <w:rFonts w:ascii="Times New Roman" w:cs="Times New Roman" w:eastAsia="Times New Roman" w:hAnsi="Times New Roman"/>
          <w:sz w:val="14"/>
          <w:szCs w:val="14"/>
          <w:color w:val="auto"/>
        </w:rPr>
        <w:t>”), Issuer and each of its Subsidiaries are and have been in compliance with all applicable laws in all relevant jurisdictions, including the Health Insurance Portability and Accountability Act of 1996, as amended by the Health Information Technology for Economic and Clinical Health Act and their implementing regulations (collectively “</w:t>
      </w:r>
      <w:r>
        <w:rPr>
          <w:rFonts w:ascii="Times New Roman" w:cs="Times New Roman" w:eastAsia="Times New Roman" w:hAnsi="Times New Roman"/>
          <w:sz w:val="14"/>
          <w:szCs w:val="14"/>
          <w:b w:val="1"/>
          <w:bCs w:val="1"/>
          <w:color w:val="auto"/>
        </w:rPr>
        <w:t>HIPAA</w:t>
      </w:r>
      <w:r>
        <w:rPr>
          <w:rFonts w:ascii="Times New Roman" w:cs="Times New Roman" w:eastAsia="Times New Roman" w:hAnsi="Times New Roman"/>
          <w:sz w:val="14"/>
          <w:szCs w:val="14"/>
          <w:color w:val="auto"/>
        </w:rPr>
        <w:t>”), and with Issuer’s and its Subsidiaries’ privacy policies and the requirements of any contract or codes of conduct to which Issuer or any Subsidiary is a party.</w:t>
      </w:r>
    </w:p>
    <w:p>
      <w:pPr>
        <w:spacing w:after="0" w:line="60" w:lineRule="exact"/>
        <w:rPr>
          <w:rFonts w:ascii="Times New Roman" w:cs="Times New Roman" w:eastAsia="Times New Roman" w:hAnsi="Times New Roman"/>
          <w:sz w:val="14"/>
          <w:szCs w:val="14"/>
          <w:b w:val="1"/>
          <w:bCs w:val="1"/>
          <w:color w:val="auto"/>
        </w:rPr>
      </w:pPr>
    </w:p>
    <w:p>
      <w:pPr>
        <w:ind w:left="220" w:right="299" w:firstLine="1116"/>
        <w:spacing w:after="0" w:line="280" w:lineRule="auto"/>
        <w:tabs>
          <w:tab w:leader="none" w:pos="1539" w:val="left"/>
        </w:tabs>
        <w:numPr>
          <w:ilvl w:val="0"/>
          <w:numId w:val="3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Issuer and each of its Subsidiaries have commercially reasonable physical, technical, organizational and administrative security measures and policies in place to protect all Personal Information collected by it or on its behalf from and against unauthorized access, use and/or disclosure. Issuer and each of its Subsidiaries take commercially reasonable measures to ensure compliance, in all material respects, with all laws relating to HIPAA obligations and the security and confidentiality of protected health information, by all employees or other personnel under Issuer’s or such Subsidiaries’ direction and control with access to Personal Information in connection with their service to Issuer or such Subsidiary. Issuer and its Subsidiaries provide periodic training to their workforce with respect to such measures and policies to the extent required for compliance with HIPAA.</w:t>
      </w:r>
    </w:p>
    <w:p>
      <w:pPr>
        <w:spacing w:after="0" w:line="44" w:lineRule="exact"/>
        <w:rPr>
          <w:rFonts w:ascii="Times New Roman" w:cs="Times New Roman" w:eastAsia="Times New Roman" w:hAnsi="Times New Roman"/>
          <w:sz w:val="13"/>
          <w:szCs w:val="13"/>
          <w:b w:val="1"/>
          <w:bCs w:val="1"/>
          <w:color w:val="auto"/>
        </w:rPr>
      </w:pPr>
    </w:p>
    <w:p>
      <w:pPr>
        <w:ind w:left="220" w:right="239" w:firstLine="1116"/>
        <w:spacing w:after="0" w:line="254" w:lineRule="auto"/>
        <w:tabs>
          <w:tab w:leader="none" w:pos="1523" w:val="left"/>
        </w:tabs>
        <w:numPr>
          <w:ilvl w:val="0"/>
          <w:numId w:val="3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the knowledge of Issuer and its Subsidiaries, there has been no occurrence of (x) unlawful or unauthorized destruction, access, acquisition, loss, use, modification or disclosure of Personal Information processed by Issuer or any Subsidiary in the operation of the business of Issuer or such Subsidiary that is owned, stored, used, maintained or controlled by or on behalf of Issuer or such Subsidiary, (y) unauthorized access to or disclosure of Issuer’s or any Subsidiary’s material confidential information or trade secrets, or (z) any unauthorized intrusions or breaches of security into any information technology and computer system (including software, information technology and telecommunication hardware, network and other equipment) owned or controlled by Issuer or such Subsidiary relating to the transmission, storage, maintenance, organization, presentation, generation, processing or analysis of data and information and any support, disaster recovery or online service whether in hard copy or electronic format, used in or necessary to the conduct of the business. To the knowledge of Issuer and its Subsidiaries, Issuer and each Subsidiary is and has been in compliance in all material respects with all laws relating to data loss, theft and breach of security notification obligations.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558" w:name="page559"/>
    <w:bookmarkEnd w:id="558"/>
    <w:p>
      <w:pPr>
        <w:ind w:left="220" w:right="239" w:firstLine="1116"/>
        <w:spacing w:after="0" w:line="254" w:lineRule="auto"/>
        <w:tabs>
          <w:tab w:leader="none" w:pos="1539" w:val="left"/>
        </w:tabs>
        <w:numPr>
          <w:ilvl w:val="0"/>
          <w:numId w:val="3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Issuer and each of its Subsidiaries have entered into a business associate agreement with each subcontractor or vendor to which it has provided access to protected health information (as defined by HIPAA), in each case to the extent required by, and in conformity with, HIPAA. Issuer and each of its Subsidiaries have performed a HIPAA security rule risk assessment that meets the standards set forth at 45 C.F.R. §§ 164.306 and 164.308(a)(1)(ii)(A), taking into account the factors set forth in 45 C.F.R. § 164.306(b)(2)(i)-(iv), and created and maintained documentation in accordance with 45 C.F.R. § 164.316, and has addressed and remediated all threats and deficiencies identified in each case to the extent required by, and in conformity with, HIPAA. During the past six (6) years, to the knowledge of Issuer and its Subsidiaries, no breach has occurred with respect to any unsecured protected health information (as such terms are defined by HIPAA) maintained by or for Issuer or any Subsidiary that is subject to the notification requirements of 45 C.F.R. §§ 164.404, 164.406 or 164.408.</w:t>
      </w:r>
    </w:p>
    <w:p>
      <w:pPr>
        <w:spacing w:after="0" w:line="62" w:lineRule="exact"/>
        <w:rPr>
          <w:sz w:val="20"/>
          <w:szCs w:val="20"/>
          <w:color w:val="auto"/>
        </w:rPr>
      </w:pPr>
    </w:p>
    <w:p>
      <w:pPr>
        <w:ind w:left="220" w:right="27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5.12 Environmental Condition</w:t>
      </w:r>
      <w:r>
        <w:rPr>
          <w:rFonts w:ascii="Times New Roman" w:cs="Times New Roman" w:eastAsia="Times New Roman" w:hAnsi="Times New Roman"/>
          <w:sz w:val="14"/>
          <w:szCs w:val="14"/>
          <w:color w:val="auto"/>
        </w:rPr>
        <w:t>. None of Issuer’s or any Subsidiary’s properties or assets has ever been used by Issuer or any Subsidiary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to the best of the Obligors’ knowledge, by previous owners or operators, in the disposal of, or to produce, store, handle, treat, release, or transport, any hazardous waste or hazardous substance other than in accordance with applicable law; to the best of the Obligors’ knowledge, none of the Obligors’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Issuer or any Subsidiary; and neither Issuer nor any Subsidiary has received a written summons, citation, notice, or directive from the Environmental Protection Agency or any other federal, state or other governmental agency concerning any action or omission by Issuer or any Subsidiary resulting in the releasing, or otherwise disposing of hazardous waste or hazardous substances into the environment.</w:t>
      </w:r>
    </w:p>
    <w:p>
      <w:pPr>
        <w:spacing w:after="0" w:line="62" w:lineRule="exact"/>
        <w:rPr>
          <w:sz w:val="20"/>
          <w:szCs w:val="20"/>
          <w:color w:val="auto"/>
        </w:rPr>
      </w:pPr>
    </w:p>
    <w:p>
      <w:pPr>
        <w:ind w:left="220" w:right="29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5.13 Taxes</w:t>
      </w:r>
      <w:r>
        <w:rPr>
          <w:rFonts w:ascii="Times New Roman" w:cs="Times New Roman" w:eastAsia="Times New Roman" w:hAnsi="Times New Roman"/>
          <w:sz w:val="14"/>
          <w:szCs w:val="14"/>
          <w:color w:val="auto"/>
        </w:rPr>
        <w:t>. Issuer and each Subsidiary have filed or caused to be filed, or submitted extensions for, all material Tax returns required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filed, and have paid, or have made adequate provision for the payment of, all Taxes reflected therein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$1,000,000.</w:t>
      </w:r>
    </w:p>
    <w:p>
      <w:pPr>
        <w:spacing w:after="0" w:line="55" w:lineRule="exact"/>
        <w:rPr>
          <w:sz w:val="20"/>
          <w:szCs w:val="20"/>
          <w:color w:val="auto"/>
        </w:rPr>
      </w:pPr>
    </w:p>
    <w:p>
      <w:pPr>
        <w:ind w:left="220" w:right="6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5.14 Subsidiaries</w:t>
      </w:r>
      <w:r>
        <w:rPr>
          <w:rFonts w:ascii="Times New Roman" w:cs="Times New Roman" w:eastAsia="Times New Roman" w:hAnsi="Times New Roman"/>
          <w:sz w:val="14"/>
          <w:szCs w:val="14"/>
          <w:color w:val="auto"/>
        </w:rPr>
        <w:t>. Issuer does not own any stock, partnership interest or other equity securities of any Person, except for Permitted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and Subsidiaries existing as of the date hereof.</w:t>
      </w:r>
    </w:p>
    <w:p>
      <w:pPr>
        <w:spacing w:after="0" w:line="37" w:lineRule="exact"/>
        <w:rPr>
          <w:sz w:val="20"/>
          <w:szCs w:val="20"/>
          <w:color w:val="auto"/>
        </w:rPr>
      </w:pPr>
    </w:p>
    <w:p>
      <w:pPr>
        <w:jc w:val="both"/>
        <w:ind w:left="220" w:right="41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5.15 Government Consents</w:t>
      </w:r>
      <w:r>
        <w:rPr>
          <w:rFonts w:ascii="Times New Roman" w:cs="Times New Roman" w:eastAsia="Times New Roman" w:hAnsi="Times New Roman"/>
          <w:sz w:val="14"/>
          <w:szCs w:val="14"/>
          <w:color w:val="auto"/>
        </w:rPr>
        <w:t>. Issuer and each Subsidiary have obtained all material consents, approvals and authorizations of, made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declarations or filings with, and given all notices to, all governmental authorities that are necessary for the continued operation of Issuer’s business as currently conducted.</w:t>
      </w:r>
    </w:p>
    <w:p>
      <w:pPr>
        <w:spacing w:after="0" w:line="50" w:lineRule="exact"/>
        <w:rPr>
          <w:sz w:val="20"/>
          <w:szCs w:val="20"/>
          <w:color w:val="auto"/>
        </w:rPr>
      </w:pPr>
    </w:p>
    <w:p>
      <w:pPr>
        <w:ind w:left="220" w:right="29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5.16 Shares</w:t>
      </w:r>
      <w:r>
        <w:rPr>
          <w:rFonts w:ascii="Times New Roman" w:cs="Times New Roman" w:eastAsia="Times New Roman" w:hAnsi="Times New Roman"/>
          <w:sz w:val="14"/>
          <w:szCs w:val="14"/>
          <w:color w:val="auto"/>
        </w:rPr>
        <w:t>. Each Obligor has full power and authority to create a first lien on the Shares in its possession and no disability or contractual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exists that would prohibit such Obligor from pledging the Shares pursuant to this Agreement. To the Obligors’ knowledge, there are no subscriptions, warrants, rights of first refusal or other restrictions on transfer relative to, or options exercisable with respect to the Shares. The Shares have been and will remain duly authorized and validly issued, and are fully paid and non-assessable. To the Obligors’ knowledge, the Shares are not the subject of any present or threatened suit, action, arbitration, administrative or other proceeding, and no Obligor knows of no reasonable grounds for the institution of any such proceedings.</w:t>
      </w:r>
    </w:p>
    <w:p>
      <w:pPr>
        <w:spacing w:after="0" w:line="57" w:lineRule="exact"/>
        <w:rPr>
          <w:sz w:val="20"/>
          <w:szCs w:val="20"/>
          <w:color w:val="auto"/>
        </w:rPr>
      </w:pPr>
    </w:p>
    <w:p>
      <w:pPr>
        <w:ind w:left="220" w:right="23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t>5.17 Material Contracts</w:t>
      </w:r>
      <w:r>
        <w:rPr>
          <w:rFonts w:ascii="Times New Roman" w:cs="Times New Roman" w:eastAsia="Times New Roman" w:hAnsi="Times New Roman"/>
          <w:sz w:val="14"/>
          <w:szCs w:val="14"/>
          <w:color w:val="auto"/>
        </w:rPr>
        <w:t>. The Obligors have made available to Purchasers correct and complete copies of all Material Contracts. Neither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Issuer nor its Affiliates is in material breach of any Material Contract or in material default under any Material Contract. There is no event or circumstance that with notice or lapse of time, or both, would reasonably be expected to (a) constitute a material breach or default by Issuer and/or its Affiliates or (to the knowledge of Issuer) any other party under any Material Contract, (b) give any Person the right to receive or require a material rebate, chargeback, penalty or change in delivery schedule under any Material Contract, (c) give any Person the right to accelerate the maturity or performance of any Material Contract or (d) give any Person the right to cancel, terminate or materially modify any Material Contract. To the knowledge of the Obligors, nothing has occurred and no condition exists that would permit any other party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559" w:name="page560"/>
    <w:bookmarkEnd w:id="559"/>
    <w:p>
      <w:pPr>
        <w:ind w:left="220" w:right="3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thereto to terminate any Material Contract. Neither Issuer nor its Affiliates has received any notice or, to the knowledge of the Obligors, any threat of termination of any such Material Contract. To the knowledge of the Obligors, no other party to a Material Contract is in material breach of or in default under such Material Contract. All Material Contracts are valid and binding on Issuer and its Affiliates and, to the knowledge of the Obligors, on each other party thereto, and are in full force and effect.</w:t>
      </w:r>
    </w:p>
    <w:p>
      <w:pPr>
        <w:spacing w:after="0" w:line="53" w:lineRule="exact"/>
        <w:rPr>
          <w:sz w:val="20"/>
          <w:szCs w:val="20"/>
          <w:color w:val="auto"/>
        </w:rPr>
      </w:pPr>
    </w:p>
    <w:p>
      <w:pPr>
        <w:ind w:left="220" w:right="29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5.18 Series D SPA</w:t>
      </w:r>
      <w:r>
        <w:rPr>
          <w:rFonts w:ascii="Times New Roman" w:cs="Times New Roman" w:eastAsia="Times New Roman" w:hAnsi="Times New Roman"/>
          <w:sz w:val="14"/>
          <w:szCs w:val="14"/>
          <w:color w:val="auto"/>
        </w:rPr>
        <w:t>. As of the Effective Date, the representations and warranties contained in Section 2 of the Preferred Stock Purchase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dated as of May 14, 2024, by and between Issuer and the investors listed on Schedule A thereto, shall be true, accurate and complete in all material respects. For the avoidance of doubt, in no event shall any “bring down” of such representations and warranties imply that such representations and warranties are true and correct as of, or for, any period of time other than the Effective Date.</w:t>
      </w:r>
    </w:p>
    <w:p>
      <w:pPr>
        <w:spacing w:after="0" w:line="53" w:lineRule="exact"/>
        <w:rPr>
          <w:sz w:val="20"/>
          <w:szCs w:val="20"/>
          <w:color w:val="auto"/>
        </w:rPr>
      </w:pPr>
    </w:p>
    <w:p>
      <w:pPr>
        <w:ind w:left="220" w:right="41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5.19 Full Disclosure</w:t>
      </w:r>
      <w:r>
        <w:rPr>
          <w:rFonts w:ascii="Times New Roman" w:cs="Times New Roman" w:eastAsia="Times New Roman" w:hAnsi="Times New Roman"/>
          <w:sz w:val="14"/>
          <w:szCs w:val="14"/>
          <w:color w:val="auto"/>
        </w:rPr>
        <w:t>. No representation, warranty or other statement made by Issuer or any Subsidiary in any certificate or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furnished to Purchaser Agent or the Purchasers contains any untrue statement of a material fact or omits to state a material fact necessary in order to make the statements contained in such certificates or statements not misleading.</w:t>
      </w:r>
    </w:p>
    <w:p>
      <w:pPr>
        <w:spacing w:after="0" w:line="50" w:lineRule="exact"/>
        <w:rPr>
          <w:sz w:val="20"/>
          <w:szCs w:val="20"/>
          <w:color w:val="auto"/>
        </w:rPr>
      </w:pPr>
    </w:p>
    <w:p>
      <w:pPr>
        <w:ind w:left="700" w:hanging="135"/>
        <w:spacing w:after="0"/>
        <w:tabs>
          <w:tab w:leader="none" w:pos="700" w:val="left"/>
        </w:tabs>
        <w:numPr>
          <w:ilvl w:val="0"/>
          <w:numId w:val="3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FFIRMATIVE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OVENANTS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Each Obligor shall, and shall cause each of its Subsidiaries, to do all of the following:</w:t>
      </w:r>
    </w:p>
    <w:p>
      <w:pPr>
        <w:spacing w:after="0" w:line="89" w:lineRule="exact"/>
        <w:rPr>
          <w:sz w:val="20"/>
          <w:szCs w:val="20"/>
          <w:color w:val="auto"/>
        </w:rPr>
      </w:pPr>
    </w:p>
    <w:p>
      <w:pPr>
        <w:ind w:left="220" w:right="27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6.1 Good Standing</w:t>
      </w:r>
      <w:r>
        <w:rPr>
          <w:rFonts w:ascii="Times New Roman" w:cs="Times New Roman" w:eastAsia="Times New Roman" w:hAnsi="Times New Roman"/>
          <w:sz w:val="14"/>
          <w:szCs w:val="14"/>
          <w:color w:val="auto"/>
        </w:rPr>
        <w:t>. Maintain its corporate existence and good standing in its jurisdiction of incorporation or formation, as applicable,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maintain qualification in its state or jurisdiction of incorporation or formation, as applicable, and the state or jurisdiction where its chief executive office is located, and in each other jurisdiction in which it is required under applicable law, in the case of such other jurisdictions, in which the failure to so qualify would reasonably be expected to have a material adverse effect on such Obligor’s business or operations. Each Obligor shall maintain, and shall cause each of its Subsidiaries to maintain, in force all licenses, approvals and agreements, the loss of which could reasonably be expected to have a Material Adverse Effect.</w:t>
      </w:r>
    </w:p>
    <w:p>
      <w:pPr>
        <w:spacing w:after="0" w:line="57" w:lineRule="exact"/>
        <w:rPr>
          <w:sz w:val="20"/>
          <w:szCs w:val="20"/>
          <w:color w:val="auto"/>
        </w:rPr>
      </w:pPr>
    </w:p>
    <w:p>
      <w:pPr>
        <w:jc w:val="both"/>
        <w:ind w:left="220" w:right="29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6.2 Government Compliance</w:t>
      </w:r>
      <w:r>
        <w:rPr>
          <w:rFonts w:ascii="Times New Roman" w:cs="Times New Roman" w:eastAsia="Times New Roman" w:hAnsi="Times New Roman"/>
          <w:sz w:val="14"/>
          <w:szCs w:val="14"/>
          <w:color w:val="auto"/>
        </w:rPr>
        <w:t>. Meet the minimum funding requirements of ERISA with respect to any employee benefit plans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ERISA. Each Obligor shall comply, and shall cause each Subsidiary to comply, with all statutes, laws, ordinances and government rules and regulations to which it is subject, noncompliance with which could reasonably be expected to have a Material Adverse Effect.</w:t>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6.3 Financial Statements, Reports, Certificates</w:t>
      </w:r>
      <w:r>
        <w:rPr>
          <w:rFonts w:ascii="Times New Roman" w:cs="Times New Roman" w:eastAsia="Times New Roman" w:hAnsi="Times New Roman"/>
          <w:sz w:val="14"/>
          <w:szCs w:val="14"/>
          <w:color w:val="auto"/>
        </w:rPr>
        <w:t>. Deliver the following to Purchaser Agent and each Purchaser:</w:t>
      </w:r>
    </w:p>
    <w:p>
      <w:pPr>
        <w:spacing w:after="0" w:line="93" w:lineRule="exact"/>
        <w:rPr>
          <w:sz w:val="20"/>
          <w:szCs w:val="20"/>
          <w:color w:val="auto"/>
        </w:rPr>
      </w:pPr>
    </w:p>
    <w:p>
      <w:pPr>
        <w:ind w:left="220" w:right="259" w:firstLine="1116"/>
        <w:spacing w:after="0" w:line="255" w:lineRule="auto"/>
        <w:tabs>
          <w:tab w:leader="none" w:pos="1531" w:val="left"/>
        </w:tabs>
        <w:numPr>
          <w:ilvl w:val="0"/>
          <w:numId w:val="3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available, but no later than forty-five (45) days after the last day of each fiscal quarter, a company prepared unaudited consolidated and consolidating balance sheet, income statement and cash flow statement covering the consolidated operations of Issuer and its Subsidiaries for such quarter certified by a Responsible Officer of Issuer, all prepared in accordance with GAAP, subject to normal year-end audit adjustments and the absence of disclosures normally made in footnotes, together with (A) a duly completed Compliance Certificate signed by a Responsible Officer of Issuer, (B) reports detailing the Obligors’ unit sales volume, cash collections from product sales and account statements from all of the Obligors’ depository, operating, and investment accounts, and (C) schedules of the Obligors’ Intellectual Property and deposit accounts, securities accounts and commodity accounts (including balances of all such accounts), updated as of such date;</w:t>
      </w:r>
    </w:p>
    <w:p>
      <w:pPr>
        <w:spacing w:after="0" w:line="61" w:lineRule="exact"/>
        <w:rPr>
          <w:rFonts w:ascii="Times New Roman" w:cs="Times New Roman" w:eastAsia="Times New Roman" w:hAnsi="Times New Roman"/>
          <w:sz w:val="14"/>
          <w:szCs w:val="14"/>
          <w:b w:val="1"/>
          <w:bCs w:val="1"/>
          <w:color w:val="auto"/>
        </w:rPr>
      </w:pPr>
    </w:p>
    <w:p>
      <w:pPr>
        <w:ind w:left="220" w:right="319" w:firstLine="1116"/>
        <w:spacing w:after="0" w:line="255" w:lineRule="auto"/>
        <w:tabs>
          <w:tab w:leader="none" w:pos="1539" w:val="left"/>
        </w:tabs>
        <w:numPr>
          <w:ilvl w:val="0"/>
          <w:numId w:val="3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available, but in any event within one hundred eighty (180) days after the end of Issuer’s fiscal year, annual audited consolidated financial statements of Issuer prepared in accordance with GAAP, consistently applied, together with a report and opinion on the financial statements and on internal controls and procedures, if available, from PwC, any other “Big 4” accounting firm or any other independent certified public accounting firm reasonably acceptable to Purchaser Agent (which report and opinion shall be prepared in accordance with GAAP and shall not be subject to any qualification, emphasis of matter or statement as to “going concern” or scope of audit, except for qualifications relating to changes in accounting principles or practices reflecting changes in GAAP and required or approved by Issuer’s independent certified public accountants), together with a duly completed Compliance Certificate signed by a Responsible Officer of Issuer;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560" w:name="page561"/>
    <w:bookmarkEnd w:id="560"/>
    <w:p>
      <w:pPr>
        <w:ind w:left="220" w:right="479" w:firstLine="1116"/>
        <w:spacing w:after="0" w:line="281" w:lineRule="auto"/>
        <w:tabs>
          <w:tab w:leader="none" w:pos="1523" w:val="left"/>
        </w:tabs>
        <w:numPr>
          <w:ilvl w:val="1"/>
          <w:numId w:val="3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 later than ten (10) days after each regularly-scheduled quarterly meeting of the board of directors (or equivalent governing body) of Issuer or any Subsidiary, the board kit and other materials delivered to the directors in connection with any such meeting;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w:t>
      </w:r>
    </w:p>
    <w:p>
      <w:pPr>
        <w:ind w:left="220" w:right="279" w:firstLine="3"/>
        <w:spacing w:after="0" w:line="251" w:lineRule="auto"/>
        <w:tabs>
          <w:tab w:leader="none" w:pos="418"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materials may be redacted to omit information relating to the potential refinancing of the obligations under this Agreement or repurchase of the Notes, and (2) if the Obligors, upon the advice of counsel, reasonably determine that any such information constitutes attorney-client privileged information and the disclosure thereof, even after the entry into a common interest agreement with the Purchasers, would adversely impair the attorney-client privilege between the Obligors and such counsel with respect to such information, then the Obligors shall be entitled to withhold delivery of any such information from the Purchaser Agent and the Purchasers;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further that (x) Issuer shall deliver to Purchaser Agent concurrently with board materials containing any redactions a summary of any information so redacted and the basis for such redaction and (y) in no event shall any financial information (including, but not limited to, budget, forecasts and cash flow, balance sheet and income statement information) be regarded as constituting attorney-client privileged information for purposes of this clause;</w:t>
      </w:r>
    </w:p>
    <w:p>
      <w:pPr>
        <w:spacing w:after="0" w:line="65" w:lineRule="exact"/>
        <w:rPr>
          <w:rFonts w:ascii="Times New Roman" w:cs="Times New Roman" w:eastAsia="Times New Roman" w:hAnsi="Times New Roman"/>
          <w:sz w:val="14"/>
          <w:szCs w:val="14"/>
          <w:color w:val="auto"/>
        </w:rPr>
      </w:pPr>
    </w:p>
    <w:p>
      <w:pPr>
        <w:ind w:left="220" w:right="299" w:firstLine="1116"/>
        <w:spacing w:after="0" w:line="266" w:lineRule="auto"/>
        <w:tabs>
          <w:tab w:leader="none" w:pos="1539"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copies of all statements, reports (including any quarterly updates or reports) and notices sent or made available generally by Issuer or any Subsidiary to its security holders or to any holders of Subordinated Debt and, if applicable, copies of the Form 10-K Annual Report, Form 10-Q Quarterly Report and Form 8-K Current Report for Issuer concurrent with the date of filing with the Securities and Exchange Commission;</w:t>
      </w:r>
    </w:p>
    <w:p>
      <w:pPr>
        <w:spacing w:after="0" w:line="52" w:lineRule="exact"/>
        <w:rPr>
          <w:rFonts w:ascii="Times New Roman" w:cs="Times New Roman" w:eastAsia="Times New Roman" w:hAnsi="Times New Roman"/>
          <w:sz w:val="14"/>
          <w:szCs w:val="14"/>
          <w:b w:val="1"/>
          <w:bCs w:val="1"/>
          <w:color w:val="auto"/>
        </w:rPr>
      </w:pPr>
    </w:p>
    <w:p>
      <w:pPr>
        <w:ind w:left="220" w:right="639" w:firstLine="1116"/>
        <w:spacing w:after="0" w:line="282" w:lineRule="auto"/>
        <w:tabs>
          <w:tab w:leader="none" w:pos="1523"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upon receipt of notice thereof, a report of any legal actions pending or threatened in writing against Issuer or any Subsidiary that could reasonably likely result in damages or costs to Issuer or any Subsidiary of $2,500,000 or more;</w:t>
      </w:r>
    </w:p>
    <w:p>
      <w:pPr>
        <w:spacing w:after="0" w:line="41" w:lineRule="exact"/>
        <w:rPr>
          <w:rFonts w:ascii="Times New Roman" w:cs="Times New Roman" w:eastAsia="Times New Roman" w:hAnsi="Times New Roman"/>
          <w:sz w:val="14"/>
          <w:szCs w:val="14"/>
          <w:b w:val="1"/>
          <w:bCs w:val="1"/>
          <w:color w:val="auto"/>
        </w:rPr>
      </w:pPr>
    </w:p>
    <w:p>
      <w:pPr>
        <w:ind w:left="220" w:right="799" w:firstLine="1116"/>
        <w:spacing w:after="0" w:line="282" w:lineRule="auto"/>
        <w:tabs>
          <w:tab w:leader="none" w:pos="1508"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budgets, sales projections, operating plans or other financial information as Purchaser Agent or any Purchaser may reasonably request from time to time;</w:t>
      </w:r>
    </w:p>
    <w:p>
      <w:pPr>
        <w:spacing w:after="0" w:line="41" w:lineRule="exact"/>
        <w:rPr>
          <w:rFonts w:ascii="Times New Roman" w:cs="Times New Roman" w:eastAsia="Times New Roman" w:hAnsi="Times New Roman"/>
          <w:sz w:val="14"/>
          <w:szCs w:val="14"/>
          <w:b w:val="1"/>
          <w:bCs w:val="1"/>
          <w:color w:val="auto"/>
        </w:rPr>
      </w:pPr>
    </w:p>
    <w:p>
      <w:pPr>
        <w:jc w:val="both"/>
        <w:ind w:left="220" w:right="239" w:firstLine="1116"/>
        <w:spacing w:after="0" w:line="266" w:lineRule="auto"/>
        <w:tabs>
          <w:tab w:leader="none" w:pos="1531"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financial projections in form and substance approved by Issuer’s board of directors and reasonably acceptable to Purchaser Agent and the Purchasers specifying the assumptions used in creating the projections. Annual projections shall in any case be provided to Purchaser Agent and the Purchasers no later than sixty (60) days after the end of each fiscal year;</w:t>
      </w:r>
    </w:p>
    <w:p>
      <w:pPr>
        <w:spacing w:after="0" w:line="52" w:lineRule="exact"/>
        <w:rPr>
          <w:rFonts w:ascii="Times New Roman" w:cs="Times New Roman" w:eastAsia="Times New Roman" w:hAnsi="Times New Roman"/>
          <w:sz w:val="14"/>
          <w:szCs w:val="14"/>
          <w:b w:val="1"/>
          <w:bCs w:val="1"/>
          <w:color w:val="auto"/>
        </w:rPr>
      </w:pPr>
    </w:p>
    <w:p>
      <w:pPr>
        <w:ind w:left="220" w:right="319" w:firstLine="1116"/>
        <w:spacing w:after="0" w:line="266" w:lineRule="auto"/>
        <w:tabs>
          <w:tab w:leader="none" w:pos="1539"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upon sending or receipt, copies of any management letters and correspondence relating to management letters, sent or received by Issuer or any Subsidiary to or from its auditor. If no management letter is prepared, Issuer shall, upon Purchaser Agent’s request, obtain a letter from such auditor stating that no deficiencies were noted that would otherwise be addressed in a management letter;</w:t>
      </w:r>
    </w:p>
    <w:p>
      <w:pPr>
        <w:spacing w:after="0" w:line="52" w:lineRule="exact"/>
        <w:rPr>
          <w:rFonts w:ascii="Times New Roman" w:cs="Times New Roman" w:eastAsia="Times New Roman" w:hAnsi="Times New Roman"/>
          <w:sz w:val="14"/>
          <w:szCs w:val="14"/>
          <w:b w:val="1"/>
          <w:bCs w:val="1"/>
          <w:color w:val="auto"/>
        </w:rPr>
      </w:pPr>
    </w:p>
    <w:p>
      <w:pPr>
        <w:jc w:val="both"/>
        <w:ind w:left="220" w:right="519" w:firstLine="1116"/>
        <w:spacing w:after="0" w:line="261" w:lineRule="auto"/>
        <w:tabs>
          <w:tab w:leader="none" w:pos="1500"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within one hundred eighty (180) days of each fiscal year end, copies of all business Tax returns, which must be prepared by a regionally recognized Certified Public Accountant acceptable to the Purchasers (Purchasers hereby affirm each of the “big four” accounting firms is deemed acceptable); provided that if an Obligor receives and extension for the filing of such Tax returns, then such Tax returns shall be delivered to Purchaser Agent and the Purchasers promptly after filing;</w:t>
      </w:r>
    </w:p>
    <w:p>
      <w:pPr>
        <w:spacing w:after="0" w:line="55" w:lineRule="exact"/>
        <w:rPr>
          <w:rFonts w:ascii="Times New Roman" w:cs="Times New Roman" w:eastAsia="Times New Roman" w:hAnsi="Times New Roman"/>
          <w:sz w:val="14"/>
          <w:szCs w:val="14"/>
          <w:b w:val="1"/>
          <w:bCs w:val="1"/>
          <w:color w:val="auto"/>
        </w:rPr>
      </w:pPr>
    </w:p>
    <w:p>
      <w:pPr>
        <w:ind w:left="220" w:right="259" w:firstLine="1116"/>
        <w:spacing w:after="0" w:line="282" w:lineRule="auto"/>
        <w:tabs>
          <w:tab w:leader="none" w:pos="1508"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upon receipt of written notice thereof, or otherwise obtaining knowledge, any material default or event of default under, or any termination (other than expiration in accordance with its terms) of, any Material Contract;</w:t>
      </w:r>
    </w:p>
    <w:p>
      <w:pPr>
        <w:spacing w:after="0" w:line="41"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possible, and in any event within two (2) Business Days, notice of the occurrence of any default or Event of Default;</w:t>
      </w:r>
    </w:p>
    <w:p>
      <w:pPr>
        <w:spacing w:after="0" w:line="90" w:lineRule="exact"/>
        <w:rPr>
          <w:rFonts w:ascii="Times New Roman" w:cs="Times New Roman" w:eastAsia="Times New Roman" w:hAnsi="Times New Roman"/>
          <w:sz w:val="14"/>
          <w:szCs w:val="14"/>
          <w:b w:val="1"/>
          <w:bCs w:val="1"/>
          <w:color w:val="auto"/>
        </w:rPr>
      </w:pPr>
    </w:p>
    <w:p>
      <w:pPr>
        <w:ind w:left="220" w:right="399" w:firstLine="1116"/>
        <w:spacing w:after="0" w:line="266" w:lineRule="auto"/>
        <w:tabs>
          <w:tab w:leader="none" w:pos="1500" w:val="left"/>
        </w:tabs>
        <w:numPr>
          <w:ilvl w:val="1"/>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 notice (and in any event no later than five (5) Business Days) of any failure to renew, loss, suspension of a state clinical lab license or permit or related accreditation or certification, or receipt of any warning or threat of such a loss or suspension from any Governmental Authority or recognized accreditation agency;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561" w:name="page562"/>
    <w:bookmarkEnd w:id="561"/>
    <w:p>
      <w:pPr>
        <w:ind w:left="220" w:right="299" w:firstLine="1116"/>
        <w:spacing w:after="0" w:line="266" w:lineRule="auto"/>
        <w:tabs>
          <w:tab w:leader="none" w:pos="1578"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 soon as possible, and in any event within five (5) Business Days after receipt thereof, true and correct copies of all Form 483s, notices of adverse finding, warning letters, untitled letters, Safety Notices, clinical holds and other written correspondence or written notices from the FDA or any other Governmental Authority having jurisdiction over the facilities or business of Issuer or any of its Subsidiaries;</w:t>
      </w:r>
    </w:p>
    <w:p>
      <w:pPr>
        <w:spacing w:after="0" w:line="52" w:lineRule="exact"/>
        <w:rPr>
          <w:rFonts w:ascii="Times New Roman" w:cs="Times New Roman" w:eastAsia="Times New Roman" w:hAnsi="Times New Roman"/>
          <w:sz w:val="14"/>
          <w:szCs w:val="14"/>
          <w:b w:val="1"/>
          <w:bCs w:val="1"/>
          <w:color w:val="auto"/>
        </w:rPr>
      </w:pPr>
    </w:p>
    <w:p>
      <w:pPr>
        <w:ind w:left="220" w:right="739" w:firstLine="1116"/>
        <w:spacing w:after="0" w:line="282" w:lineRule="auto"/>
        <w:tabs>
          <w:tab w:leader="none" w:pos="1539"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upon Purchaser Agent’s request, such other books, records, statements, lists of property and accounts, budgets, forecasts or reports as to Issuer and as to each Guarantor of the Obligations as Purchaser Agent may reasonably request; and</w:t>
      </w:r>
    </w:p>
    <w:p>
      <w:pPr>
        <w:spacing w:after="0" w:line="41" w:lineRule="exact"/>
        <w:rPr>
          <w:rFonts w:ascii="Times New Roman" w:cs="Times New Roman" w:eastAsia="Times New Roman" w:hAnsi="Times New Roman"/>
          <w:sz w:val="14"/>
          <w:szCs w:val="14"/>
          <w:b w:val="1"/>
          <w:bCs w:val="1"/>
          <w:color w:val="auto"/>
        </w:rPr>
      </w:pPr>
    </w:p>
    <w:p>
      <w:pPr>
        <w:ind w:left="220" w:right="239" w:firstLine="1116"/>
        <w:spacing w:after="0" w:line="255" w:lineRule="auto"/>
        <w:tabs>
          <w:tab w:leader="none" w:pos="1531"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following the end of each fiscal quarter (but in any event no later than forty-five (45) days after the end of each of the first three fiscal quarters and ninety (90) days after the end of each fiscal year) during the Revenue Participation Period, a reasonably detailed written report (the “</w:t>
      </w:r>
      <w:r>
        <w:rPr>
          <w:rFonts w:ascii="Times New Roman" w:cs="Times New Roman" w:eastAsia="Times New Roman" w:hAnsi="Times New Roman"/>
          <w:sz w:val="14"/>
          <w:szCs w:val="14"/>
          <w:b w:val="1"/>
          <w:bCs w:val="1"/>
          <w:color w:val="auto"/>
        </w:rPr>
        <w:t>Revenue Report</w:t>
      </w:r>
      <w:r>
        <w:rPr>
          <w:rFonts w:ascii="Times New Roman" w:cs="Times New Roman" w:eastAsia="Times New Roman" w:hAnsi="Times New Roman"/>
          <w:sz w:val="14"/>
          <w:szCs w:val="14"/>
          <w:color w:val="auto"/>
        </w:rPr>
        <w:t xml:space="preserve">”) setting forth (i) the calculation of the Revenue Participation Payments payable to the Purchasers for such fiscal quarter and each other prior fiscal quarter in the same fiscal year identifying Net Revenue and the calculation of all deductions from gross revenues to determine Net Revenue; (ii) quarterly and the year-to-date Revenue Participation Payments as of the end of such fiscal quarter; and (iii) the difference of (x) the amount the Purchasers have received with respect to such fiscal quarter (and each other prior fiscal quarter in such fiscal year) in payments from Issuer under </w:t>
      </w:r>
      <w:r>
        <w:rPr>
          <w:rFonts w:ascii="Times New Roman" w:cs="Times New Roman" w:eastAsia="Times New Roman" w:hAnsi="Times New Roman"/>
          <w:sz w:val="14"/>
          <w:szCs w:val="14"/>
          <w:u w:val="single" w:color="auto"/>
          <w:color w:val="auto"/>
        </w:rPr>
        <w:t>Section 2.2(c)</w:t>
      </w:r>
      <w:r>
        <w:rPr>
          <w:rFonts w:ascii="Times New Roman" w:cs="Times New Roman" w:eastAsia="Times New Roman" w:hAnsi="Times New Roman"/>
          <w:sz w:val="14"/>
          <w:szCs w:val="14"/>
          <w:color w:val="auto"/>
        </w:rPr>
        <w:t xml:space="preserve"> in respect of the fiscal year, minus (y) the actual Revenue Participation Payments owed to the Purchasers.</w:t>
      </w:r>
    </w:p>
    <w:p>
      <w:pPr>
        <w:spacing w:after="0" w:line="60" w:lineRule="exact"/>
        <w:rPr>
          <w:sz w:val="20"/>
          <w:szCs w:val="20"/>
          <w:color w:val="auto"/>
        </w:rPr>
      </w:pPr>
    </w:p>
    <w:p>
      <w:pPr>
        <w:ind w:left="220" w:right="33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6.4 Inventory; Returns</w:t>
      </w:r>
      <w:r>
        <w:rPr>
          <w:rFonts w:ascii="Times New Roman" w:cs="Times New Roman" w:eastAsia="Times New Roman" w:hAnsi="Times New Roman"/>
          <w:sz w:val="14"/>
          <w:szCs w:val="14"/>
          <w:color w:val="auto"/>
        </w:rPr>
        <w:t>. Keep all Inventory in good and marketable condition, free from all material defects except for Inventory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adequate reserves have been made. Returns and allowances, if any, as between the Obligors and their account debtors shall be on the same basis and in accordance with the usual customary practices of the Obligors, as they exist at the time of the execution and delivery of this Agreement. The Obligors shall promptly notify Purchaser Agent of all returns and recoveries and of all disputes and claims, where the return, recovery, dispute or claim involves more than $2,500,000.</w:t>
      </w:r>
    </w:p>
    <w:p>
      <w:pPr>
        <w:spacing w:after="0" w:line="55" w:lineRule="exact"/>
        <w:rPr>
          <w:sz w:val="20"/>
          <w:szCs w:val="20"/>
          <w:color w:val="auto"/>
        </w:rPr>
      </w:pPr>
    </w:p>
    <w:p>
      <w:pPr>
        <w:ind w:left="220" w:right="259" w:firstLine="771"/>
        <w:spacing w:after="0" w:line="255" w:lineRule="auto"/>
        <w:rPr>
          <w:sz w:val="20"/>
          <w:szCs w:val="20"/>
          <w:color w:val="auto"/>
        </w:rPr>
      </w:pPr>
      <w:r>
        <w:rPr>
          <w:rFonts w:ascii="Times New Roman" w:cs="Times New Roman" w:eastAsia="Times New Roman" w:hAnsi="Times New Roman"/>
          <w:sz w:val="14"/>
          <w:szCs w:val="14"/>
          <w:b w:val="1"/>
          <w:bCs w:val="1"/>
          <w:color w:val="auto"/>
        </w:rPr>
        <w:t>6.5 Taxes</w:t>
      </w:r>
      <w:r>
        <w:rPr>
          <w:rFonts w:ascii="Times New Roman" w:cs="Times New Roman" w:eastAsia="Times New Roman" w:hAnsi="Times New Roman"/>
          <w:sz w:val="14"/>
          <w:szCs w:val="14"/>
          <w:color w:val="auto"/>
        </w:rPr>
        <w:t>. Make due and timely payment or deposit of all material federal, state, and local Taxes, assessments, or contributions (in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case, unless subject to a valid extension) required of it by law, and will execute and deliver to Purchaser Agent, on demand, appropriate certificates attesting to the payment or deposit thereof; and each Obligor will make, and will cause each Subsidiary to make, timely payment or deposit of all material Tax payments and withholding Taxes (in each case, unless subject to a valid extension) required of it by applicable laws, including, but not limited to, those laws concerning F.I.C.A., F.U.T.A., state disability, and local, state, and federal income Taxes, and will, upon request, furnish Purchaser Agent with proof satisfactory to Purchaser Agent indicating that Issuer or a Subsidiary has made such payments or deposits; provided that no Obligor nor Subsidiary need make any payment if the amount or validity of such payment is contested in good faith by appropriate proceedings and is reserved against (to the extent required by GAAP) by such Obligor or Subsidiary.</w:t>
      </w:r>
    </w:p>
    <w:p>
      <w:pPr>
        <w:spacing w:after="0" w:line="59" w:lineRule="exact"/>
        <w:rPr>
          <w:sz w:val="20"/>
          <w:szCs w:val="20"/>
          <w:color w:val="auto"/>
        </w:rPr>
      </w:pPr>
    </w:p>
    <w:p>
      <w:pPr>
        <w:ind w:left="220" w:right="29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6.6 Insurance</w:t>
      </w:r>
      <w:r>
        <w:rPr>
          <w:rFonts w:ascii="Times New Roman" w:cs="Times New Roman" w:eastAsia="Times New Roman" w:hAnsi="Times New Roman"/>
          <w:sz w:val="14"/>
          <w:szCs w:val="14"/>
          <w:color w:val="auto"/>
        </w:rPr>
        <w:t>. Keep the Collateral insured against loss or damage by fire, theft, explosion, sprinklers, and all other hazards and risks,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such amounts, as ordinarily insured against by other owners in similar businesses conducted in the locations where Issuer’s business is conducted on the date hereof. Each Obligor shall also maintain insurance relating to their business, ownership and use of the Collateral in amounts and of a type that are customary to businesses similar to theirs. All such policies of insurance shall be in such form, with such companies, and in such amounts as are reasonably satisfactory to Purchaser Agent. All such policies of property insurance shall contain a lender’s loss payable endorsement, in a form satisfactory to Purchaser Agent in its reasonable discretion, showing Purchaser Agent as an additional loss payee thereof, and all liability insurance policies shall show Purchaser Agent as an additional insured and shall specify that the insurer must give at least twenty (20) days’ notice to Purchaser Agent before canceling its policy for any reason. Upon Purchaser Agent’s request, the Obligors shall deliver to Purchaser Agent certified copies of such policies of insurance and evidence of the payments of all premiums therefor. All proceeds payable under any such policy shall, at the option of Purchaser Agent, be payable to Purchaser Agent to be applied on account of the Obligations.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1" w:right="1440" w:bottom="1440" w:gutter="0" w:footer="0" w:header="0"/>
        </w:sectPr>
      </w:pPr>
    </w:p>
    <w:bookmarkStart w:id="562" w:name="page563"/>
    <w:bookmarkEnd w:id="562"/>
    <w:p>
      <w:pPr>
        <w:ind w:left="10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6.7 Accounts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79" w:firstLine="1116"/>
        <w:spacing w:after="0" w:line="282" w:lineRule="auto"/>
        <w:tabs>
          <w:tab w:leader="none" w:pos="1531"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post-closing period in </w:t>
      </w:r>
      <w:r>
        <w:rPr>
          <w:rFonts w:ascii="Times New Roman" w:cs="Times New Roman" w:eastAsia="Times New Roman" w:hAnsi="Times New Roman"/>
          <w:sz w:val="14"/>
          <w:szCs w:val="14"/>
          <w:u w:val="single" w:color="auto"/>
          <w:color w:val="auto"/>
        </w:rPr>
        <w:t>Section 3.6(b)</w:t>
      </w:r>
      <w:r>
        <w:rPr>
          <w:rFonts w:ascii="Times New Roman" w:cs="Times New Roman" w:eastAsia="Times New Roman" w:hAnsi="Times New Roman"/>
          <w:sz w:val="14"/>
          <w:szCs w:val="14"/>
          <w:color w:val="auto"/>
        </w:rPr>
        <w:t>, maintain all of Obligors’ Collateral Accounts subject to Control Agreements in accordance with the terms under this Agreement or other Note Documents.</w:t>
      </w:r>
    </w:p>
    <w:p>
      <w:pPr>
        <w:spacing w:after="0" w:line="41" w:lineRule="exact"/>
        <w:rPr>
          <w:rFonts w:ascii="Times New Roman" w:cs="Times New Roman" w:eastAsia="Times New Roman" w:hAnsi="Times New Roman"/>
          <w:sz w:val="14"/>
          <w:szCs w:val="14"/>
          <w:b w:val="1"/>
          <w:bCs w:val="1"/>
          <w:color w:val="auto"/>
        </w:rPr>
      </w:pPr>
    </w:p>
    <w:p>
      <w:pPr>
        <w:ind w:left="220" w:right="259" w:firstLine="1116"/>
        <w:spacing w:after="0" w:line="254" w:lineRule="auto"/>
        <w:tabs>
          <w:tab w:leader="none" w:pos="1539"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Provide Purchaser Agent five (5) Business Days’ prior written notice before any Obligor establishes any Collateral Account at or with any Person other than the institutions identified to Purchaser Agent in the Perfection Certificate delivered by the Obligors as of the Effective Date. In addition, for each Collateral Account that an Obligor at any time establishes after the Effective Date, and for each Collateral Account of any Subsidiary that is acquired or created pursuant to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such Obligor or such Subsidiary shall cause the applicable bank or financial institution at or with which such Collateral Account is maintained to execute and deliver a Control Agreement or other appropriate instrument with respect to such Collateral Account, to perfect Purchaser Agent’s Lien in such Collateral Account in accordance with the terms hereunder prior to the establishment of such Collateral Account, which Control Agreement or other instrument, as applicable, may not be terminated without prior written consent of Purchaser Agent.</w:t>
      </w:r>
    </w:p>
    <w:p>
      <w:pPr>
        <w:spacing w:after="0" w:line="64" w:lineRule="exact"/>
        <w:rPr>
          <w:rFonts w:ascii="Times New Roman" w:cs="Times New Roman" w:eastAsia="Times New Roman" w:hAnsi="Times New Roman"/>
          <w:sz w:val="14"/>
          <w:szCs w:val="14"/>
          <w:b w:val="1"/>
          <w:bCs w:val="1"/>
          <w:color w:val="auto"/>
        </w:rPr>
      </w:pPr>
    </w:p>
    <w:p>
      <w:pPr>
        <w:ind w:left="220" w:right="479" w:firstLine="1116"/>
        <w:spacing w:after="0" w:line="266" w:lineRule="auto"/>
        <w:tabs>
          <w:tab w:leader="none" w:pos="1523"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Subject to the post-closing period in </w:t>
      </w:r>
      <w:r>
        <w:rPr>
          <w:rFonts w:ascii="Times New Roman" w:cs="Times New Roman" w:eastAsia="Times New Roman" w:hAnsi="Times New Roman"/>
          <w:sz w:val="14"/>
          <w:szCs w:val="14"/>
          <w:u w:val="single" w:color="auto"/>
          <w:color w:val="auto"/>
        </w:rPr>
        <w:t>Section 3.6(b)</w:t>
      </w:r>
      <w:r>
        <w:rPr>
          <w:rFonts w:ascii="Times New Roman" w:cs="Times New Roman" w:eastAsia="Times New Roman" w:hAnsi="Times New Roman"/>
          <w:sz w:val="14"/>
          <w:szCs w:val="14"/>
          <w:color w:val="auto"/>
        </w:rPr>
        <w:t xml:space="preserve">, maintain the Designated Deposit Account at all times as Issuer’s primary operating account, subject to a Control Agreement, which pursuant to </w:t>
      </w:r>
      <w:r>
        <w:rPr>
          <w:rFonts w:ascii="Times New Roman" w:cs="Times New Roman" w:eastAsia="Times New Roman" w:hAnsi="Times New Roman"/>
          <w:sz w:val="14"/>
          <w:szCs w:val="14"/>
          <w:u w:val="single" w:color="auto"/>
          <w:color w:val="auto"/>
        </w:rPr>
        <w:t>Section 3.6(b)</w:t>
      </w:r>
      <w:r>
        <w:rPr>
          <w:rFonts w:ascii="Times New Roman" w:cs="Times New Roman" w:eastAsia="Times New Roman" w:hAnsi="Times New Roman"/>
          <w:sz w:val="14"/>
          <w:szCs w:val="14"/>
          <w:color w:val="auto"/>
        </w:rPr>
        <w:t xml:space="preserve"> shall be subject to an ACH authorization in favor of Purchaser Agent, located in the United States.</w:t>
      </w:r>
    </w:p>
    <w:p>
      <w:pPr>
        <w:spacing w:after="0" w:line="52" w:lineRule="exact"/>
        <w:rPr>
          <w:rFonts w:ascii="Times New Roman" w:cs="Times New Roman" w:eastAsia="Times New Roman" w:hAnsi="Times New Roman"/>
          <w:sz w:val="14"/>
          <w:szCs w:val="14"/>
          <w:b w:val="1"/>
          <w:bCs w:val="1"/>
          <w:color w:val="auto"/>
        </w:rPr>
      </w:pPr>
    </w:p>
    <w:p>
      <w:pPr>
        <w:ind w:left="220" w:right="519" w:firstLine="1116"/>
        <w:spacing w:after="0" w:line="266" w:lineRule="auto"/>
        <w:tabs>
          <w:tab w:leader="none" w:pos="1539"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Promptly upon the reasonable request of Purchaser Agent and, so long as no Default or Event of Default has occurred and is continuing, no more frequently than once weekly, Issuer shall provide current balances of the Obligors’ deposit accounts and securities accounts, together with current bank statements or screenshots of the applicable bank accounts reflecting the current balances;</w:t>
      </w:r>
    </w:p>
    <w:p>
      <w:pPr>
        <w:spacing w:after="0" w:line="52" w:lineRule="exact"/>
        <w:rPr>
          <w:rFonts w:ascii="Times New Roman" w:cs="Times New Roman" w:eastAsia="Times New Roman" w:hAnsi="Times New Roman"/>
          <w:sz w:val="14"/>
          <w:szCs w:val="14"/>
          <w:b w:val="1"/>
          <w:bCs w:val="1"/>
          <w:color w:val="auto"/>
        </w:rPr>
      </w:pPr>
    </w:p>
    <w:p>
      <w:pPr>
        <w:ind w:left="220" w:right="299" w:firstLine="1116"/>
        <w:spacing w:after="0" w:line="282" w:lineRule="auto"/>
        <w:tabs>
          <w:tab w:leader="none" w:pos="1523"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 such bank statements and other information relating to all deposit accounts, securities accounts and commodity accounts of Issuer and its Subsidiaries as Purchaser Agent may reasonably request from time to time.</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For the avoidance of doubt, no Obligor shall maintain any accounts except in accordance with </w:t>
      </w:r>
      <w:r>
        <w:rPr>
          <w:rFonts w:ascii="Times New Roman" w:cs="Times New Roman" w:eastAsia="Times New Roman" w:hAnsi="Times New Roman"/>
          <w:sz w:val="14"/>
          <w:szCs w:val="14"/>
          <w:u w:val="single" w:color="auto"/>
          <w:color w:val="auto"/>
        </w:rPr>
        <w:t>Sections 6.7(a)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jc w:val="both"/>
        <w:ind w:left="220" w:right="31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6.8 Financial Performance</w:t>
      </w:r>
      <w:r>
        <w:rPr>
          <w:rFonts w:ascii="Times New Roman" w:cs="Times New Roman" w:eastAsia="Times New Roman" w:hAnsi="Times New Roman"/>
          <w:sz w:val="14"/>
          <w:szCs w:val="14"/>
          <w:color w:val="auto"/>
        </w:rPr>
        <w:t>. On the last day of each fiscal quarter commencing with the fiscal quarter ending March 31, 2025, excluding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fiscal quarter with respect to which the Liquidity Condition is satisfied at all times during such fiscal quarter, achieve both of the following ((a) and (b)):</w:t>
      </w:r>
    </w:p>
    <w:p>
      <w:pPr>
        <w:spacing w:after="0" w:line="52" w:lineRule="exact"/>
        <w:rPr>
          <w:sz w:val="20"/>
          <w:szCs w:val="20"/>
          <w:color w:val="auto"/>
        </w:rPr>
      </w:pPr>
    </w:p>
    <w:p>
      <w:pPr>
        <w:ind w:left="1540" w:hanging="204"/>
        <w:spacing w:after="0"/>
        <w:tabs>
          <w:tab w:leader="none" w:pos="1540" w:val="left"/>
        </w:tabs>
        <w:numPr>
          <w:ilvl w:val="0"/>
          <w:numId w:val="3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Trailing six-month Net Revenue of not less than the amount shown for each applicable period in the below table:</w:t>
      </w:r>
    </w:p>
    <w:p>
      <w:pPr>
        <w:spacing w:after="0" w:line="88"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180" w:type="dxa"/>
            <w:vAlign w:val="bottom"/>
            <w:gridSpan w:val="4"/>
          </w:tcPr>
          <w:p>
            <w:pPr>
              <w:ind w:left="2080"/>
              <w:spacing w:after="0"/>
              <w:rPr>
                <w:sz w:val="20"/>
                <w:szCs w:val="20"/>
                <w:color w:val="auto"/>
              </w:rPr>
            </w:pPr>
            <w:r>
              <w:rPr>
                <w:rFonts w:ascii="Times New Roman" w:cs="Times New Roman" w:eastAsia="Times New Roman" w:hAnsi="Times New Roman"/>
                <w:sz w:val="11"/>
                <w:szCs w:val="11"/>
                <w:color w:val="auto"/>
              </w:rPr>
              <w:t>Minimum Trailing Six-</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color w:val="auto"/>
              </w:rPr>
              <w:t>Month Net Revenue</w:t>
            </w:r>
          </w:p>
        </w:tc>
        <w:tc>
          <w:tcPr>
            <w:tcW w:w="0" w:type="dxa"/>
            <w:vAlign w:val="bottom"/>
          </w:tcPr>
          <w:p>
            <w:pPr>
              <w:spacing w:after="0"/>
              <w:rPr>
                <w:sz w:val="1"/>
                <w:szCs w:val="1"/>
                <w:color w:val="auto"/>
              </w:rPr>
            </w:pPr>
          </w:p>
        </w:tc>
      </w:tr>
      <w:tr>
        <w:trPr>
          <w:trHeight w:val="115"/>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7"/>
              </w:rPr>
              <w:t>Period</w:t>
            </w:r>
          </w:p>
        </w:tc>
        <w:tc>
          <w:tcPr>
            <w:tcW w:w="2340" w:type="dxa"/>
            <w:vAlign w:val="bottom"/>
            <w:vMerge w:val="restart"/>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color w:val="auto"/>
              </w:rPr>
              <w:t>Threshold</w:t>
            </w:r>
          </w:p>
        </w:tc>
        <w:tc>
          <w:tcPr>
            <w:tcW w:w="0" w:type="dxa"/>
            <w:vAlign w:val="bottom"/>
          </w:tcPr>
          <w:p>
            <w:pPr>
              <w:spacing w:after="0"/>
              <w:rPr>
                <w:sz w:val="1"/>
                <w:szCs w:val="1"/>
                <w:color w:val="auto"/>
              </w:rPr>
            </w:pPr>
          </w:p>
        </w:tc>
      </w:tr>
      <w:tr>
        <w:trPr>
          <w:trHeight w:val="142"/>
        </w:trPr>
        <w:tc>
          <w:tcPr>
            <w:tcW w:w="300" w:type="dxa"/>
            <w:vAlign w:val="bottom"/>
            <w:tcBorders>
              <w:bottom w:val="single" w:sz="8" w:color="auto"/>
            </w:tcBorders>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(in millions)</w:t>
            </w:r>
          </w:p>
        </w:tc>
        <w:tc>
          <w:tcPr>
            <w:tcW w:w="0" w:type="dxa"/>
            <w:vAlign w:val="bottom"/>
          </w:tcPr>
          <w:p>
            <w:pPr>
              <w:spacing w:after="0"/>
              <w:rPr>
                <w:sz w:val="1"/>
                <w:szCs w:val="1"/>
                <w:color w:val="auto"/>
              </w:rPr>
            </w:pPr>
          </w:p>
        </w:tc>
      </w:tr>
      <w:tr>
        <w:trPr>
          <w:trHeight w:val="149"/>
        </w:trPr>
        <w:tc>
          <w:tcPr>
            <w:tcW w:w="26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Q1 2025</w:t>
            </w: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2025</w:t>
            </w:r>
          </w:p>
        </w:tc>
        <w:tc>
          <w:tcPr>
            <w:tcW w:w="2140" w:type="dxa"/>
            <w:vAlign w:val="bottom"/>
            <w:gridSpan w:val="2"/>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Q3 2025</w:t>
            </w:r>
          </w:p>
        </w:tc>
        <w:tc>
          <w:tcPr>
            <w:tcW w:w="21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2025</w:t>
            </w:r>
          </w:p>
        </w:tc>
        <w:tc>
          <w:tcPr>
            <w:tcW w:w="2140" w:type="dxa"/>
            <w:vAlign w:val="bottom"/>
            <w:gridSpan w:val="2"/>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Q1 2026</w:t>
            </w:r>
          </w:p>
        </w:tc>
        <w:tc>
          <w:tcPr>
            <w:tcW w:w="21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Q2 2026</w:t>
            </w:r>
          </w:p>
        </w:tc>
        <w:tc>
          <w:tcPr>
            <w:tcW w:w="2140" w:type="dxa"/>
            <w:vAlign w:val="bottom"/>
            <w:gridSpan w:val="2"/>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Q3 2026</w:t>
            </w:r>
          </w:p>
        </w:tc>
        <w:tc>
          <w:tcPr>
            <w:tcW w:w="21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Q4 2026</w:t>
            </w:r>
          </w:p>
        </w:tc>
        <w:tc>
          <w:tcPr>
            <w:tcW w:w="2140" w:type="dxa"/>
            <w:vAlign w:val="bottom"/>
            <w:gridSpan w:val="2"/>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21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ind w:left="4440" w:right="4419" w:hanging="3104"/>
        <w:spacing w:after="0" w:line="374" w:lineRule="auto"/>
        <w:tabs>
          <w:tab w:leader="none" w:pos="1548" w:val="left"/>
        </w:tabs>
        <w:numPr>
          <w:ilvl w:val="0"/>
          <w:numId w:val="3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Trailing six-month Gross Margin of not less than 30%. 34</w:t>
      </w:r>
    </w:p>
    <w:p>
      <w:pPr>
        <w:sectPr>
          <w:pgSz w:w="11900" w:h="16838" w:orient="portrait"/>
          <w:cols w:equalWidth="0" w:num="1">
            <w:col w:w="9019"/>
          </w:cols>
          <w:pgMar w:left="1440" w:top="238" w:right="1440" w:bottom="1440" w:gutter="0" w:footer="0" w:header="0"/>
        </w:sectPr>
      </w:pPr>
    </w:p>
    <w:bookmarkStart w:id="563" w:name="page564"/>
    <w:bookmarkEnd w:id="563"/>
    <w:p>
      <w:pPr>
        <w:ind w:left="220" w:right="59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6.9 Use of Proceeds</w:t>
      </w:r>
      <w:r>
        <w:rPr>
          <w:rFonts w:ascii="Times New Roman" w:cs="Times New Roman" w:eastAsia="Times New Roman" w:hAnsi="Times New Roman"/>
          <w:sz w:val="14"/>
          <w:szCs w:val="14"/>
          <w:color w:val="auto"/>
        </w:rPr>
        <w:t>. Issuer shall use the proceeds of the Notes solely as working capital to fund its general business requirements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 provisions of this Agreement, and for paying off the Existing Indebtedness, and not (i) for personal, family, household or agricultural purposes or (ii) directly or indirectly, for the purpose of purchasing or carrying Margin Stock.</w:t>
      </w:r>
    </w:p>
    <w:p>
      <w:pPr>
        <w:spacing w:after="0" w:line="50" w:lineRule="exact"/>
        <w:rPr>
          <w:sz w:val="20"/>
          <w:szCs w:val="20"/>
          <w:color w:val="auto"/>
        </w:rPr>
      </w:pPr>
    </w:p>
    <w:p>
      <w:pPr>
        <w:ind w:left="220" w:right="23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6.10 Landlord Waivers; Bailee Waivers</w:t>
      </w:r>
      <w:r>
        <w:rPr>
          <w:rFonts w:ascii="Times New Roman" w:cs="Times New Roman" w:eastAsia="Times New Roman" w:hAnsi="Times New Roman"/>
          <w:sz w:val="14"/>
          <w:szCs w:val="14"/>
          <w:color w:val="auto"/>
        </w:rPr>
        <w:t>. In the event that Issuer or any of its Subsidiaries, after the Effective Date, intends to add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new offices or business locations, including warehouses, or otherwise store any portion of the Collateral with, or deliver any portion of the Collateral to, a bailee, in each case pursuant to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then Issuer or such Subsidiary will first receive the written consent of Purchaser Agent and, in the event that the Collateral at any new location is valued in excess of $1,000,000 in the aggregate, such bailee or landlord, as applicable, must execute and deliver a bailee waiver or landlord waiver, as applicable, in form and substance reasonably satisfactory to Purchaser Agent prior to the addition of any new offices or business locations, or any such storage with or delivery to any such bailee, as the case may be.</w:t>
      </w:r>
    </w:p>
    <w:p>
      <w:pPr>
        <w:spacing w:after="0" w:line="57" w:lineRule="exact"/>
        <w:rPr>
          <w:sz w:val="20"/>
          <w:szCs w:val="20"/>
          <w:color w:val="auto"/>
        </w:rPr>
      </w:pPr>
    </w:p>
    <w:p>
      <w:pPr>
        <w:ind w:left="220" w:right="279" w:firstLine="771"/>
        <w:spacing w:after="0" w:line="272" w:lineRule="auto"/>
        <w:rPr>
          <w:sz w:val="20"/>
          <w:szCs w:val="20"/>
          <w:color w:val="auto"/>
        </w:rPr>
      </w:pPr>
      <w:r>
        <w:rPr>
          <w:rFonts w:ascii="Times New Roman" w:cs="Times New Roman" w:eastAsia="Times New Roman" w:hAnsi="Times New Roman"/>
          <w:sz w:val="13"/>
          <w:szCs w:val="13"/>
          <w:b w:val="1"/>
          <w:bCs w:val="1"/>
          <w:color w:val="auto"/>
        </w:rPr>
        <w:t>6.11 Formation or Acquisition of Subsidiaries</w:t>
      </w:r>
      <w:r>
        <w:rPr>
          <w:rFonts w:ascii="Times New Roman" w:cs="Times New Roman" w:eastAsia="Times New Roman" w:hAnsi="Times New Roman"/>
          <w:sz w:val="13"/>
          <w:szCs w:val="13"/>
          <w:color w:val="auto"/>
        </w:rPr>
        <w:t>. Notwithstanding and without limiting the negative covenants contained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Sections 7.3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7.7</w:t>
      </w:r>
      <w:r>
        <w:rPr>
          <w:rFonts w:ascii="Times New Roman" w:cs="Times New Roman" w:eastAsia="Times New Roman" w:hAnsi="Times New Roman"/>
          <w:sz w:val="13"/>
          <w:szCs w:val="13"/>
          <w:color w:val="auto"/>
        </w:rPr>
        <w:t xml:space="preserve"> hereof, at the time that Issuer or any Guarantor forms any direct or indirect Subsidiary or acquires any direct or indirect Subsidiary after the Effective Date (in each case, excluding any Excluded Subsidiary), Issuer and such Guarantor shall promptly, and in any event within 15 days with respect to a Subsidiary organized under the laws of the United States or any state or territory thereof and within 30 days with respect to any Foreign Subsidiary (or, in each case, such later date as specified in writing by the Purchaser Agent in its sole discretion), (a) cause such new Subsidiary to provide to Purchaser Agent a Guarantee Assumption Agreement to become a Guarantor hereunder, together with such appropriate financing statements and/or Control Agreements, all in form and substance reasonably satisfactory to Purchaser Agent (including being sufficient to grant Purchaser Agent, for the benefit of the Secured Parties, a first priority Lien (subject to Permitted Liens) in and to the assets of such newly formed or acquired Subsidiary),</w:t>
      </w:r>
    </w:p>
    <w:p>
      <w:pPr>
        <w:spacing w:after="0" w:line="5" w:lineRule="exact"/>
        <w:rPr>
          <w:sz w:val="20"/>
          <w:szCs w:val="20"/>
          <w:color w:val="auto"/>
        </w:rPr>
      </w:pPr>
    </w:p>
    <w:p>
      <w:pPr>
        <w:ind w:left="220" w:right="259" w:firstLine="3"/>
        <w:spacing w:after="0" w:line="252" w:lineRule="auto"/>
        <w:tabs>
          <w:tab w:leader="none" w:pos="418"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provide to Purchaser Agent appropriate certificates and powers and financing statements, pledging all of the direct or beneficial ownership interest in such new Subsidiary, in form and substance reasonably satisfactory to Purchaser Agent; and (c) provide to Purchaser Agent all other documentation in form and substance reasonably satisfactory to Purchaser Agent, which in its opinion is appropriate with respect to the execution and delivery of the applicable documentation referred to above, including, without limitation, a Guarantee Assumption Agreement. Any document, agreement, or instrument executed or issued pursuant to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shall be a Note Document.</w:t>
      </w:r>
    </w:p>
    <w:p>
      <w:pPr>
        <w:spacing w:after="0" w:line="61" w:lineRule="exact"/>
        <w:rPr>
          <w:sz w:val="20"/>
          <w:szCs w:val="20"/>
          <w:color w:val="auto"/>
        </w:rPr>
      </w:pPr>
    </w:p>
    <w:p>
      <w:pPr>
        <w:ind w:left="220" w:right="33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6.12 Material Contracts. </w:t>
      </w:r>
      <w:r>
        <w:rPr>
          <w:rFonts w:ascii="Times New Roman" w:cs="Times New Roman" w:eastAsia="Times New Roman" w:hAnsi="Times New Roman"/>
          <w:sz w:val="14"/>
          <w:szCs w:val="14"/>
          <w:color w:val="auto"/>
        </w:rPr>
        <w:t>Each of Issuer and its Affiliates shall comply with all terms and conditions of and fulfill all of its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all the Material Contracts, except for such noncompliance which would not reasonably be expected to give rise to a material breach thereof or a Material Adverse Effect. Neither Issuer nor any of its Subsidiaries shall, without the prior consent of Purchaser Agent, which shall not be unreasonably withheld, conditioned or delayed, (i) amend, modify, restate, cancel, supplement, terminate or waive any provision of any Material Contract, or grant any consent thereunder, or agree to do any of the foregoing, in each case which would reasonably be expected to have a Material Adverse Effect or be adverse in any material respect to the interests of the Purchasers or (ii) enter into any Restricted License.</w:t>
      </w:r>
    </w:p>
    <w:p>
      <w:pPr>
        <w:spacing w:after="0" w:line="57" w:lineRule="exact"/>
        <w:rPr>
          <w:sz w:val="20"/>
          <w:szCs w:val="20"/>
          <w:color w:val="auto"/>
        </w:rPr>
      </w:pPr>
    </w:p>
    <w:p>
      <w:pPr>
        <w:ind w:left="220" w:right="49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6.13 Further Assurances</w:t>
      </w:r>
      <w:r>
        <w:rPr>
          <w:rFonts w:ascii="Times New Roman" w:cs="Times New Roman" w:eastAsia="Times New Roman" w:hAnsi="Times New Roman"/>
          <w:sz w:val="14"/>
          <w:szCs w:val="14"/>
          <w:color w:val="auto"/>
        </w:rPr>
        <w:t>. At any time and from time to time each Obligor shall execute and deliver such further instruments and take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further action as may reasonably be requested by Purchaser Agent to effect the purposes of this Agreement.</w:t>
      </w:r>
    </w:p>
    <w:p>
      <w:pPr>
        <w:spacing w:after="0" w:line="37" w:lineRule="exact"/>
        <w:rPr>
          <w:sz w:val="20"/>
          <w:szCs w:val="20"/>
          <w:color w:val="auto"/>
        </w:rPr>
      </w:pPr>
    </w:p>
    <w:p>
      <w:pPr>
        <w:ind w:left="700" w:hanging="135"/>
        <w:spacing w:after="0"/>
        <w:tabs>
          <w:tab w:leader="none" w:pos="700"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EGATIVE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OVENANTS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 Obligor will do any of the following:</w:t>
      </w:r>
    </w:p>
    <w:p>
      <w:pPr>
        <w:spacing w:after="0" w:line="89" w:lineRule="exact"/>
        <w:rPr>
          <w:sz w:val="20"/>
          <w:szCs w:val="20"/>
          <w:color w:val="auto"/>
        </w:rPr>
      </w:pPr>
    </w:p>
    <w:p>
      <w:pPr>
        <w:ind w:left="220" w:right="41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t>7.1 Dispositions</w:t>
      </w:r>
      <w:r>
        <w:rPr>
          <w:rFonts w:ascii="Times New Roman" w:cs="Times New Roman" w:eastAsia="Times New Roman" w:hAnsi="Times New Roman"/>
          <w:sz w:val="14"/>
          <w:szCs w:val="14"/>
          <w:color w:val="auto"/>
        </w:rPr>
        <w:t>. Convey, sell, lease, transfer or otherwise dispose of (collectively, a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or permit any of its Subsidiaries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Transfer, all or any part of its business or property, other than: (i) Transfers of Inventory in the ordinary course of business; (ii) non-exclusive licenses and similar arrangements for the use of the property of Issuer or its Subsidiaries in the ordinary course of business; (iii) Transfers of worn-out or obsolete Equipment; (iv) Transfers consisting of the sale or issuance of any stock of Issuer permitted under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of this Agreement; and</w:t>
      </w:r>
    </w:p>
    <w:p>
      <w:pPr>
        <w:spacing w:after="0" w:line="1" w:lineRule="exact"/>
        <w:rPr>
          <w:sz w:val="20"/>
          <w:szCs w:val="20"/>
          <w:color w:val="auto"/>
        </w:rPr>
      </w:pPr>
    </w:p>
    <w:p>
      <w:pPr>
        <w:ind w:left="220" w:right="279" w:firstLine="3"/>
        <w:spacing w:after="0" w:line="260" w:lineRule="auto"/>
        <w:tabs>
          <w:tab w:leader="none" w:pos="416"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consisting of Issuer’s use or transfer of money or Cash Equivalents in a manner that is not prohibited by the terms of this Agreement or the other Note Documents; and (vi) Transfers in connection with Permitted Liens.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8" w:right="1440" w:bottom="1440" w:gutter="0" w:footer="0" w:header="0"/>
        </w:sectPr>
      </w:pPr>
    </w:p>
    <w:bookmarkStart w:id="564" w:name="page565"/>
    <w:bookmarkEnd w:id="564"/>
    <w:p>
      <w:pPr>
        <w:ind w:left="220" w:right="29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7.2 Change in Business or Executive Office</w:t>
      </w:r>
      <w:r>
        <w:rPr>
          <w:rFonts w:ascii="Times New Roman" w:cs="Times New Roman" w:eastAsia="Times New Roman" w:hAnsi="Times New Roman"/>
          <w:sz w:val="14"/>
          <w:szCs w:val="14"/>
          <w:color w:val="auto"/>
        </w:rPr>
        <w:t>. Engage in any business, or permit any of its Subsidiaries to engage in any business,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than the businesses currently engaged in by Issuer and any business substantially similar or related thereto (or incidental thereto); or cease to conduct business in the manner conducted by Issuer as of the Effective Date; or suffer or permit a Change of Control except in accordance with </w:t>
      </w:r>
      <w:r>
        <w:rPr>
          <w:rFonts w:ascii="Times New Roman" w:cs="Times New Roman" w:eastAsia="Times New Roman" w:hAnsi="Times New Roman"/>
          <w:sz w:val="14"/>
          <w:szCs w:val="14"/>
          <w:u w:val="single" w:color="auto"/>
          <w:color w:val="auto"/>
        </w:rPr>
        <w:t>Section 2.2(d)</w:t>
      </w:r>
      <w:r>
        <w:rPr>
          <w:rFonts w:ascii="Times New Roman" w:cs="Times New Roman" w:eastAsia="Times New Roman" w:hAnsi="Times New Roman"/>
          <w:sz w:val="14"/>
          <w:szCs w:val="14"/>
          <w:color w:val="auto"/>
        </w:rPr>
        <w:t>; or without ten (10) Business Days prior written notification to Purchaser Agent, relocate its chief executive office or state of organization or incorporation (as the case may be) or change its legal name; or without Purchaser Agent’s prior written consent, change the date on which its fiscal year ends, except that notwithstanding the foregoing, Issuer may suffer or permit a Change of Control so long as all Obligations are satisfied and otherwise paid in full prior to or in connection with such Change of Control.</w:t>
      </w:r>
    </w:p>
    <w:p>
      <w:pPr>
        <w:spacing w:after="0" w:line="57" w:lineRule="exact"/>
        <w:rPr>
          <w:sz w:val="20"/>
          <w:szCs w:val="20"/>
          <w:color w:val="auto"/>
        </w:rPr>
      </w:pPr>
    </w:p>
    <w:p>
      <w:pPr>
        <w:jc w:val="both"/>
        <w:ind w:left="220" w:right="57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7.3 Mergers or Acquisitions</w:t>
      </w:r>
      <w:r>
        <w:rPr>
          <w:rFonts w:ascii="Times New Roman" w:cs="Times New Roman" w:eastAsia="Times New Roman" w:hAnsi="Times New Roman"/>
          <w:sz w:val="14"/>
          <w:szCs w:val="14"/>
          <w:color w:val="auto"/>
        </w:rPr>
        <w:t>. Except: (i) as permitted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and (ii) with respect to Permitted Acquisitions, merge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consolidate, or permit any of its Subsidiaries to merge or consolidate, with or into any other business organization, or acquire, or permit any of its Subsidiaries to acquire, all or substantially all of the capital stock, equity securities, or property of another Person.</w:t>
      </w:r>
    </w:p>
    <w:p>
      <w:pPr>
        <w:spacing w:after="0" w:line="50" w:lineRule="exact"/>
        <w:rPr>
          <w:sz w:val="20"/>
          <w:szCs w:val="20"/>
          <w:color w:val="auto"/>
        </w:rPr>
      </w:pPr>
    </w:p>
    <w:p>
      <w:pPr>
        <w:ind w:left="220" w:right="3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7.4 Indebtedness</w:t>
      </w:r>
      <w:r>
        <w:rPr>
          <w:rFonts w:ascii="Times New Roman" w:cs="Times New Roman" w:eastAsia="Times New Roman" w:hAnsi="Times New Roman"/>
          <w:sz w:val="14"/>
          <w:szCs w:val="14"/>
          <w:color w:val="auto"/>
        </w:rPr>
        <w:t>. Create, incur, assume or be or remain liable with respect to any Indebtedness, or permit any Subsidiary so to do,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Permitted Indebtedness.</w:t>
      </w:r>
    </w:p>
    <w:p>
      <w:pPr>
        <w:spacing w:after="0" w:line="37" w:lineRule="exact"/>
        <w:rPr>
          <w:sz w:val="20"/>
          <w:szCs w:val="20"/>
          <w:color w:val="auto"/>
        </w:rPr>
      </w:pPr>
    </w:p>
    <w:p>
      <w:pPr>
        <w:ind w:left="220" w:right="27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7.5 Encumbrances</w:t>
      </w:r>
      <w:r>
        <w:rPr>
          <w:rFonts w:ascii="Times New Roman" w:cs="Times New Roman" w:eastAsia="Times New Roman" w:hAnsi="Times New Roman"/>
          <w:sz w:val="14"/>
          <w:szCs w:val="14"/>
          <w:color w:val="auto"/>
        </w:rPr>
        <w:t>. Create, incur, assume or suffer to exist any Lien with respect to any of its property (including without limitation,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Intellectual Property), or assign or otherwise convey any right to receive income, including the sale of any Accounts, or permit any of its Subsidiaries to do so, except for Permitted Liens, or agree with any Person other than Purchaser Agent and the Purchasers not to grant a security interest in, or otherwise encumber, any of its property (including without limitation, its Intellectual Property), or permit any Subsidiary to do so.</w:t>
      </w:r>
    </w:p>
    <w:p>
      <w:pPr>
        <w:spacing w:after="0" w:line="53" w:lineRule="exact"/>
        <w:rPr>
          <w:sz w:val="20"/>
          <w:szCs w:val="20"/>
          <w:color w:val="auto"/>
        </w:rPr>
      </w:pPr>
    </w:p>
    <w:p>
      <w:pPr>
        <w:ind w:left="220" w:right="29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7.6 Distributions</w:t>
      </w:r>
      <w:r>
        <w:rPr>
          <w:rFonts w:ascii="Times New Roman" w:cs="Times New Roman" w:eastAsia="Times New Roman" w:hAnsi="Times New Roman"/>
          <w:sz w:val="14"/>
          <w:szCs w:val="14"/>
          <w:color w:val="auto"/>
        </w:rPr>
        <w:t>. Pay any dividends or make any other distribution or payment on account of or in redemption, retirement or purchase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capital stock, or pay any management fees, advisory fees or similar fees to any Affiliate (it being understood, for the avoidance of doubt, that this shall not apply to compensation paid to officers or directors of Issuer for their service in such capacity in the ordinary course of Issuer’s business), or permit any of its Subsidiaries to do so, except that (a) Issuer may repurchase the stock of former employees, directors, consultants, advisors or other persons performing services for Issuer or any Subsidiary pursuant to agreements under which Issuer has the option to repurchase such shares upon the occurrence of certain events, such as the termination of employment or service, or pursuant to a right of first refusal (i) prior to the Milestone, in an aggregate amount not to exceed, $15,000,000 and (ii) from and after the Milestone, in any amount so long as, immediately prior to and after giving effect to such repurchase, Issuer is compliant with the Liquidity Condition (and would have been compliant with the Liquidity Condition at all times during the most recent fiscal quarter on a pro forma basis), and (b) any Subsidiary of an Obligor may pay dividends and distributions to such Obligor.</w:t>
      </w:r>
    </w:p>
    <w:p>
      <w:pPr>
        <w:spacing w:after="0" w:line="62" w:lineRule="exact"/>
        <w:rPr>
          <w:sz w:val="20"/>
          <w:szCs w:val="20"/>
          <w:color w:val="auto"/>
        </w:rPr>
      </w:pPr>
    </w:p>
    <w:p>
      <w:pPr>
        <w:ind w:left="220" w:right="29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7.7 Investments</w:t>
      </w:r>
      <w:r>
        <w:rPr>
          <w:rFonts w:ascii="Times New Roman" w:cs="Times New Roman" w:eastAsia="Times New Roman" w:hAnsi="Times New Roman"/>
          <w:sz w:val="14"/>
          <w:szCs w:val="14"/>
          <w:color w:val="auto"/>
        </w:rPr>
        <w:t>. Directly or indirectly acquire or own, or make any Investment in or to any Person, or permit any of its Subsidiaries so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other than Permitted Investments; or suffer or permit any Subsidiary to be a party to, or be bound by, an agreement that restricts such Subsidiary from paying dividends or otherwise distributing property to Issuer.</w:t>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7.8 Transactions with Affiliates</w:t>
      </w:r>
      <w:r>
        <w:rPr>
          <w:rFonts w:ascii="Times New Roman" w:cs="Times New Roman" w:eastAsia="Times New Roman" w:hAnsi="Times New Roman"/>
          <w:sz w:val="14"/>
          <w:szCs w:val="14"/>
          <w:color w:val="auto"/>
        </w:rPr>
        <w:t>. Directly or indirectly enter into or permit to exist, or suffer or permit any Subsidiary to enter into or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permit to exist, any transaction with any Affiliate of such Obligor or Subsidiary, as applicable, with a value in excess of (X) prior to the Milestone,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$500,000 and (Y) from and after the Milestone, $2,500,000 in the aggregate, except for (i) transactions that are in the ordinary course of such Obligor’s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business, upon fair and reasonable terms that are no less favorable to such Obligor than would be obtained in an arm’s length transaction with a</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non-affiliated Person, and (ii) transactions specifically permitted pursuant to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xml:space="preserve"> above.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565" w:name="page566"/>
    <w:bookmarkEnd w:id="565"/>
    <w:p>
      <w:pPr>
        <w:ind w:left="220" w:right="53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7.9 Subordinated Debt</w:t>
      </w:r>
      <w:r>
        <w:rPr>
          <w:rFonts w:ascii="Times New Roman" w:cs="Times New Roman" w:eastAsia="Times New Roman" w:hAnsi="Times New Roman"/>
          <w:sz w:val="14"/>
          <w:szCs w:val="14"/>
          <w:color w:val="auto"/>
        </w:rPr>
        <w:t>. Make any payment in respect of any Subordinated Debt, or permit any of its Subsidiaries to make any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except in compliance with the terms of such Subordinated Debt, or amend any provision contained in any documentation relating to the Subordinated Debt without Purchaser Agent’s prior written consent. For the abundance of caution, in no event shall any Obligor make any payment under any Subordinated Debt if an Event of Default has occurred and is continuing or would occur as a result of such payment.</w:t>
      </w:r>
    </w:p>
    <w:p>
      <w:pPr>
        <w:spacing w:after="0" w:line="53" w:lineRule="exact"/>
        <w:rPr>
          <w:sz w:val="20"/>
          <w:szCs w:val="20"/>
          <w:color w:val="auto"/>
        </w:rPr>
      </w:pPr>
    </w:p>
    <w:p>
      <w:pPr>
        <w:ind w:left="220" w:right="27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7.10 Inventory and Equipment</w:t>
      </w:r>
      <w:r>
        <w:rPr>
          <w:rFonts w:ascii="Times New Roman" w:cs="Times New Roman" w:eastAsia="Times New Roman" w:hAnsi="Times New Roman"/>
          <w:sz w:val="14"/>
          <w:szCs w:val="14"/>
          <w:color w:val="auto"/>
        </w:rPr>
        <w:t>. Store the Inventory or the Equipment with a bailee, warehouseman, or other third party unless the third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party has been notified of Purchaser Agent’s security interest and Purchaser Agent (a) has received an acknowledgment from the third party that it is holding or will hold the Inventory or Equipment for Purchaser Agent’s benefit or (b) is in pledge possession of the warehouse receipt, where negotiable, covering such Inventory or Equipment. Store or maintain any Equipment or Inventory at a location other than the location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of this Agreement.</w:t>
      </w:r>
    </w:p>
    <w:p>
      <w:pPr>
        <w:spacing w:after="0" w:line="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7.11 Compliance with Laws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79" w:firstLine="1116"/>
        <w:spacing w:after="0" w:line="256" w:lineRule="auto"/>
        <w:tabs>
          <w:tab w:leader="none" w:pos="1531" w:val="left"/>
        </w:tabs>
        <w:numPr>
          <w:ilvl w:val="1"/>
          <w:numId w:val="3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Become an “investment company” or be controlled by an “investment company,” within the meaning of the Investment Company Act of 1940, or become principally engaged in, or undertake as one of its important activities, the business of extending credit for the purpose of purchasing or carrying Margin Stock, or use the proceeds of any Notes for such purpose. Fail to meet the minimum funding requirements of ERISA, permit a Reportable Event or Prohibited Transaction, as defined in ERISA, to occur, fail to comply with the Federal Fair Labor Standards Act or violate any law or regulation, which violation could have a Material Adverse Effect, or a material adverse effect on the Collateral or the priority of Purchaser Agents’ Lien on the Collateral, or permit any of its Subsidiaries to do any of the foregoing.</w:t>
      </w:r>
    </w:p>
    <w:p>
      <w:pPr>
        <w:spacing w:after="0" w:line="60" w:lineRule="exact"/>
        <w:rPr>
          <w:rFonts w:ascii="Times New Roman" w:cs="Times New Roman" w:eastAsia="Times New Roman" w:hAnsi="Times New Roman"/>
          <w:sz w:val="14"/>
          <w:szCs w:val="14"/>
          <w:b w:val="1"/>
          <w:bCs w:val="1"/>
          <w:color w:val="auto"/>
        </w:rPr>
      </w:pPr>
    </w:p>
    <w:p>
      <w:pPr>
        <w:ind w:left="220" w:right="259" w:firstLine="1116"/>
        <w:spacing w:after="0" w:line="271" w:lineRule="auto"/>
        <w:tabs>
          <w:tab w:leader="none" w:pos="1539" w:val="left"/>
        </w:tabs>
        <w:numPr>
          <w:ilvl w:val="1"/>
          <w:numId w:val="3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Use, or permit any of their Affiliates or any of their respective agents acting or benefiting in any capacity in connection with the transactions contemplated by this Agreement to use, any proceeds of the Notes for the purposes of financing the activities of any Sanctioned Person, or permit any Affiliate to, directly or indirectly, knowingly enter into any documents, instruments, agreements or contracts with any Sanctioned Person or any other Person that is debarred, excluded, suspended or otherwise limited from participation in U.S. state or federal health care program or any federal health care program. Issuer and each of its Subsidiaries shall immediately notify Purchaser Agent if Issuer or such Subsidiary has knowledge that Issuer, or any Subsidiary or Affiliate of Issuer, is a Sanctioned Person or (a) is convicted on, (b) pleads </w:t>
      </w:r>
      <w:r>
        <w:rPr>
          <w:rFonts w:ascii="Times New Roman" w:cs="Times New Roman" w:eastAsia="Times New Roman" w:hAnsi="Times New Roman"/>
          <w:sz w:val="13"/>
          <w:szCs w:val="13"/>
          <w:i w:val="1"/>
          <w:iCs w:val="1"/>
          <w:color w:val="auto"/>
        </w:rPr>
        <w:t>nobo contendere</w:t>
      </w:r>
      <w:r>
        <w:rPr>
          <w:rFonts w:ascii="Times New Roman" w:cs="Times New Roman" w:eastAsia="Times New Roman" w:hAnsi="Times New Roman"/>
          <w:sz w:val="13"/>
          <w:szCs w:val="13"/>
          <w:color w:val="auto"/>
        </w:rPr>
        <w:t xml:space="preserve"> to, (c) is indicted on, or (d) is arraigned and held over on charges involving money laundering or predicate crimes to money laundering. Neither Issuer nor any of its Subsidiaries shall, nor shall Issuer or any of its Subsidiaries, permit any Affiliate to, directly or indirectly, (i) conduct any business or engage in any transaction or dealing with any Sanctioned Person, including, without limitation, the making or receiving of any contribution of funds, goods or services to or for the benefit of any Sanctioned Person, (ii) deal in, or otherwise engage in any transaction relating to, any property or interests in property blocked or sanctioned pursuant to any Sanctions (including Executive Order No. 13224 or any similar executive order), other Anti-Terrorism Law or other Anti-Corruption Laws, or</w:t>
      </w:r>
    </w:p>
    <w:p>
      <w:pPr>
        <w:spacing w:after="0" w:line="4" w:lineRule="exact"/>
        <w:rPr>
          <w:rFonts w:ascii="Times New Roman" w:cs="Times New Roman" w:eastAsia="Times New Roman" w:hAnsi="Times New Roman"/>
          <w:sz w:val="13"/>
          <w:szCs w:val="13"/>
          <w:b w:val="1"/>
          <w:bCs w:val="1"/>
          <w:color w:val="auto"/>
        </w:rPr>
      </w:pPr>
    </w:p>
    <w:p>
      <w:pPr>
        <w:ind w:left="220" w:right="259" w:firstLine="3"/>
        <w:spacing w:after="0" w:line="255" w:lineRule="auto"/>
        <w:tabs>
          <w:tab w:leader="none" w:pos="465"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or conspire to engage in any transaction that evades or avoids, or has the purpose of evading or avoiding, or attempts to violate, any of the prohibitions set forth in any Sanctions (including Executive Order No. 13224 or any similar executive order), other Anti-Terrorism Law or other Anti-Corruption Laws.</w:t>
      </w:r>
    </w:p>
    <w:p>
      <w:pPr>
        <w:spacing w:after="0" w:line="58" w:lineRule="exact"/>
        <w:rPr>
          <w:sz w:val="20"/>
          <w:szCs w:val="20"/>
          <w:color w:val="auto"/>
        </w:rPr>
      </w:pPr>
    </w:p>
    <w:p>
      <w:pPr>
        <w:ind w:left="220" w:right="2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7.12 Subsidiary Assets</w:t>
      </w:r>
      <w:r>
        <w:rPr>
          <w:rFonts w:ascii="Times New Roman" w:cs="Times New Roman" w:eastAsia="Times New Roman" w:hAnsi="Times New Roman"/>
          <w:sz w:val="14"/>
          <w:szCs w:val="14"/>
          <w:color w:val="auto"/>
        </w:rPr>
        <w:t>. Permit (i) the aggregate value of cash, Cash Equivalents and other assets held by Subsidiaries which are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Obligors to exceed (X) prior to the Milestone, $1,000,000 and (Y) from and after the Milestone, $2,500,000 (or the equivalent in other currencies) at any time and (ii) Subsidiaries which are not an Obligor to own or hold any Intellectual Property at any time.</w:t>
      </w:r>
    </w:p>
    <w:p>
      <w:pPr>
        <w:spacing w:after="0" w:line="50" w:lineRule="exact"/>
        <w:rPr>
          <w:sz w:val="20"/>
          <w:szCs w:val="20"/>
          <w:color w:val="auto"/>
        </w:rPr>
      </w:pPr>
    </w:p>
    <w:p>
      <w:pPr>
        <w:ind w:left="700" w:hanging="135"/>
        <w:spacing w:after="0"/>
        <w:tabs>
          <w:tab w:leader="none" w:pos="700" w:val="left"/>
        </w:tabs>
        <w:numPr>
          <w:ilvl w:val="0"/>
          <w:numId w:val="3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VENTS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EFAULT</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Any one or more of the following events shall constitute an “Event of Default” under this Agreement:</w:t>
      </w:r>
    </w:p>
    <w:p>
      <w:pPr>
        <w:spacing w:after="0" w:line="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8.1 Payment Default</w:t>
      </w:r>
      <w:r>
        <w:rPr>
          <w:rFonts w:ascii="Times New Roman" w:cs="Times New Roman" w:eastAsia="Times New Roman" w:hAnsi="Times New Roman"/>
          <w:sz w:val="14"/>
          <w:szCs w:val="14"/>
          <w:color w:val="auto"/>
        </w:rPr>
        <w:t>. If Issuer fails to pay, when due, any of the Obligations;</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8" w:right="1440" w:bottom="1440" w:gutter="0" w:footer="0" w:header="0"/>
        </w:sectPr>
      </w:pPr>
    </w:p>
    <w:bookmarkStart w:id="566" w:name="page567"/>
    <w:bookmarkEnd w:id="566"/>
    <w:p>
      <w:pPr>
        <w:ind w:left="10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8.2 Covenant Default</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59" w:firstLine="1116"/>
        <w:spacing w:after="0" w:line="282" w:lineRule="auto"/>
        <w:tabs>
          <w:tab w:leader="none" w:pos="1531" w:val="left"/>
        </w:tabs>
        <w:numPr>
          <w:ilvl w:val="0"/>
          <w:numId w:val="3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If Issuer or any of its Subsidiaries fails to perform any obligation under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6</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Sections 6.1</w:t>
      </w:r>
      <w:r>
        <w:rPr>
          <w:rFonts w:ascii="Times New Roman" w:cs="Times New Roman" w:eastAsia="Times New Roman" w:hAnsi="Times New Roman"/>
          <w:sz w:val="14"/>
          <w:szCs w:val="14"/>
          <w:color w:val="auto"/>
        </w:rPr>
        <w:t xml:space="preserve"> (other than with respect to maintenance of existence), </w:t>
      </w:r>
      <w:r>
        <w:rPr>
          <w:rFonts w:ascii="Times New Roman" w:cs="Times New Roman" w:eastAsia="Times New Roman" w:hAnsi="Times New Roman"/>
          <w:sz w:val="14"/>
          <w:szCs w:val="14"/>
          <w:u w:val="single" w:color="auto"/>
          <w:color w:val="auto"/>
        </w:rPr>
        <w:t>6.4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6.11</w:t>
      </w:r>
      <w:r>
        <w:rPr>
          <w:rFonts w:ascii="Times New Roman" w:cs="Times New Roman" w:eastAsia="Times New Roman" w:hAnsi="Times New Roman"/>
          <w:sz w:val="14"/>
          <w:szCs w:val="14"/>
          <w:color w:val="auto"/>
        </w:rPr>
        <w:t xml:space="preserve">) or violates any of the covenants contained in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xml:space="preserve"> of this Agreement; or</w:t>
      </w:r>
    </w:p>
    <w:p>
      <w:pPr>
        <w:spacing w:after="0" w:line="41" w:lineRule="exact"/>
        <w:rPr>
          <w:rFonts w:ascii="Times New Roman" w:cs="Times New Roman" w:eastAsia="Times New Roman" w:hAnsi="Times New Roman"/>
          <w:sz w:val="14"/>
          <w:szCs w:val="14"/>
          <w:b w:val="1"/>
          <w:bCs w:val="1"/>
          <w:color w:val="auto"/>
        </w:rPr>
      </w:pPr>
    </w:p>
    <w:p>
      <w:pPr>
        <w:ind w:left="220" w:right="299" w:firstLine="1116"/>
        <w:spacing w:after="0" w:line="254" w:lineRule="auto"/>
        <w:tabs>
          <w:tab w:leader="none" w:pos="1539" w:val="left"/>
        </w:tabs>
        <w:numPr>
          <w:ilvl w:val="0"/>
          <w:numId w:val="3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Issuer or any of its Subsidiaries fails or neglects to perform or observe any other material term, provision, condition, covenant contained in this Agreement, in any of the Note Documents, and as to any default under such other term, provision, condition or covenant that can be cured, has failed to cure such default within ten (10) days after Issuer or such Subsidiary receives notice thereof or any officer of Issuer or such Subsidiary becomes aware thereof; provided, however, that if the default cannot by its nature be cured within the ten (10) day period or cannot after diligent attempts by Issuer or such Subsidiary be cured within such ten (10) day period, and such default is likely to be cured within a reasonable time, then Issuer or such Subsidiary, as applicable, shall have an additional reasonable period (which shall not in any case exceed thirty (30) days) to attempt to cure such default, and within such reasonable time period the failure to have cured such default shall not be deemed an Event of Default but Purchasers will not be obligated to purchase any Notes.</w:t>
      </w:r>
    </w:p>
    <w:p>
      <w:pPr>
        <w:spacing w:after="0" w:line="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8.3 Material Adverse Effect</w:t>
      </w:r>
      <w:r>
        <w:rPr>
          <w:rFonts w:ascii="Times New Roman" w:cs="Times New Roman" w:eastAsia="Times New Roman" w:hAnsi="Times New Roman"/>
          <w:sz w:val="14"/>
          <w:szCs w:val="14"/>
          <w:color w:val="auto"/>
        </w:rPr>
        <w:t>. If there occurs any circumstance or circumstances that could reasonably likely have a Material Adverse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Effect;</w:t>
      </w:r>
    </w:p>
    <w:p>
      <w:pPr>
        <w:spacing w:after="0" w:line="74" w:lineRule="exact"/>
        <w:rPr>
          <w:sz w:val="20"/>
          <w:szCs w:val="20"/>
          <w:color w:val="auto"/>
        </w:rPr>
      </w:pPr>
    </w:p>
    <w:p>
      <w:pPr>
        <w:ind w:left="220" w:right="27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8.4 Attachment</w:t>
      </w:r>
      <w:r>
        <w:rPr>
          <w:rFonts w:ascii="Times New Roman" w:cs="Times New Roman" w:eastAsia="Times New Roman" w:hAnsi="Times New Roman"/>
          <w:sz w:val="14"/>
          <w:szCs w:val="14"/>
          <w:color w:val="auto"/>
        </w:rPr>
        <w:t>. If any portion of any Obligor’s assets is attached, seized, subjected to a writ or distress warrant, or is levied upon,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comes into the possession of any trustee, receiver or person acting in a similar capacity and such attachment, seizure, writ or distress warrant or levy has not been removed, discharged or rescinded within ten (10) days, or if any Obligor is enjoined, restrained, or in any way prevented by court order from continuing to conduct all or any material part of its business affairs, or if a judgment or other claim becomes a lien or encumbrance upon any material portion of such Obligor’s assets, or if a notice of lien, levy, or assessment is filed of record with respect to any of such Obligor’s assets by the United States Government, or any department, agency, or instrumentality thereof, or by any state, county, municipal, or governmental agency, and the same is not paid within forty five (45) days after such Obligor receives notice thereof, provided that none of the foregoing shall constitute an Event of Default where such action or event is stayed or an adequate bond has been posted pending a good faith contest by such Obligor (provided that the Commitments will be suspended during such cure period);</w:t>
      </w:r>
    </w:p>
    <w:p>
      <w:pPr>
        <w:spacing w:after="0" w:line="62" w:lineRule="exact"/>
        <w:rPr>
          <w:sz w:val="20"/>
          <w:szCs w:val="20"/>
          <w:color w:val="auto"/>
        </w:rPr>
      </w:pPr>
    </w:p>
    <w:p>
      <w:pPr>
        <w:ind w:left="220" w:right="61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8.5 Insolvency</w:t>
      </w:r>
      <w:r>
        <w:rPr>
          <w:rFonts w:ascii="Times New Roman" w:cs="Times New Roman" w:eastAsia="Times New Roman" w:hAnsi="Times New Roman"/>
          <w:sz w:val="14"/>
          <w:szCs w:val="14"/>
          <w:color w:val="auto"/>
        </w:rPr>
        <w:t>. If any Obligor becomes insolvent, or if an Insolvency Proceeding is commenced by any Obligor, or if an Insolvency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Proceeding is commenced against any Obligor and is not dismissed or stayed within forty five (45) days (provided that the Commitments will be suspended until such Insolvency Proceeding is dismissed);</w:t>
      </w:r>
    </w:p>
    <w:p>
      <w:pPr>
        <w:spacing w:after="0" w:line="50" w:lineRule="exact"/>
        <w:rPr>
          <w:sz w:val="20"/>
          <w:szCs w:val="20"/>
          <w:color w:val="auto"/>
        </w:rPr>
      </w:pPr>
    </w:p>
    <w:p>
      <w:pPr>
        <w:ind w:left="220" w:right="31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8.6 Other Agreements</w:t>
      </w:r>
      <w:r>
        <w:rPr>
          <w:rFonts w:ascii="Times New Roman" w:cs="Times New Roman" w:eastAsia="Times New Roman" w:hAnsi="Times New Roman"/>
          <w:sz w:val="14"/>
          <w:szCs w:val="14"/>
          <w:color w:val="auto"/>
        </w:rPr>
        <w:t>. If there is a default or other failure to perform in any agreement to which Issuer or any Guarantor is a party or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it is bound resulting in a right by a third party or parties, whether or not exercised, to accelerate the maturity of any Indebtedness in an amount in excess of (X) prior to the Milestone, $2,500,000 and (Y) from and after the Milestone, $5,000,000, or which could reasonably be expected to have a Material Adverse Effect;</w:t>
      </w:r>
    </w:p>
    <w:p>
      <w:pPr>
        <w:spacing w:after="0" w:line="53" w:lineRule="exact"/>
        <w:rPr>
          <w:sz w:val="20"/>
          <w:szCs w:val="20"/>
          <w:color w:val="auto"/>
        </w:rPr>
      </w:pPr>
    </w:p>
    <w:p>
      <w:pPr>
        <w:ind w:left="220" w:right="27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8.7 Judgments</w:t>
      </w:r>
      <w:r>
        <w:rPr>
          <w:rFonts w:ascii="Times New Roman" w:cs="Times New Roman" w:eastAsia="Times New Roman" w:hAnsi="Times New Roman"/>
          <w:sz w:val="14"/>
          <w:szCs w:val="14"/>
          <w:color w:val="auto"/>
        </w:rPr>
        <w:t>. If a judgment or judgments for the payment of money in an amount, individually or in the aggregate, of at least (X) prior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Milestone, $2,500,000 and (Y) from and after the Milestone, $5,000,000 (not covered by independent third-party insurance as to which liability has been accepted by such insurance carrier) shall be rendered against Issuer or any Subsidiary and shall remain unsatisfied and unstayed for a period of forty five (45) days (provided that the Commitments will be suspended until such judgment is satisfied or stayed); or</w:t>
      </w:r>
    </w:p>
    <w:p>
      <w:pPr>
        <w:spacing w:after="0" w:line="53" w:lineRule="exact"/>
        <w:rPr>
          <w:sz w:val="20"/>
          <w:szCs w:val="20"/>
          <w:color w:val="auto"/>
        </w:rPr>
      </w:pPr>
    </w:p>
    <w:p>
      <w:pPr>
        <w:ind w:left="220" w:right="57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8.8 Misrepresentations</w:t>
      </w:r>
      <w:r>
        <w:rPr>
          <w:rFonts w:ascii="Times New Roman" w:cs="Times New Roman" w:eastAsia="Times New Roman" w:hAnsi="Times New Roman"/>
          <w:sz w:val="14"/>
          <w:szCs w:val="14"/>
          <w:color w:val="auto"/>
        </w:rPr>
        <w:t>. If any material misrepresentation or material misstatement exists now or hereafter in any warranty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representation set forth herein or in any certificate delivered to Purchaser Agent or any Purchaser by any Responsible Officer of an Obligor or any Subsidiary pursuant to this Agreement or to induce Purchaser Agent or any Purchaser to enter into this Agreement or any other Note Document, as determined when made.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9" w:right="1440" w:bottom="1440" w:gutter="0" w:footer="0" w:header="0"/>
        </w:sectPr>
      </w:pPr>
    </w:p>
    <w:bookmarkStart w:id="567" w:name="page568"/>
    <w:bookmarkEnd w:id="567"/>
    <w:p>
      <w:pPr>
        <w:jc w:val="both"/>
        <w:ind w:left="220" w:right="359" w:firstLine="771"/>
        <w:spacing w:after="0" w:line="28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8.9 Subordinated Debt</w:t>
      </w:r>
      <w:r>
        <w:rPr>
          <w:rFonts w:ascii="Times New Roman" w:cs="Times New Roman" w:eastAsia="Times New Roman" w:hAnsi="Times New Roman"/>
          <w:sz w:val="13"/>
          <w:szCs w:val="13"/>
          <w:color w:val="auto"/>
        </w:rPr>
        <w:t>. Any document, instrument, or agreement evidencing the subordination of any Subordinated Debt shall for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reason be revoked or invalidated or otherwise cease to be in full force and effect, any Person (other than Purchaser Agent)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38" w:lineRule="exact"/>
        <w:rPr>
          <w:sz w:val="20"/>
          <w:szCs w:val="20"/>
          <w:color w:val="auto"/>
        </w:rPr>
      </w:pPr>
    </w:p>
    <w:p>
      <w:pPr>
        <w:ind w:left="220" w:right="23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8.10 Governmental Approvals; FDA Action</w:t>
      </w:r>
      <w:r>
        <w:rPr>
          <w:rFonts w:ascii="Times New Roman" w:cs="Times New Roman" w:eastAsia="Times New Roman" w:hAnsi="Times New Roman"/>
          <w:sz w:val="14"/>
          <w:szCs w:val="14"/>
          <w:color w:val="auto"/>
        </w:rPr>
        <w:t>. (a) Any Governmental Approval shall have been revoked, rescinded, suspended, modified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an adverse manner, or not renewed in the ordinary course for a full term and such revocation, rescission, suspension, modification or non-renewal has resulted in or could reasonably be expected to result in a Material Adverse Effect; or (b) (i) the FDA, DOJ or other Governmental Authority initiates a Regulatory Action or any other enforcement action against Issuer or any of its Subsidiaries or any supplier of Issuer or any of its Subsidiaries that causes Issuer or any of its Subsidiaries to recall, withdraw, remove or discontinue manufacturing, distributing, and/or marketing any of its products or services, which recall, withdraw, removal, or discontinuation has resulted in or could reasonably be expected to result in a Material Adverse Effect, even if such Regulatory Action or other action is based on previously disclosed conduct; (ii) the FDA issues a warning letter or similar notice to Issuer or any of its Subsidiaries with respect to any of its activities or products which could reasonably be expected to result in a Material Adverse Effect; (iii) Issuer or any of its Subsidiaries conducts a mandatory or voluntary recall which could reasonably be expected to result in a Material Adverse Effect; (iv) Issuer or any of its Subsidiaries enters into a settlement agreement with the FDA, DOJ or other Governmental Authority that results in aggregate liability as to any single or related series of transactions, incidents or conditions that could reasonably be expected to result in a Material Adverse Effect, even if such settlement agreement is based on previously disclosed conduct; or (v) the FDA revokes any authorization or permission or certification granted under any Registration, or Issuer or any of its Subsidiaries withdraws any Registration, that could reasonably be expected to result in a Material Adverse Effect.</w:t>
      </w:r>
    </w:p>
    <w:p>
      <w:pPr>
        <w:spacing w:after="0" w:line="59" w:lineRule="exact"/>
        <w:rPr>
          <w:sz w:val="20"/>
          <w:szCs w:val="20"/>
          <w:color w:val="auto"/>
        </w:rPr>
      </w:pPr>
    </w:p>
    <w:p>
      <w:pPr>
        <w:ind w:left="220" w:right="2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8.11 Guaranty. </w:t>
      </w:r>
      <w:r>
        <w:rPr>
          <w:rFonts w:ascii="Times New Roman" w:cs="Times New Roman" w:eastAsia="Times New Roman" w:hAnsi="Times New Roman"/>
          <w:sz w:val="14"/>
          <w:szCs w:val="14"/>
          <w:color w:val="auto"/>
        </w:rPr>
        <w:t>(a) Any Guaranty terminates or ceases for any reason to be in full force and effect (other than a release thereof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accordance with the Note Documents); or (b) the liquidation, winding up, or termination of existence of any Guarantor (except as expressly permitted by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t>For the avoidance of doubt,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set forth in this Article 8; and an Event of Default shall “continue” or be “continuing” until such Event of Default has been waived in writing by the Required Purchasers.</w:t>
      </w:r>
    </w:p>
    <w:p>
      <w:pPr>
        <w:spacing w:after="0" w:line="53" w:lineRule="exact"/>
        <w:rPr>
          <w:sz w:val="20"/>
          <w:szCs w:val="20"/>
          <w:color w:val="auto"/>
        </w:rPr>
      </w:pPr>
    </w:p>
    <w:p>
      <w:pPr>
        <w:ind w:left="700" w:hanging="135"/>
        <w:spacing w:after="0"/>
        <w:tabs>
          <w:tab w:leader="none" w:pos="700" w:val="left"/>
        </w:tabs>
        <w:numPr>
          <w:ilvl w:val="0"/>
          <w:numId w:val="3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IGHTS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EMEDIES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220" w:right="37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9.1 Rights and Remedies</w:t>
      </w:r>
      <w:r>
        <w:rPr>
          <w:rFonts w:ascii="Times New Roman" w:cs="Times New Roman" w:eastAsia="Times New Roman" w:hAnsi="Times New Roman"/>
          <w:sz w:val="14"/>
          <w:szCs w:val="14"/>
          <w:color w:val="auto"/>
        </w:rPr>
        <w:t>. Upon the occurrence and during the continuance of an Event of Default, Purchaser Agent and the Purchasers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at their election (and at the request of the Required Purchasers, Purchaser Agent shall), without notice of its election and without demand, do any one or more of the following, all of which are authorized by the Obligors:</w:t>
      </w:r>
    </w:p>
    <w:p>
      <w:pPr>
        <w:spacing w:after="0" w:line="52" w:lineRule="exact"/>
        <w:rPr>
          <w:sz w:val="20"/>
          <w:szCs w:val="20"/>
          <w:color w:val="auto"/>
        </w:rPr>
      </w:pPr>
    </w:p>
    <w:p>
      <w:pPr>
        <w:ind w:left="1540" w:hanging="204"/>
        <w:spacing w:after="0"/>
        <w:tabs>
          <w:tab w:leader="none" w:pos="1540" w:val="left"/>
        </w:tabs>
        <w:numPr>
          <w:ilvl w:val="0"/>
          <w:numId w:val="3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 notice of the Event of Default to Issuer;</w:t>
      </w:r>
    </w:p>
    <w:p>
      <w:pPr>
        <w:spacing w:after="0" w:line="90" w:lineRule="exact"/>
        <w:rPr>
          <w:rFonts w:ascii="Times New Roman" w:cs="Times New Roman" w:eastAsia="Times New Roman" w:hAnsi="Times New Roman"/>
          <w:sz w:val="14"/>
          <w:szCs w:val="14"/>
          <w:b w:val="1"/>
          <w:bCs w:val="1"/>
          <w:color w:val="auto"/>
        </w:rPr>
      </w:pPr>
    </w:p>
    <w:p>
      <w:pPr>
        <w:ind w:left="220" w:right="259" w:firstLine="1116"/>
        <w:spacing w:after="0" w:line="266" w:lineRule="auto"/>
        <w:tabs>
          <w:tab w:leader="none" w:pos="1539" w:val="left"/>
        </w:tabs>
        <w:numPr>
          <w:ilvl w:val="0"/>
          <w:numId w:val="3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Declare the Repayment Amount and all other Obligations immediately due and payable (but if an Event of Default described in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occurs the Repayment Amount and all other Obligations shall be immediately due and payable without any action by Purchaser Agent or the Purchasers);</w:t>
      </w:r>
    </w:p>
    <w:p>
      <w:pPr>
        <w:spacing w:after="0" w:line="52" w:lineRule="exact"/>
        <w:rPr>
          <w:rFonts w:ascii="Times New Roman" w:cs="Times New Roman" w:eastAsia="Times New Roman" w:hAnsi="Times New Roman"/>
          <w:sz w:val="14"/>
          <w:szCs w:val="14"/>
          <w:b w:val="1"/>
          <w:bCs w:val="1"/>
          <w:color w:val="auto"/>
        </w:rPr>
      </w:pPr>
    </w:p>
    <w:p>
      <w:pPr>
        <w:ind w:left="220" w:right="519" w:firstLine="1116"/>
        <w:spacing w:after="0" w:line="282" w:lineRule="auto"/>
        <w:tabs>
          <w:tab w:leader="none" w:pos="1523" w:val="left"/>
        </w:tabs>
        <w:numPr>
          <w:ilvl w:val="0"/>
          <w:numId w:val="3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Suspend or terminate the Commitments (but if an Event of Default described in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occurs all Commitments shall be immediately terminated without any action by Purchaser Agent or the Purchasers);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8" w:right="1440" w:bottom="1440" w:gutter="0" w:footer="0" w:header="0"/>
        </w:sectPr>
      </w:pPr>
    </w:p>
    <w:bookmarkStart w:id="568" w:name="page569"/>
    <w:bookmarkEnd w:id="568"/>
    <w:p>
      <w:pPr>
        <w:ind w:left="220" w:right="259" w:firstLine="1116"/>
        <w:spacing w:after="0" w:line="282" w:lineRule="auto"/>
        <w:tabs>
          <w:tab w:leader="none" w:pos="1539"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Settle or adjust disputes and claims directly with account debtors for amounts, upon terms and in whatever order that the Secured Parties reasonably consider advisable;</w:t>
      </w:r>
    </w:p>
    <w:p>
      <w:pPr>
        <w:spacing w:after="0" w:line="41" w:lineRule="exact"/>
        <w:rPr>
          <w:rFonts w:ascii="Times New Roman" w:cs="Times New Roman" w:eastAsia="Times New Roman" w:hAnsi="Times New Roman"/>
          <w:sz w:val="14"/>
          <w:szCs w:val="14"/>
          <w:b w:val="1"/>
          <w:bCs w:val="1"/>
          <w:color w:val="auto"/>
        </w:rPr>
      </w:pPr>
    </w:p>
    <w:p>
      <w:pPr>
        <w:ind w:left="220" w:right="259" w:firstLine="1116"/>
        <w:spacing w:after="0" w:line="255" w:lineRule="auto"/>
        <w:tabs>
          <w:tab w:leader="none" w:pos="1523"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Make such payments and do such acts as Purchaser Agent consider necessary or reasonable to protect its security interest in the Collateral. Each Obligor agrees to assemble the Collateral if Purchaser Agent so requires, and to make the Collateral available to Purchaser Agent as Purchaser Agent may designate. Each Obligor authorizes Purchaser Agent to enter the premises where the Collateral is located, to take and maintain possession of the Collateral, or any part of it, and to pay, purchase, contest, or compromise any encumbrance, charge, or lien which in Purchaser Agent’s determination appears to be prior or superior to its security interest and to pay all expenses incurred in connection therewith. With respect to any of the Obligors’ owned premises, Obligors hereby grant Purchaser Agent a license to enter into possession of such premises and to occupy the same, without charge, in order to exercise any of Purchaser Agent’s rights or remedies provided herein, at law, in equity, or otherwise;</w:t>
      </w:r>
    </w:p>
    <w:p>
      <w:pPr>
        <w:spacing w:after="0" w:line="61" w:lineRule="exact"/>
        <w:rPr>
          <w:rFonts w:ascii="Times New Roman" w:cs="Times New Roman" w:eastAsia="Times New Roman" w:hAnsi="Times New Roman"/>
          <w:sz w:val="14"/>
          <w:szCs w:val="14"/>
          <w:b w:val="1"/>
          <w:bCs w:val="1"/>
          <w:color w:val="auto"/>
        </w:rPr>
      </w:pPr>
    </w:p>
    <w:p>
      <w:pPr>
        <w:ind w:left="220" w:right="339" w:firstLine="1116"/>
        <w:spacing w:after="0" w:line="282" w:lineRule="auto"/>
        <w:tabs>
          <w:tab w:leader="none" w:pos="1508"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Set off and apply to the Obligations any and all indebtedness at any time owing to or for the credit or the account of any Obligor held by Purchaser Agent or any Purchaser;</w:t>
      </w:r>
    </w:p>
    <w:p>
      <w:pPr>
        <w:spacing w:after="0" w:line="41" w:lineRule="exact"/>
        <w:rPr>
          <w:rFonts w:ascii="Times New Roman" w:cs="Times New Roman" w:eastAsia="Times New Roman" w:hAnsi="Times New Roman"/>
          <w:sz w:val="14"/>
          <w:szCs w:val="14"/>
          <w:b w:val="1"/>
          <w:bCs w:val="1"/>
          <w:color w:val="auto"/>
        </w:rPr>
      </w:pPr>
    </w:p>
    <w:p>
      <w:pPr>
        <w:ind w:left="220" w:right="459" w:firstLine="1116"/>
        <w:spacing w:after="0" w:line="256" w:lineRule="auto"/>
        <w:tabs>
          <w:tab w:leader="none" w:pos="1531"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Ship, reclaim, recover, store, finish, maintain, repair, prepare for sale, advertise for sale, and sell (in the manner provided for herein) the Collateral. Purchaser Agent is hereby granted a license or other right, solely pursuant to the provisions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to use, without charge, each Obligor’s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Purchaser Agent’s exercise of its rights under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each Obligor’s rights under all licenses and all franchise agreements shall inure to Purchaser Agent’s benefit;</w:t>
      </w:r>
    </w:p>
    <w:p>
      <w:pPr>
        <w:spacing w:after="0" w:line="60" w:lineRule="exact"/>
        <w:rPr>
          <w:rFonts w:ascii="Times New Roman" w:cs="Times New Roman" w:eastAsia="Times New Roman" w:hAnsi="Times New Roman"/>
          <w:sz w:val="14"/>
          <w:szCs w:val="14"/>
          <w:b w:val="1"/>
          <w:bCs w:val="1"/>
          <w:color w:val="auto"/>
        </w:rPr>
      </w:pPr>
    </w:p>
    <w:p>
      <w:pPr>
        <w:ind w:left="220" w:right="559" w:firstLine="1116"/>
        <w:spacing w:after="0" w:line="266" w:lineRule="auto"/>
        <w:tabs>
          <w:tab w:leader="none" w:pos="1539"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Dispose of the Collateral by way of one or more contracts or transactions, for cash or on terms, in such manner and at such places (including any Obligor’s premises) as Purchaser Agent determines is commercially reasonable, and apply any proceeds to the Obligations in whatever manner or order Purchaser Agent deems appropriate;</w:t>
      </w:r>
    </w:p>
    <w:p>
      <w:pPr>
        <w:spacing w:after="0" w:line="52" w:lineRule="exact"/>
        <w:rPr>
          <w:rFonts w:ascii="Times New Roman" w:cs="Times New Roman" w:eastAsia="Times New Roman" w:hAnsi="Times New Roman"/>
          <w:sz w:val="14"/>
          <w:szCs w:val="14"/>
          <w:b w:val="1"/>
          <w:bCs w:val="1"/>
          <w:color w:val="auto"/>
        </w:rPr>
      </w:pPr>
    </w:p>
    <w:p>
      <w:pPr>
        <w:ind w:left="1500" w:hanging="164"/>
        <w:spacing w:after="0"/>
        <w:tabs>
          <w:tab w:leader="none" w:pos="1500"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Purchaser Agent and any Purchaser may credit bid and purchase at any public sale; and</w:t>
      </w:r>
    </w:p>
    <w:p>
      <w:pPr>
        <w:spacing w:after="0" w:line="90"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deficiency that exists after disposition of the Collateral as provided above will be paid immediately by the Obligors.</w:t>
      </w:r>
    </w:p>
    <w:p>
      <w:pPr>
        <w:spacing w:after="0" w:line="175"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color w:val="auto"/>
        </w:rPr>
        <w:t xml:space="preserve">For the avoidance of doubt the Repayment Amount shall be due and payable at any time the Obligations become due and payable or are otherwise accelerated hereunder for any reason, whether due to acceleration pursuant to the terms of this Agreement (in which case it shall be due immediately, upon the giving of notice to Issuer in accordance with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xml:space="preserve">, or automatically, in accordance with the parenthetical to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by operation of law or otherwise (including where bankruptcy filings or the exercise of any bankruptcy right or power, whether in any plan of reorganization or otherwise, results or would result in a payment, discharge, modification or other treatment of the Notes or Note Documents that would otherwise evade, avoid, or otherwise disappoint the expectations of the Purchasers in receiving the full benefit of their bargained-for Repayment Amount). The Obligors acknowledge and agree that none of the Repayment Amount shall constitute unmatured interest, whether under Section 502(b)</w:t>
      </w:r>
    </w:p>
    <w:p>
      <w:pPr>
        <w:spacing w:after="0" w:line="2" w:lineRule="exact"/>
        <w:rPr>
          <w:sz w:val="20"/>
          <w:szCs w:val="20"/>
          <w:color w:val="auto"/>
        </w:rPr>
      </w:pPr>
    </w:p>
    <w:p>
      <w:pPr>
        <w:ind w:left="220" w:right="319" w:firstLine="3"/>
        <w:spacing w:after="0" w:line="251" w:lineRule="auto"/>
        <w:tabs>
          <w:tab w:leader="none" w:pos="418"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United States Bankruptcy Code or otherwise, but instead is reasonably calculated to ensure that the Purchasers receive the benefit of their bargain under the terms of this Agreement. Upon becoming due and payable pursuant to the terms of this Agreement, the Repayment Amount shall be deemed to be principal of the Notes and interest shall accrue thereon from and after the applicable triggering event. In the event the Obligations are reinstated in connection with or following any applicable triggering event (whether pursuant to Section 1124 of the United States Bankruptcy Code or otherwise), it is understood and agreed that the Obligations shall include any Repayment Amount payable in accordance with the Note Documents. The Obligors acknowledge and agree that the Purchasers shall be entitled to recover the full amount of the Repayment Amount in each and every circumstance such amount is due pursuant to or in connection with this Agreement, including in the case of any Insolvency Proceeding affecting Issuer or any of its Subsidiaries, so that the Purchasers shall receive the benefit of their bargain hereunder and otherwise receive full recovery as agreed under every possible circumstance. EACH OBLIGOR HEREBY WAIVES THE PROVISIONS OF ANY PRESENT OR FUTURE STATUTE OR LAW THAT PROHIBITS OR MAY PROHIBIT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569" w:name="page570"/>
    <w:bookmarkEnd w:id="569"/>
    <w:p>
      <w:pPr>
        <w:ind w:left="220" w:right="27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COLLECTION OF ANY PORTION OF THE FULL REPAYMENT AMOUNT AND ANY DEFENSE TO PAYMENT OF THE FULL REPAYMENT AMOUNT, WHETHER SUCH DEFENSE MAY BE BASED IN PUBLIC POLICY, AMBIGUITY, OR OTHERWISE. The Obligors further acknowledge and agree, and waive any argument to the contrary, that payment of such amounts does not constitute a penalty or an otherwise unenforceable or invalid obligation. Each Obligor acknowledges and agrees that, prior to executing this Agreement, it has had the opportunity to review and negotiate the Repayment Amount with its advisors, and that (i) the Repayment Amount is reasonable and is the product of an arm’s-length transaction between sophisticated business people, ably represented by counsel, (ii) the Repayment Amount shall be payable notwithstanding the then prevailing market rates at the time payment is made, (iii) each Obligor shall be estopped hereafter from claiming differently than as agreed to in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(iv) the Issuer’s agreement to pay the Repayment Amount is a material inducement to the Purchaser’s agreement to purchase the Notes, and</w:t>
      </w:r>
    </w:p>
    <w:p>
      <w:pPr>
        <w:spacing w:after="0" w:line="3" w:lineRule="exact"/>
        <w:rPr>
          <w:sz w:val="20"/>
          <w:szCs w:val="20"/>
          <w:color w:val="auto"/>
        </w:rPr>
      </w:pPr>
    </w:p>
    <w:p>
      <w:pPr>
        <w:ind w:left="220" w:right="279" w:firstLine="3"/>
        <w:spacing w:after="0" w:line="253" w:lineRule="auto"/>
        <w:tabs>
          <w:tab w:leader="none" w:pos="418"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Amount represents a good faith, reasonable estimate and calculation of the lost profits, losses or other damages of the Purchasers and that it would be impractical and extremely difficult to ascertain the actual amount of damages to the Purchasers or profits lost by the Purchasers as a result of such any applicable triggering event. Any damages that the Purchasers may suffer or incur resulting from or arising in connection with any breach hereof or thereof by any Obligor shall constitute Obligations owing to the Purchasers.</w:t>
      </w:r>
    </w:p>
    <w:p>
      <w:pPr>
        <w:spacing w:after="0" w:line="60" w:lineRule="exact"/>
        <w:rPr>
          <w:sz w:val="20"/>
          <w:szCs w:val="20"/>
          <w:color w:val="auto"/>
        </w:rPr>
      </w:pPr>
    </w:p>
    <w:p>
      <w:pPr>
        <w:ind w:left="220" w:right="439" w:firstLine="771"/>
        <w:spacing w:after="0" w:line="282" w:lineRule="auto"/>
        <w:rPr>
          <w:sz w:val="20"/>
          <w:szCs w:val="20"/>
          <w:color w:val="auto"/>
        </w:rPr>
      </w:pPr>
      <w:r>
        <w:rPr>
          <w:rFonts w:ascii="Times New Roman" w:cs="Times New Roman" w:eastAsia="Times New Roman" w:hAnsi="Times New Roman"/>
          <w:sz w:val="13"/>
          <w:szCs w:val="13"/>
          <w:b w:val="1"/>
          <w:bCs w:val="1"/>
          <w:color w:val="auto"/>
        </w:rPr>
        <w:t>9.2 Power of Attorney</w:t>
      </w:r>
      <w:r>
        <w:rPr>
          <w:rFonts w:ascii="Times New Roman" w:cs="Times New Roman" w:eastAsia="Times New Roman" w:hAnsi="Times New Roman"/>
          <w:sz w:val="13"/>
          <w:szCs w:val="13"/>
          <w:color w:val="auto"/>
        </w:rPr>
        <w:t>. Effective only upon the occurrence and during the continuance of an Event of Default, each Obligor hereby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irrevocably appoints Purchaser Agent (and any of Purchaser Agent’s designated officers, or employees) as such Obligor’s true and lawful attorney to:</w:t>
      </w:r>
    </w:p>
    <w:p>
      <w:pPr>
        <w:spacing w:after="0" w:line="1" w:lineRule="exact"/>
        <w:rPr>
          <w:sz w:val="20"/>
          <w:szCs w:val="20"/>
          <w:color w:val="auto"/>
        </w:rPr>
      </w:pPr>
    </w:p>
    <w:p>
      <w:pPr>
        <w:ind w:left="220" w:right="239" w:firstLine="3"/>
        <w:spacing w:after="0" w:line="251" w:lineRule="auto"/>
        <w:tabs>
          <w:tab w:leader="none" w:pos="41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send requests for verification of Accounts or notify account debtors of the Secured Parties’ security interest in the Accounts; (b) endorse such Obligor’s name on any checks or other forms of payment or security that may come into Purchaser Agent’s possession; (c) sign such Obligor’s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the Obligors’ policies of insurance; (f) settle and adjust disputes and claims respecting the accounts directly with account debtors, for amounts and upon terms which Purchaser Agent determines to be reasonable; and (g) to file, in its sole discretion, one or more financing or continuation statements and amendments thereto, relative to any of the Collateral. The appointment of Purchaser Agent as each Obligor’s attorney in fact, and each and every one of Purchaser Agent’s rights and powers, being coupled with an interest, is irrevocable until, and shall be automatically revoked when, all of the Obligations have been fully repaid and performed and the commitments are terminated.</w:t>
      </w:r>
    </w:p>
    <w:p>
      <w:pPr>
        <w:spacing w:after="0" w:line="63" w:lineRule="exact"/>
        <w:rPr>
          <w:sz w:val="20"/>
          <w:szCs w:val="20"/>
          <w:color w:val="auto"/>
        </w:rPr>
      </w:pPr>
    </w:p>
    <w:p>
      <w:pPr>
        <w:ind w:left="220" w:right="25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9.3 Accounts Collection</w:t>
      </w:r>
      <w:r>
        <w:rPr>
          <w:rFonts w:ascii="Times New Roman" w:cs="Times New Roman" w:eastAsia="Times New Roman" w:hAnsi="Times New Roman"/>
          <w:sz w:val="14"/>
          <w:szCs w:val="14"/>
          <w:color w:val="auto"/>
        </w:rPr>
        <w:t>. At any time after the occurrence and during the continuance of an Event of Default, Purchaser Agent may notify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Person owing funds to any Obligor of the Secured Parties’ security interest in such funds and verify the amount of such Account. Each Obligor shall collect all amounts owing to such Obligor for the Secured Parties, receive in trust all payments as Purchaser Agent’s trustee, and immediately deliver such payments to Purchaser Agent, for the benefit of the Secured Parties, in their original form as received from the account debtor, with proper endorsements for deposit.</w:t>
      </w:r>
    </w:p>
    <w:p>
      <w:pPr>
        <w:spacing w:after="0" w:line="55" w:lineRule="exact"/>
        <w:rPr>
          <w:sz w:val="20"/>
          <w:szCs w:val="20"/>
          <w:color w:val="auto"/>
        </w:rPr>
      </w:pPr>
    </w:p>
    <w:p>
      <w:pPr>
        <w:ind w:left="220" w:right="259" w:firstLine="771"/>
        <w:spacing w:after="0" w:line="255" w:lineRule="auto"/>
        <w:rPr>
          <w:sz w:val="20"/>
          <w:szCs w:val="20"/>
          <w:color w:val="auto"/>
        </w:rPr>
      </w:pPr>
      <w:r>
        <w:rPr>
          <w:rFonts w:ascii="Times New Roman" w:cs="Times New Roman" w:eastAsia="Times New Roman" w:hAnsi="Times New Roman"/>
          <w:sz w:val="14"/>
          <w:szCs w:val="14"/>
          <w:b w:val="1"/>
          <w:bCs w:val="1"/>
          <w:color w:val="auto"/>
        </w:rPr>
        <w:t>9.4 Protective Payments</w:t>
      </w:r>
      <w:r>
        <w:rPr>
          <w:rFonts w:ascii="Times New Roman" w:cs="Times New Roman" w:eastAsia="Times New Roman" w:hAnsi="Times New Roman"/>
          <w:sz w:val="14"/>
          <w:szCs w:val="14"/>
          <w:color w:val="auto"/>
        </w:rPr>
        <w:t>. If any Obligor fails to pay any amounts or furnish any required proof of payment due to third persons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entities, as required under the terms of this Agreement, then Purchaser Agent, on behalf of the Secured Parties, may do any or all of the following after reasonable notice to Issuer: (a) make payment of the same or any part thereof; (b) [reserved]; or (c) obtain and maintain insurance policies of the type discussed in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of this Agreement, and take any action with respect to such policies as Purchaser Agent deems prudent. Any amounts so paid or deposited by Purchaser Agent shall constitute Reimbursable Expenses, shall be immediately due and payable, and shall bear interest at the Applicable Rate (or, subject to </w:t>
      </w:r>
      <w:r>
        <w:rPr>
          <w:rFonts w:ascii="Times New Roman" w:cs="Times New Roman" w:eastAsia="Times New Roman" w:hAnsi="Times New Roman"/>
          <w:sz w:val="14"/>
          <w:szCs w:val="14"/>
          <w:u w:val="single" w:color="auto"/>
          <w:color w:val="auto"/>
        </w:rPr>
        <w:t>Section 2.3(c)</w:t>
      </w:r>
      <w:r>
        <w:rPr>
          <w:rFonts w:ascii="Times New Roman" w:cs="Times New Roman" w:eastAsia="Times New Roman" w:hAnsi="Times New Roman"/>
          <w:sz w:val="14"/>
          <w:szCs w:val="14"/>
          <w:color w:val="auto"/>
        </w:rPr>
        <w:t>, the Default Rate), and shall be secured by the Collateral. Any payments made by Purchaser Agent shall not constitute an agreement by Purchaser Agent, any Purchaser or any of their respective Affiliates to make similar payments in the future or a waiver by the Purchasers of any Event of Default under this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570" w:name="page571"/>
    <w:bookmarkEnd w:id="570"/>
    <w:p>
      <w:pPr>
        <w:ind w:left="220" w:right="41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9.5 Liability for Collateral</w:t>
      </w:r>
      <w:r>
        <w:rPr>
          <w:rFonts w:ascii="Times New Roman" w:cs="Times New Roman" w:eastAsia="Times New Roman" w:hAnsi="Times New Roman"/>
          <w:sz w:val="14"/>
          <w:szCs w:val="14"/>
          <w:color w:val="auto"/>
        </w:rPr>
        <w:t>. Absent gross negligence or willful misconduct, neither Purchaser Agent, any Purchaser nor any of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Affiliates shall in any way or manner be liable 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the Obligors.</w:t>
      </w:r>
    </w:p>
    <w:p>
      <w:pPr>
        <w:spacing w:after="0" w:line="55" w:lineRule="exact"/>
        <w:rPr>
          <w:sz w:val="20"/>
          <w:szCs w:val="20"/>
          <w:color w:val="auto"/>
        </w:rPr>
      </w:pPr>
    </w:p>
    <w:p>
      <w:pPr>
        <w:ind w:left="220" w:right="25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t>9.6 Remedies Cumulative</w:t>
      </w:r>
      <w:r>
        <w:rPr>
          <w:rFonts w:ascii="Times New Roman" w:cs="Times New Roman" w:eastAsia="Times New Roman" w:hAnsi="Times New Roman"/>
          <w:sz w:val="14"/>
          <w:szCs w:val="14"/>
          <w:color w:val="auto"/>
        </w:rPr>
        <w:t>. Secured Parties’ rights and remedies under this Agreement, the Note Documents, and all other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cumulative. The Secured Parties shall have all other rights and remedies not inconsistent herewith as provided under the Code, by law, or in equity. No exercise by Purchaser Agent or any Purchaser of one right or remedy shall be deemed an election, and no waiver by Purchaser Agent and the Purchasers of any Event of Default on the part if Issuer or any Subsidiary shall be deemed a continuing waiver. No delay by Purchaser Agent and the Purchasers shall constitute a waiver, election, or acquiescence by them. No waiver by Purchaser Agent and the Purchasers shall be effective unless made in a written document signed on behalf of Purchaser Agent and the Required Purchasers and then shall be effective only in the specific instance and for the specific purpose for which it was given.</w:t>
      </w:r>
    </w:p>
    <w:p>
      <w:pPr>
        <w:spacing w:after="0" w:line="57" w:lineRule="exact"/>
        <w:rPr>
          <w:sz w:val="20"/>
          <w:szCs w:val="20"/>
          <w:color w:val="auto"/>
        </w:rPr>
      </w:pPr>
    </w:p>
    <w:p>
      <w:pPr>
        <w:ind w:left="220" w:right="2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9.7 Demand; Protest</w:t>
      </w:r>
      <w:r>
        <w:rPr>
          <w:rFonts w:ascii="Times New Roman" w:cs="Times New Roman" w:eastAsia="Times New Roman" w:hAnsi="Times New Roman"/>
          <w:sz w:val="14"/>
          <w:szCs w:val="14"/>
          <w:color w:val="auto"/>
        </w:rPr>
        <w:t>. Each Obligor waives demand, protest, notice of protest, notice of default or dishonor, notice of payment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nonpayment, notice of any default, nonpayment at maturity, release, compromise, settlement, extension, or renewal of accounts, documents, instruments, chattel paper, and guarantees at any time held by Purchaser Agent or a Purchaser on which such Obligor may in any way be liable.</w:t>
      </w:r>
    </w:p>
    <w:p>
      <w:pPr>
        <w:spacing w:after="0" w:line="50" w:lineRule="exact"/>
        <w:rPr>
          <w:sz w:val="20"/>
          <w:szCs w:val="20"/>
          <w:color w:val="auto"/>
        </w:rPr>
      </w:pPr>
    </w:p>
    <w:p>
      <w:pPr>
        <w:ind w:left="220" w:right="23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9.8 Licenses Related to Products</w:t>
      </w:r>
      <w:r>
        <w:rPr>
          <w:rFonts w:ascii="Times New Roman" w:cs="Times New Roman" w:eastAsia="Times New Roman" w:hAnsi="Times New Roman"/>
          <w:sz w:val="14"/>
          <w:szCs w:val="14"/>
          <w:color w:val="auto"/>
        </w:rPr>
        <w:t>. For the purpose of enabling Purchaser Agent and Purchasers to exercise rights and remedies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xml:space="preserve"> and the other Note Documents (including in order to take possession of, collect, receive, assemble, process, appropriate, remove, realize upon, sell, assign, license out, convey, transfer or grant options to purchase any Collateral), each Obligor hereby grants to Purchaser Agent an irrevocable, nonexclusive, assignable license (which license may be exercised only upon the occurrence and during the continuance of an Event of Default and for the purposes of, or in connection with, the exercise of remedies under this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xml:space="preserve"> and the other Note Documents), without payment of royalty, return on net sales, revenue share or other compensation to Issuer or any of its Subsidiaries or Affiliates, including the right to practice, use, sublicense or otherwise exploit, solely in connection with all of such Person’s products or services or other items in the Collateral, any Intellectual Property owned or controlled by such Person, wherever the same may be located, and including in such license reasonable access to all media in which any of the licensed items may be recorded or stored and to all computer software and programs used for the compilation or printout thereof to the extent that such non-exclusive license is not prohibited by any applicable law. Any license, sublicense or other transaction entered into by Purchaser Agent in accordance with the provisions of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will be binding upon any applicable Obligor, notwithstanding any subsequent cure of an Event of Default.</w:t>
      </w:r>
    </w:p>
    <w:p>
      <w:pPr>
        <w:spacing w:after="0" w:line="64" w:lineRule="exact"/>
        <w:rPr>
          <w:sz w:val="20"/>
          <w:szCs w:val="20"/>
          <w:color w:val="auto"/>
        </w:rPr>
      </w:pPr>
    </w:p>
    <w:p>
      <w:pPr>
        <w:ind w:left="220" w:right="23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9.9 Application of Payments and Proceeds</w:t>
      </w:r>
      <w:r>
        <w:rPr>
          <w:rFonts w:ascii="Times New Roman" w:cs="Times New Roman" w:eastAsia="Times New Roman" w:hAnsi="Times New Roman"/>
          <w:sz w:val="14"/>
          <w:szCs w:val="14"/>
          <w:color w:val="auto"/>
        </w:rPr>
        <w:t>. Notwithstanding anything to the contrary contained in this Agreement, upon the occurrence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during the continuance of an Event of Default, (a) each Obligor irrevocably waives the right to direct the application of any and all payments at any time or times thereafter received by Purchaser Agent from or on behalf of any Obligor or any of its Subsidiaries of all or any part of the Obligations, and, as between the Obligors on the one hand and Purchaser Agent and Purchasers on the other, Purchaser Agent shall have the continuing and exclusive right to apply and to reapply any and all payments received against the Obligations in such manner as Purchaser Agent may deem advisable notwithstanding any previous application by Purchaser Agent, and (b) the proceeds of any sale of, or other realization upon all or any part of the Collateral shall be applied: first, to the Reimbursable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the Obligors owing to Purchaser Agent or any Purchaser under the Note Documents. Any balance remaining shall be delivered to applicable Obligor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571" w:name="page572"/>
    <w:bookmarkEnd w:id="571"/>
    <w:p>
      <w:pPr>
        <w:ind w:left="220" w:right="3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pursuant thereto for such category. Any reference in this Agreement to an allocation between or sharing by the Purchasers of any right, interest or obligation “ratably,” “proportionally” or in similar terms shall refer to Pro Rata Share unless expressly provided otherwise. Purchaser Agent, or if applicable, each Purchaser, shall promptly remit to the other Purchasers such sums as may be necessary to ensure the ratable repayment of each Purchaser’s portion of any Note and the ratable distribution of interest, fees and reimbursements paid or made by any Obligor. Notwithstanding the foregoing, a Purchaser receiving a scheduled payment shall not be responsible for determining whether the other Purchasers also received their scheduled payment on such date; provided that, if it is later determined that a Purchaser received more than its ratable share of scheduled payments made on any date or dates, then such Purchaser shall remit to Purchaser Agent or other Purchasers such sums as may be necessary to ensure the ratable payment of such scheduled payments, as instructed by Purchaser Agent. If any payment or distribution of any kind or character, whether in cash, properties or securities, shall be received by a Purchaser in excess of its ratable share, then the portion of such payment or distribution in excess of such Purchaser’s ratable share shall be received by such Purchaser in trust for and shall be promptly paid over to the other Purchaser for application to the payments of amounts due on the other Purchasers’ claims. To the extent any payment for the account of an Obligor is required to be returned as a voidable transfer or otherwise, the Purchasers shall contribute to one another as is necessary to ensure that such return of payment is on a pro rata basis. If any Purchaser shall obtain possession of any Collateral, it shall hold such Collateral for itself and as agent and bailee for Purchaser Agent and other Purchasers for purposes of perfecting Purchaser Agent’s security interest therein.</w:t>
      </w:r>
    </w:p>
    <w:p>
      <w:pPr>
        <w:spacing w:after="0" w:line="66" w:lineRule="exact"/>
        <w:rPr>
          <w:sz w:val="20"/>
          <w:szCs w:val="20"/>
          <w:color w:val="auto"/>
        </w:rPr>
      </w:pPr>
    </w:p>
    <w:p>
      <w:pPr>
        <w:ind w:left="780" w:hanging="215"/>
        <w:spacing w:after="0"/>
        <w:tabs>
          <w:tab w:leader="none" w:pos="780" w:val="left"/>
        </w:tabs>
        <w:numPr>
          <w:ilvl w:val="0"/>
          <w:numId w:val="3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OTICES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both"/>
        <w:ind w:left="220" w:right="359" w:firstLine="342"/>
        <w:spacing w:after="0" w:line="277" w:lineRule="auto"/>
        <w:rPr>
          <w:sz w:val="20"/>
          <w:szCs w:val="20"/>
          <w:color w:val="auto"/>
        </w:rPr>
      </w:pPr>
      <w:r>
        <w:rPr>
          <w:rFonts w:ascii="Times New Roman" w:cs="Times New Roman" w:eastAsia="Times New Roman" w:hAnsi="Times New Roman"/>
          <w:sz w:val="13"/>
          <w:szCs w:val="13"/>
          <w:color w:val="auto"/>
        </w:rPr>
        <w:t>All notices, consents, requests, approvals, demands, or other communication (collectively, “Communication”) by any party to this Agreement or any other Note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w:t>
      </w:r>
    </w:p>
    <w:p>
      <w:pPr>
        <w:spacing w:after="0" w:line="1" w:lineRule="exact"/>
        <w:rPr>
          <w:sz w:val="20"/>
          <w:szCs w:val="20"/>
          <w:color w:val="auto"/>
        </w:rPr>
      </w:pPr>
    </w:p>
    <w:p>
      <w:pPr>
        <w:ind w:left="220" w:right="239" w:firstLine="3"/>
        <w:spacing w:after="0" w:line="252" w:lineRule="auto"/>
        <w:tabs>
          <w:tab w:leader="none" w:pos="418"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transmission, when sent by email transmission as evidenced by a transmission confirmation sheet or server delivery confirmation notice, as applicable; (c) one (1) Business Day after deposit with a reputable overnight courier with all charges prepaid; or (d) when delivered, if hand delivered by messenger, all of which shall be addressed to the party to be notified and sent to the address, or email address indicated below. Any of Purchaser Agent, the Purchasers or Issuer may change its mailing address or electronic mail address by giving the other party written notice thereof in accordance with the terms of this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1" w:right="1440" w:bottom="1440" w:gutter="0" w:footer="0" w:header="0"/>
        </w:sectPr>
      </w:pP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If to any Obligor: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1035 O’Brien Dr.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Attn: Tom Lynch, General Counsel &amp; Chief Compliance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87" w:lineRule="exact"/>
        <w:rPr>
          <w:sz w:val="20"/>
          <w:szCs w:val="20"/>
          <w:color w:val="auto"/>
        </w:rPr>
      </w:pPr>
    </w:p>
    <w:p>
      <w:pPr>
        <w:sectPr>
          <w:pgSz w:w="11900" w:h="16838" w:orient="portrait"/>
          <w:cols w:equalWidth="0" w:num="2">
            <w:col w:w="2340" w:space="720"/>
            <w:col w:w="5959"/>
          </w:cols>
          <w:pgMar w:left="1440" w:top="241" w:right="1440"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4"/>
          <w:szCs w:val="14"/>
          <w:color w:val="auto"/>
        </w:rPr>
        <w:t>with a copy (which shall not constitute notice)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Gunderson Dettmer Stough Villeneuve Franklin &amp; Hachigian,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 South Main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 Arbor, MI 48104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Nicholas B. Harley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87" w:lineRule="exact"/>
        <w:rPr>
          <w:sz w:val="20"/>
          <w:szCs w:val="20"/>
          <w:color w:val="auto"/>
        </w:rPr>
      </w:pPr>
    </w:p>
    <w:p>
      <w:pPr>
        <w:sectPr>
          <w:pgSz w:w="11900" w:h="16838" w:orient="portrait"/>
          <w:cols w:equalWidth="0" w:num="2">
            <w:col w:w="2820" w:space="240"/>
            <w:col w:w="5959"/>
          </w:cols>
          <w:pgMar w:left="1440" w:top="241" w:right="1440"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3"/>
          <w:szCs w:val="13"/>
          <w:color w:val="auto"/>
        </w:rPr>
        <w:t>If to Purchaser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BWCB SA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 Oberland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1700 Broadway, 37th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Kristian Wiggert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18" w:lineRule="exact"/>
        <w:rPr>
          <w:sz w:val="20"/>
          <w:szCs w:val="20"/>
          <w:color w:val="auto"/>
        </w:rPr>
      </w:pPr>
    </w:p>
    <w:p>
      <w:pPr>
        <w:sectPr>
          <w:pgSz w:w="11900" w:h="16838" w:orient="portrait"/>
          <w:cols w:equalWidth="0" w:num="2">
            <w:col w:w="2340" w:space="720"/>
            <w:col w:w="5959"/>
          </w:cols>
          <w:pgMar w:left="1440" w:top="24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type w:val="continuous"/>
        </w:sectPr>
      </w:pPr>
    </w:p>
    <w:bookmarkStart w:id="572" w:name="page573"/>
    <w:bookmarkEnd w:id="572"/>
    <w:p>
      <w:pPr>
        <w:ind w:left="220"/>
        <w:spacing w:after="0"/>
        <w:rPr>
          <w:sz w:val="20"/>
          <w:szCs w:val="20"/>
          <w:color w:val="auto"/>
        </w:rPr>
      </w:pPr>
      <w:r>
        <w:rPr>
          <w:rFonts w:ascii="Times New Roman" w:cs="Times New Roman" w:eastAsia="Times New Roman" w:hAnsi="Times New Roman"/>
          <w:sz w:val="14"/>
          <w:szCs w:val="14"/>
          <w:color w:val="auto"/>
        </w:rPr>
        <w:t>with a copy (which shall not constitute notice)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-165100</wp:posOffset>
            </wp:positionV>
            <wp:extent cx="7201535" cy="323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 Embarcadero Center, 20th Floor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 94111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Gian-Michele a Marca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w:t>
      </w:r>
    </w:p>
    <w:p>
      <w:pPr>
        <w:spacing w:after="0" w:line="87" w:lineRule="exact"/>
        <w:rPr>
          <w:sz w:val="20"/>
          <w:szCs w:val="20"/>
          <w:color w:val="auto"/>
        </w:rPr>
      </w:pPr>
    </w:p>
    <w:p>
      <w:pPr>
        <w:sectPr>
          <w:pgSz w:w="11900" w:h="16838" w:orient="portrait"/>
          <w:cols w:equalWidth="0" w:num="2">
            <w:col w:w="2820" w:space="240"/>
            <w:col w:w="5959"/>
          </w:cols>
          <w:pgMar w:left="1440" w:top="240" w:right="1440" w:bottom="1440" w:gutter="0" w:footer="0" w:header="0"/>
        </w:sectPr>
      </w:pPr>
    </w:p>
    <w:p>
      <w:pPr>
        <w:ind w:left="220"/>
        <w:spacing w:after="0"/>
        <w:rPr>
          <w:sz w:val="20"/>
          <w:szCs w:val="20"/>
          <w:color w:val="auto"/>
        </w:rPr>
      </w:pPr>
      <w:r>
        <w:rPr>
          <w:rFonts w:ascii="Times New Roman" w:cs="Times New Roman" w:eastAsia="Times New Roman" w:hAnsi="Times New Roman"/>
          <w:sz w:val="13"/>
          <w:szCs w:val="13"/>
          <w:color w:val="auto"/>
        </w:rPr>
        <w:t>If to any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As specified on the applicable signature page hereto.</w:t>
      </w:r>
    </w:p>
    <w:p>
      <w:pPr>
        <w:spacing w:after="0" w:line="186" w:lineRule="exact"/>
        <w:rPr>
          <w:sz w:val="20"/>
          <w:szCs w:val="20"/>
          <w:color w:val="auto"/>
        </w:rPr>
      </w:pPr>
    </w:p>
    <w:p>
      <w:pPr>
        <w:sectPr>
          <w:pgSz w:w="11900" w:h="16838" w:orient="portrait"/>
          <w:cols w:equalWidth="0" w:num="2">
            <w:col w:w="2340" w:space="720"/>
            <w:col w:w="5959"/>
          </w:cols>
          <w:pgMar w:left="1440" w:top="240" w:right="1440" w:bottom="1440" w:gutter="0" w:footer="0" w:header="0"/>
          <w:type w:val="continuous"/>
        </w:sectPr>
      </w:pPr>
    </w:p>
    <w:p>
      <w:pPr>
        <w:ind w:left="220" w:right="319" w:firstLine="342"/>
        <w:spacing w:after="0" w:line="280" w:lineRule="auto"/>
        <w:rPr>
          <w:sz w:val="20"/>
          <w:szCs w:val="20"/>
          <w:color w:val="auto"/>
        </w:rPr>
      </w:pPr>
      <w:r>
        <w:rPr>
          <w:rFonts w:ascii="Times New Roman" w:cs="Times New Roman" w:eastAsia="Times New Roman" w:hAnsi="Times New Roman"/>
          <w:sz w:val="13"/>
          <w:szCs w:val="13"/>
          <w:color w:val="auto"/>
        </w:rPr>
        <w:t xml:space="preserve">Each party hereto irrevocably consents to service of process in any action or proceeding arising out of or relating to any Note Document, in the manner provided for notices in this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Nothing in this Agreement or any other Note Document will affect the right of any party hereto to serve process in any other manner permitted by applicable laws. Each Obligor that is not an entity organized under the laws of the United States or any territory thereof hereby irrevocably appoints Issuer as its agent for service of process with respect to all of the Note Documents and all other related agreements to which it is a party (the “</w:t>
      </w:r>
      <w:r>
        <w:rPr>
          <w:rFonts w:ascii="Times New Roman" w:cs="Times New Roman" w:eastAsia="Times New Roman" w:hAnsi="Times New Roman"/>
          <w:sz w:val="13"/>
          <w:szCs w:val="13"/>
          <w:b w:val="1"/>
          <w:bCs w:val="1"/>
          <w:color w:val="auto"/>
        </w:rPr>
        <w:t>Process Agent</w:t>
      </w:r>
      <w:r>
        <w:rPr>
          <w:rFonts w:ascii="Times New Roman" w:cs="Times New Roman" w:eastAsia="Times New Roman" w:hAnsi="Times New Roman"/>
          <w:sz w:val="13"/>
          <w:szCs w:val="13"/>
          <w:color w:val="auto"/>
        </w:rPr>
        <w:t>”) and Issuer hereby accepts such appointment as the Process Agent and hereby agrees to forward promptly to such foreign Obligor, as applicable, all legal process addressed to such foreign Obligor, as applicable, received by the Process Agent.</w:t>
      </w:r>
    </w:p>
    <w:p>
      <w:pPr>
        <w:spacing w:after="0" w:line="43" w:lineRule="exact"/>
        <w:rPr>
          <w:sz w:val="20"/>
          <w:szCs w:val="20"/>
          <w:color w:val="auto"/>
        </w:rPr>
      </w:pPr>
    </w:p>
    <w:p>
      <w:pPr>
        <w:ind w:left="760" w:hanging="195"/>
        <w:spacing w:after="0"/>
        <w:tabs>
          <w:tab w:leader="none" w:pos="760" w:val="left"/>
        </w:tabs>
        <w:numPr>
          <w:ilvl w:val="0"/>
          <w:numId w:val="3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HOICE OF</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11"/>
          <w:szCs w:val="11"/>
          <w:b w:val="1"/>
          <w:bCs w:val="1"/>
          <w:color w:val="auto"/>
        </w:rPr>
        <w:t>AW AND</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ENUE</w:t>
      </w:r>
      <w:r>
        <w:rPr>
          <w:rFonts w:ascii="Times New Roman" w:cs="Times New Roman" w:eastAsia="Times New Roman" w:hAnsi="Times New Roman"/>
          <w:sz w:val="14"/>
          <w:szCs w:val="14"/>
          <w:b w:val="1"/>
          <w:bCs w:val="1"/>
          <w:color w:val="auto"/>
        </w:rPr>
        <w:t>; J</w:t>
      </w:r>
      <w:r>
        <w:rPr>
          <w:rFonts w:ascii="Times New Roman" w:cs="Times New Roman" w:eastAsia="Times New Roman" w:hAnsi="Times New Roman"/>
          <w:sz w:val="11"/>
          <w:szCs w:val="11"/>
          <w:b w:val="1"/>
          <w:bCs w:val="1"/>
          <w:color w:val="auto"/>
        </w:rPr>
        <w:t>URY</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RIAL</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AIVER</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59" w:firstLine="342"/>
        <w:spacing w:after="0" w:line="261" w:lineRule="auto"/>
        <w:rPr>
          <w:sz w:val="20"/>
          <w:szCs w:val="20"/>
          <w:color w:val="auto"/>
        </w:rPr>
      </w:pPr>
      <w:r>
        <w:rPr>
          <w:rFonts w:ascii="Times New Roman" w:cs="Times New Roman" w:eastAsia="Times New Roman" w:hAnsi="Times New Roman"/>
          <w:sz w:val="14"/>
          <w:szCs w:val="14"/>
          <w:color w:val="auto"/>
        </w:rPr>
        <w:t>This Agreement and the other Note Documents and any claims, controversy, dispute or cause of action (whether in contract or tort or otherwise) based upon, arising out of or relating to this Agreement or any other Note Document (except as may be expressly otherwise provided in any Note Document) shall be governed by, and construed in accordance with, the law of the State of New York (including Sections 5-1401 and 5-1402 of the New York General Obligations Law, but excluding all other choice of law and conflicts of law rules).</w:t>
      </w:r>
    </w:p>
    <w:p>
      <w:pPr>
        <w:spacing w:after="0" w:line="139"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color w:val="auto"/>
        </w:rPr>
        <w:t xml:space="preserve">Each Obligor, Purchaser Agent and each Purchaser each submit to the exclusive jurisdiction of the courts of the State of New York sitting in the City and County of New York and of the United States District Court of the Southern District of New York and any appellate court thereof and agrees that all claims in respect of any such action, litigation or proceeding shall be heard and determined in such state court or, to the fullest extent permitted by applicable law, in such federal court; provided that the foregoing shall not preclude Purchaser Agent from bringing suit or taking other legal action in any other jurisdiction to realize on the Collateral. Each of the parties hereto agrees that a final judgment in any such action, litigation or proceeding shall be conclusive and may be enforced in other jurisdictions by suit on the judgment or in any other manner provided by law. EACH PARTY HERETO HEREBY IRREVOCABLY WAIVES, TO THE FULLEST EXTENT PERMITTED BY APPLICABLE LAW, ANY RIGHT IT MAY HAVE TO A TRIAL BY JURY IN ANY LEGAL PROCEEDING DIRECTLY OR INDIRECTLY ARISING OUT OF OR RELATING TO THIS AGREEMENT OR ANY OTHER NOTE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NOTE DOCUMENTS BY, AMONG OTHER THINGS, THE MUTUAL WAIVERS AND CERTIFICATIONS IN THIS </w:t>
      </w:r>
      <w:r>
        <w:rPr>
          <w:rFonts w:ascii="Times New Roman" w:cs="Times New Roman" w:eastAsia="Times New Roman" w:hAnsi="Times New Roman"/>
          <w:sz w:val="14"/>
          <w:szCs w:val="14"/>
          <w:u w:val="single" w:color="auto"/>
          <w:color w:val="auto"/>
        </w:rPr>
        <w:t>ARTICLE 11</w:t>
      </w:r>
      <w:r>
        <w:rPr>
          <w:rFonts w:ascii="Times New Roman" w:cs="Times New Roman" w:eastAsia="Times New Roman" w:hAnsi="Times New Roman"/>
          <w:sz w:val="14"/>
          <w:szCs w:val="14"/>
          <w:color w:val="auto"/>
        </w:rPr>
        <w:t>.</w:t>
      </w:r>
    </w:p>
    <w:p>
      <w:pPr>
        <w:spacing w:after="0" w:line="66" w:lineRule="exact"/>
        <w:rPr>
          <w:sz w:val="20"/>
          <w:szCs w:val="20"/>
          <w:color w:val="auto"/>
        </w:rPr>
      </w:pPr>
    </w:p>
    <w:p>
      <w:pPr>
        <w:ind w:left="780" w:hanging="215"/>
        <w:spacing w:after="0"/>
        <w:tabs>
          <w:tab w:leader="none" w:pos="780" w:val="left"/>
        </w:tabs>
        <w:numPr>
          <w:ilvl w:val="0"/>
          <w:numId w:val="3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1"/>
          <w:szCs w:val="11"/>
          <w:b w:val="1"/>
          <w:bCs w:val="1"/>
          <w:color w:val="auto"/>
        </w:rPr>
        <w:t>UARANTY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7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12.1 The Guaranty</w:t>
      </w:r>
      <w:r>
        <w:rPr>
          <w:rFonts w:ascii="Times New Roman" w:cs="Times New Roman" w:eastAsia="Times New Roman" w:hAnsi="Times New Roman"/>
          <w:sz w:val="14"/>
          <w:szCs w:val="14"/>
          <w:color w:val="auto"/>
        </w:rPr>
        <w:t>. Each Guarantor hereby jointly and severally with each other Guarantor guarantees to Purchaser Agent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Purchasers, and their successors and assigns, (i) the prompt payment in full when due (whether at stated maturity, by acceleration or otherwise) of the principal of and interest on the Notes, all fees and other amounts and Obligations from time to time owing to Purchaser Agent and the Purchasers by Issuer and each other Obligor under the Notes, this Agreement or any other Note Document and (ii) the full and prompt performance and observance by Issuer and the other Guarantors of each and all of the covenants, liabilities, obligations and agreements required to be performed or observed by such Obligors under the Notes,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type w:val="continuous"/>
        </w:sectPr>
      </w:pPr>
    </w:p>
    <w:bookmarkStart w:id="573" w:name="page574"/>
    <w:bookmarkEnd w:id="573"/>
    <w:p>
      <w:pPr>
        <w:ind w:left="22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this Agreement or any other Note Document, in each case strictly in accordance with the terms hereof and thereof (such obligations being herein collectively called the “</w:t>
      </w:r>
      <w:r>
        <w:rPr>
          <w:rFonts w:ascii="Times New Roman" w:cs="Times New Roman" w:eastAsia="Times New Roman" w:hAnsi="Times New Roman"/>
          <w:sz w:val="14"/>
          <w:szCs w:val="14"/>
          <w:b w:val="1"/>
          <w:bCs w:val="1"/>
          <w:color w:val="auto"/>
        </w:rPr>
        <w:t>Guaranteed Obligations</w:t>
      </w:r>
      <w:r>
        <w:rPr>
          <w:rFonts w:ascii="Times New Roman" w:cs="Times New Roman" w:eastAsia="Times New Roman" w:hAnsi="Times New Roman"/>
          <w:sz w:val="14"/>
          <w:szCs w:val="14"/>
          <w:color w:val="auto"/>
        </w:rPr>
        <w:t>”). Each Guarantor hereby further jointly and severally with each other Guarantor agrees that if Issuer or any other Obligor shall fail to pay in full when due (whether at stated maturity, by acceleration or otherwise) any of the Guaranteed Obligations, such Guarantor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59" w:lineRule="exact"/>
        <w:rPr>
          <w:sz w:val="20"/>
          <w:szCs w:val="20"/>
          <w:color w:val="auto"/>
        </w:rPr>
      </w:pPr>
    </w:p>
    <w:p>
      <w:pPr>
        <w:ind w:left="220" w:right="399" w:firstLine="771"/>
        <w:spacing w:after="0" w:line="255" w:lineRule="auto"/>
        <w:rPr>
          <w:sz w:val="20"/>
          <w:szCs w:val="20"/>
          <w:color w:val="auto"/>
        </w:rPr>
      </w:pPr>
      <w:r>
        <w:rPr>
          <w:rFonts w:ascii="Times New Roman" w:cs="Times New Roman" w:eastAsia="Times New Roman" w:hAnsi="Times New Roman"/>
          <w:sz w:val="14"/>
          <w:szCs w:val="14"/>
          <w:b w:val="1"/>
          <w:bCs w:val="1"/>
          <w:color w:val="auto"/>
        </w:rPr>
        <w:t>12.2 Obligations Unconditional</w:t>
      </w:r>
      <w:r>
        <w:rPr>
          <w:rFonts w:ascii="Times New Roman" w:cs="Times New Roman" w:eastAsia="Times New Roman" w:hAnsi="Times New Roman"/>
          <w:sz w:val="14"/>
          <w:szCs w:val="14"/>
          <w:color w:val="auto"/>
        </w:rPr>
        <w:t>. The Guaranteed Obligations are absolute and unconditional, joint and several, independent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irrespective of the value, genuineness, validity, regularity or enforceability of the obligations of Issuer under the Notes, this Agreement or any other agreement or instrument referred to herein, or any substitution, release or exchange of any other guarantee of or security for any of the Guaranteed Obligations, and, to the fullest extent permitted by law, irrespective of any other circumstance whatsoever that might otherwise constitute a legal or equitable discharge or defense of a surety or guarantor, it being the intent of this </w:t>
      </w:r>
      <w:r>
        <w:rPr>
          <w:rFonts w:ascii="Times New Roman" w:cs="Times New Roman" w:eastAsia="Times New Roman" w:hAnsi="Times New Roman"/>
          <w:sz w:val="14"/>
          <w:szCs w:val="14"/>
          <w:u w:val="single" w:color="auto"/>
          <w:color w:val="auto"/>
        </w:rPr>
        <w:t>Section 12.2</w:t>
      </w:r>
      <w:r>
        <w:rPr>
          <w:rFonts w:ascii="Times New Roman" w:cs="Times New Roman" w:eastAsia="Times New Roman" w:hAnsi="Times New Roman"/>
          <w:sz w:val="14"/>
          <w:szCs w:val="14"/>
          <w:color w:val="auto"/>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61" w:lineRule="exact"/>
        <w:rPr>
          <w:sz w:val="20"/>
          <w:szCs w:val="20"/>
          <w:color w:val="auto"/>
        </w:rPr>
      </w:pPr>
    </w:p>
    <w:p>
      <w:pPr>
        <w:ind w:left="220" w:right="419" w:firstLine="1116"/>
        <w:spacing w:after="0" w:line="282" w:lineRule="auto"/>
        <w:tabs>
          <w:tab w:leader="none" w:pos="1531"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or from time to time, without notice to the Guarantors, the manner, place, time for any payment, performance of or compliance with any of the Guaranteed Obligations shall be extended, amended, modified or waived;</w:t>
      </w:r>
    </w:p>
    <w:p>
      <w:pPr>
        <w:spacing w:after="0" w:line="41" w:lineRule="exact"/>
        <w:rPr>
          <w:rFonts w:ascii="Times New Roman" w:cs="Times New Roman" w:eastAsia="Times New Roman" w:hAnsi="Times New Roman"/>
          <w:sz w:val="14"/>
          <w:szCs w:val="14"/>
          <w:b w:val="1"/>
          <w:bCs w:val="1"/>
          <w:color w:val="auto"/>
        </w:rPr>
      </w:pPr>
    </w:p>
    <w:p>
      <w:pPr>
        <w:ind w:left="220" w:right="239" w:firstLine="1116"/>
        <w:spacing w:after="0" w:line="266" w:lineRule="auto"/>
        <w:tabs>
          <w:tab w:leader="none" w:pos="1539"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of the acts mentioned in any of the provisions of this Agreement or any other agreement or instrument referred to herein shall be done or omitted or any failure, lack of diligence, omission or delay on the part of Purchaser Agent or any Purchaser to enforce, assert or exercise any right, power or remedy conferred on it thereunder;</w:t>
      </w:r>
    </w:p>
    <w:p>
      <w:pPr>
        <w:spacing w:after="0" w:line="52" w:lineRule="exact"/>
        <w:rPr>
          <w:rFonts w:ascii="Times New Roman" w:cs="Times New Roman" w:eastAsia="Times New Roman" w:hAnsi="Times New Roman"/>
          <w:sz w:val="14"/>
          <w:szCs w:val="14"/>
          <w:b w:val="1"/>
          <w:bCs w:val="1"/>
          <w:color w:val="auto"/>
        </w:rPr>
      </w:pPr>
    </w:p>
    <w:p>
      <w:pPr>
        <w:jc w:val="both"/>
        <w:ind w:left="220" w:right="379" w:firstLine="1116"/>
        <w:spacing w:after="0" w:line="261" w:lineRule="auto"/>
        <w:tabs>
          <w:tab w:leader="none" w:pos="1523"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spacing w:after="0" w:line="55" w:lineRule="exact"/>
        <w:rPr>
          <w:rFonts w:ascii="Times New Roman" w:cs="Times New Roman" w:eastAsia="Times New Roman" w:hAnsi="Times New Roman"/>
          <w:sz w:val="14"/>
          <w:szCs w:val="14"/>
          <w:b w:val="1"/>
          <w:bCs w:val="1"/>
          <w:color w:val="auto"/>
        </w:rPr>
      </w:pPr>
    </w:p>
    <w:p>
      <w:pPr>
        <w:ind w:left="220" w:right="419" w:firstLine="1116"/>
        <w:spacing w:after="0" w:line="266" w:lineRule="auto"/>
        <w:tabs>
          <w:tab w:leader="none" w:pos="1539"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Lien or security interest granted to, or in favor of, Purchaser Agent as security for any of the Guaranteed Obligations shall fail to be perfected or any manner of sale, disposition or application of proceeds of any collateral or other assets to all or part of the Guaranteed Obligations;</w:t>
      </w:r>
    </w:p>
    <w:p>
      <w:pPr>
        <w:spacing w:after="0" w:line="52" w:lineRule="exact"/>
        <w:rPr>
          <w:rFonts w:ascii="Times New Roman" w:cs="Times New Roman" w:eastAsia="Times New Roman" w:hAnsi="Times New Roman"/>
          <w:sz w:val="14"/>
          <w:szCs w:val="14"/>
          <w:b w:val="1"/>
          <w:bCs w:val="1"/>
          <w:color w:val="auto"/>
        </w:rPr>
      </w:pPr>
    </w:p>
    <w:p>
      <w:pPr>
        <w:ind w:left="220" w:right="339" w:firstLine="1116"/>
        <w:spacing w:after="0" w:line="261" w:lineRule="auto"/>
        <w:tabs>
          <w:tab w:leader="none" w:pos="1523"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voluntary or involuntary bankruptcy, insolvency, reorganization, arrangement, readjustment, assignment for the benefit of creditors, composition, receivership, examinership, liquidation, marshalling of assets and liabilities or similar events or proceedings with respect to any Obligor or any other guarantor of the Guaranteed Obligations, as applicable, or any of their respective property or creditors, or any action taken by any trustee or receiver or by any court in any such proceeding;</w:t>
      </w:r>
    </w:p>
    <w:p>
      <w:pPr>
        <w:spacing w:after="0" w:line="55" w:lineRule="exact"/>
        <w:rPr>
          <w:rFonts w:ascii="Times New Roman" w:cs="Times New Roman" w:eastAsia="Times New Roman" w:hAnsi="Times New Roman"/>
          <w:sz w:val="14"/>
          <w:szCs w:val="14"/>
          <w:b w:val="1"/>
          <w:bCs w:val="1"/>
          <w:color w:val="auto"/>
        </w:rPr>
      </w:pPr>
    </w:p>
    <w:p>
      <w:pPr>
        <w:ind w:left="220" w:right="679" w:firstLine="1116"/>
        <w:spacing w:after="0" w:line="282" w:lineRule="auto"/>
        <w:tabs>
          <w:tab w:leader="none" w:pos="1508"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merger or consolidation of any Obligor into or with any entity, or any sale, lease or transfer of any of the assets of any Obligor or any other guarantor of the Guaranteed Obligations to any other person or entity;</w:t>
      </w:r>
    </w:p>
    <w:p>
      <w:pPr>
        <w:spacing w:after="0" w:line="41" w:lineRule="exact"/>
        <w:rPr>
          <w:rFonts w:ascii="Times New Roman" w:cs="Times New Roman" w:eastAsia="Times New Roman" w:hAnsi="Times New Roman"/>
          <w:sz w:val="14"/>
          <w:szCs w:val="14"/>
          <w:b w:val="1"/>
          <w:bCs w:val="1"/>
          <w:color w:val="auto"/>
        </w:rPr>
      </w:pPr>
    </w:p>
    <w:p>
      <w:pPr>
        <w:ind w:left="220" w:right="319" w:firstLine="1116"/>
        <w:spacing w:after="0" w:line="282" w:lineRule="auto"/>
        <w:tabs>
          <w:tab w:leader="none" w:pos="1531"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change in the ownership of any Obligor or any change in the relationship between any Obligor or any other guarantor of the Guaranteed Obligations, or any termination of any such relationship;</w:t>
      </w:r>
    </w:p>
    <w:p>
      <w:pPr>
        <w:spacing w:after="0" w:line="41" w:lineRule="exact"/>
        <w:rPr>
          <w:rFonts w:ascii="Times New Roman" w:cs="Times New Roman" w:eastAsia="Times New Roman" w:hAnsi="Times New Roman"/>
          <w:sz w:val="14"/>
          <w:szCs w:val="14"/>
          <w:b w:val="1"/>
          <w:bCs w:val="1"/>
          <w:color w:val="auto"/>
        </w:rPr>
      </w:pPr>
    </w:p>
    <w:p>
      <w:pPr>
        <w:ind w:left="220" w:right="619" w:firstLine="1116"/>
        <w:spacing w:after="0" w:line="282" w:lineRule="auto"/>
        <w:tabs>
          <w:tab w:leader="none" w:pos="1539"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existence of any claim, set-off or other right which any Guarantor may have at any time against any Obligor, Purchaser Agent, any Purchaser or any other Person;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574" w:name="page575"/>
    <w:bookmarkEnd w:id="574"/>
    <w:p>
      <w:pPr>
        <w:jc w:val="both"/>
        <w:ind w:left="220" w:right="319" w:firstLine="1116"/>
        <w:spacing w:after="0" w:line="322" w:lineRule="auto"/>
        <w:tabs>
          <w:tab w:leader="none" w:pos="1500" w:val="left"/>
        </w:tabs>
        <w:numPr>
          <w:ilvl w:val="0"/>
          <w:numId w:val="3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failure by Purchaser Agent or any Purchaser to disclose to the Guarantors any information relating to the business, condition (financial or otherwise), operations, performance, properties or prospects of any Obligor now or hereafter known to Purchaser Agent or any Purchaser;</w:t>
      </w:r>
    </w:p>
    <w:p>
      <w:pPr>
        <w:spacing w:after="0" w:line="18" w:lineRule="exact"/>
        <w:rPr>
          <w:rFonts w:ascii="Times New Roman" w:cs="Times New Roman" w:eastAsia="Times New Roman" w:hAnsi="Times New Roman"/>
          <w:sz w:val="13"/>
          <w:szCs w:val="13"/>
          <w:b w:val="1"/>
          <w:bCs w:val="1"/>
          <w:color w:val="auto"/>
        </w:rPr>
      </w:pPr>
    </w:p>
    <w:p>
      <w:pPr>
        <w:ind w:left="1520" w:hanging="184"/>
        <w:spacing w:after="0"/>
        <w:tabs>
          <w:tab w:leader="none" w:pos="1520"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obligations or liabilities the Obligors or any other guarantor of the Guaranteed Obligations owed to any Guarantor;</w:t>
      </w:r>
    </w:p>
    <w:p>
      <w:pPr>
        <w:spacing w:after="0" w:line="90" w:lineRule="exact"/>
        <w:rPr>
          <w:rFonts w:ascii="Times New Roman" w:cs="Times New Roman" w:eastAsia="Times New Roman" w:hAnsi="Times New Roman"/>
          <w:sz w:val="14"/>
          <w:szCs w:val="14"/>
          <w:b w:val="1"/>
          <w:bCs w:val="1"/>
          <w:color w:val="auto"/>
        </w:rPr>
      </w:pPr>
    </w:p>
    <w:p>
      <w:pPr>
        <w:ind w:left="220" w:right="339" w:firstLine="1116"/>
        <w:spacing w:after="0" w:line="282" w:lineRule="auto"/>
        <w:tabs>
          <w:tab w:leader="none" w:pos="1539"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acceptance or the availability of any other security, collateral or guarantee, or other assurance of payment, for all or any part of the Guaranteed Obligations;</w:t>
      </w:r>
    </w:p>
    <w:p>
      <w:pPr>
        <w:spacing w:after="0" w:line="41" w:lineRule="exact"/>
        <w:rPr>
          <w:rFonts w:ascii="Times New Roman" w:cs="Times New Roman" w:eastAsia="Times New Roman" w:hAnsi="Times New Roman"/>
          <w:sz w:val="14"/>
          <w:szCs w:val="14"/>
          <w:b w:val="1"/>
          <w:bCs w:val="1"/>
          <w:color w:val="auto"/>
        </w:rPr>
      </w:pPr>
    </w:p>
    <w:p>
      <w:pPr>
        <w:ind w:left="220" w:right="279" w:firstLine="1116"/>
        <w:spacing w:after="0" w:line="266" w:lineRule="auto"/>
        <w:tabs>
          <w:tab w:leader="none" w:pos="1500"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default, act or omission to act or delay of any kind (willful or otherwise) by any Obligor, Purchaser Agent, any Purchaser or any other Person or any other circumstance whatsoever which might, but for the provisions of this clause, constitute a legal or equitable discharge of the Guarantors’ obligations hereunder (except that the Guarantors may assert the defense of payment in full of the Guaranteed Obligations); or</w:t>
      </w:r>
    </w:p>
    <w:p>
      <w:pPr>
        <w:spacing w:after="0" w:line="52" w:lineRule="exact"/>
        <w:rPr>
          <w:rFonts w:ascii="Times New Roman" w:cs="Times New Roman" w:eastAsia="Times New Roman" w:hAnsi="Times New Roman"/>
          <w:sz w:val="14"/>
          <w:szCs w:val="14"/>
          <w:b w:val="1"/>
          <w:bCs w:val="1"/>
          <w:color w:val="auto"/>
        </w:rPr>
      </w:pPr>
    </w:p>
    <w:p>
      <w:pPr>
        <w:ind w:left="220" w:right="319" w:firstLine="1116"/>
        <w:spacing w:after="0" w:line="282" w:lineRule="auto"/>
        <w:tabs>
          <w:tab w:leader="none" w:pos="1578"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notice of any sale, transfer or other disposition of any right, title or interest of Purchaser Agent or any Purchasers under the Notes, this Agreement or any other Note Document.</w:t>
      </w:r>
    </w:p>
    <w:p>
      <w:pPr>
        <w:spacing w:after="0" w:line="125"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The Guarantors hereby expressly waive diligence, presentment, demand of payment, notice of acceptance, notice of non-performance, nonpayment, default, acceleration, dishonor, protest and any other notices whatsoever, which may be required by statute, rule of law or otherwise, now or hereafter in effect, to preserve any rights against the Guarantors with respect to or under the Notes, this Agreement or any other Note Document or any failure on the part of any Obligor, Guarantors or any other guarantor of the Guaranteed Obligations to perform or comply with any covenant, agreement, term or condition of the Notes, this Agreement or any other Note Document. The Guarantors further expressly waive any requirement that Purchaser Agent or any Purchaser exhaust any right, power or remedy or proceed against Issuer under this Agreement or any other agreement or instrument referred to herein, or against any other Person under any other guarantee of, or against or exhaust any security or collateral for, any of the Guaranteed Obligations.</w:t>
      </w:r>
    </w:p>
    <w:p>
      <w:pPr>
        <w:spacing w:after="0" w:line="60" w:lineRule="exact"/>
        <w:rPr>
          <w:sz w:val="20"/>
          <w:szCs w:val="20"/>
          <w:color w:val="auto"/>
        </w:rPr>
      </w:pPr>
    </w:p>
    <w:p>
      <w:pPr>
        <w:ind w:left="220" w:right="239" w:firstLine="771"/>
        <w:spacing w:after="0" w:line="257" w:lineRule="auto"/>
        <w:rPr>
          <w:sz w:val="20"/>
          <w:szCs w:val="20"/>
          <w:color w:val="auto"/>
        </w:rPr>
      </w:pPr>
      <w:r>
        <w:rPr>
          <w:rFonts w:ascii="Times New Roman" w:cs="Times New Roman" w:eastAsia="Times New Roman" w:hAnsi="Times New Roman"/>
          <w:sz w:val="14"/>
          <w:szCs w:val="14"/>
          <w:b w:val="1"/>
          <w:bCs w:val="1"/>
          <w:color w:val="auto"/>
        </w:rPr>
        <w:t>12.3 Reinstatement</w:t>
      </w:r>
      <w:r>
        <w:rPr>
          <w:rFonts w:ascii="Times New Roman" w:cs="Times New Roman" w:eastAsia="Times New Roman" w:hAnsi="Times New Roman"/>
          <w:sz w:val="14"/>
          <w:szCs w:val="14"/>
          <w:color w:val="auto"/>
        </w:rPr>
        <w:t>. The obligations of the Guarantors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automatically reinstated if and to the extent that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reason any payment by or on behalf of Issuer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Purchaser Agent and the Purchasers on demand for all reasonable costs and expenses (including fees of counsel) incurred by such Persons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57" w:lineRule="exact"/>
        <w:rPr>
          <w:sz w:val="20"/>
          <w:szCs w:val="20"/>
          <w:color w:val="auto"/>
        </w:rPr>
      </w:pPr>
    </w:p>
    <w:p>
      <w:pPr>
        <w:ind w:left="220" w:right="51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12.4 Subrogation</w:t>
      </w:r>
      <w:r>
        <w:rPr>
          <w:rFonts w:ascii="Times New Roman" w:cs="Times New Roman" w:eastAsia="Times New Roman" w:hAnsi="Times New Roman"/>
          <w:sz w:val="14"/>
          <w:szCs w:val="14"/>
          <w:color w:val="auto"/>
        </w:rPr>
        <w:t>. The Guarantors hereby jointly and severally agree that, until Payment in Full, they shall not exercise any right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remedy arising by reason of any performance by them of their guarantee in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 whether by subrogation or otherwise, against Issuer or any other guarantor of any of the Guaranteed Obligations or any security for any of the Guaranteed Obligations.</w:t>
      </w:r>
    </w:p>
    <w:p>
      <w:pPr>
        <w:spacing w:after="0" w:line="50" w:lineRule="exact"/>
        <w:rPr>
          <w:sz w:val="20"/>
          <w:szCs w:val="20"/>
          <w:color w:val="auto"/>
        </w:rPr>
      </w:pPr>
    </w:p>
    <w:p>
      <w:pPr>
        <w:ind w:left="220" w:right="25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t>12.5 Remedies</w:t>
      </w:r>
      <w:r>
        <w:rPr>
          <w:rFonts w:ascii="Times New Roman" w:cs="Times New Roman" w:eastAsia="Times New Roman" w:hAnsi="Times New Roman"/>
          <w:sz w:val="14"/>
          <w:szCs w:val="14"/>
          <w:color w:val="auto"/>
        </w:rPr>
        <w:t>. The Guarantors jointly and severally agree that, as between the Guarantors, on one hand, and Purchaser Agent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Purchasers, on the other hand, the obligations of Issuer under the Notes, this Agreement and under the other Note Documents may be declared to be forthwith due and payable as provided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(and shall be deemed to have become automatically due and payable in the circumstances provided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for purposes of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 xml:space="preserve"> notwithstanding any stay, injunction or other prohibition preventing such declaration (or such obligations from becoming automatically due and payable) as against Issuer and that, in the event of such declaration (or such obligations being deemed to have become automatically due and payable), such obligations (whether or not due and payable by Issuer) shall forthwith become due and payable by the Guarantors for purposes of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575" w:name="page576"/>
    <w:bookmarkEnd w:id="575"/>
    <w:p>
      <w:pPr>
        <w:ind w:left="220" w:right="31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12.6 Instrument for the Payment of Money</w:t>
      </w:r>
      <w:r>
        <w:rPr>
          <w:rFonts w:ascii="Times New Roman" w:cs="Times New Roman" w:eastAsia="Times New Roman" w:hAnsi="Times New Roman"/>
          <w:sz w:val="14"/>
          <w:szCs w:val="14"/>
          <w:color w:val="auto"/>
        </w:rPr>
        <w:t>. Each Guarantor hereby acknowledges that the guarantee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instrument for the payment of money, and consents and agrees that Purchaser Agent and the Purchasers, at their sole option, in the event of a dispute by such Guarantor in the payment of any moneys due hereunder, shall have the right to proceed by motion for summary judgment in lieu of complaint pursuant to N.Y. Civ. Prac. L&amp;R § 3213.</w:t>
      </w:r>
    </w:p>
    <w:p>
      <w:pPr>
        <w:spacing w:after="0" w:line="53" w:lineRule="exact"/>
        <w:rPr>
          <w:sz w:val="20"/>
          <w:szCs w:val="20"/>
          <w:color w:val="auto"/>
        </w:rPr>
      </w:pPr>
    </w:p>
    <w:p>
      <w:pPr>
        <w:ind w:left="220" w:right="51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12.7 Continuing Guarantee</w:t>
      </w:r>
      <w:r>
        <w:rPr>
          <w:rFonts w:ascii="Times New Roman" w:cs="Times New Roman" w:eastAsia="Times New Roman" w:hAnsi="Times New Roman"/>
          <w:sz w:val="14"/>
          <w:szCs w:val="14"/>
          <w:color w:val="auto"/>
        </w:rPr>
        <w:t>. The guarantee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continuing guarantee, and shall apply to all Guaranteed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arising.</w:t>
      </w:r>
    </w:p>
    <w:p>
      <w:pPr>
        <w:spacing w:after="0" w:line="37" w:lineRule="exact"/>
        <w:rPr>
          <w:sz w:val="20"/>
          <w:szCs w:val="20"/>
          <w:color w:val="auto"/>
        </w:rPr>
      </w:pPr>
    </w:p>
    <w:p>
      <w:pPr>
        <w:ind w:left="220" w:right="239" w:firstLine="771"/>
        <w:spacing w:after="0" w:line="252" w:lineRule="auto"/>
        <w:rPr>
          <w:sz w:val="20"/>
          <w:szCs w:val="20"/>
          <w:color w:val="auto"/>
        </w:rPr>
      </w:pPr>
      <w:r>
        <w:rPr>
          <w:rFonts w:ascii="Times New Roman" w:cs="Times New Roman" w:eastAsia="Times New Roman" w:hAnsi="Times New Roman"/>
          <w:sz w:val="14"/>
          <w:szCs w:val="14"/>
          <w:b w:val="1"/>
          <w:bCs w:val="1"/>
          <w:color w:val="auto"/>
        </w:rPr>
        <w:t>12.8 Rights of Contribution</w:t>
      </w:r>
      <w:r>
        <w:rPr>
          <w:rFonts w:ascii="Times New Roman" w:cs="Times New Roman" w:eastAsia="Times New Roman" w:hAnsi="Times New Roman"/>
          <w:sz w:val="14"/>
          <w:szCs w:val="14"/>
          <w:color w:val="auto"/>
        </w:rPr>
        <w:t>. The Guarantors hereby agree, as between themselves, that if any Guarantor shall become an Excess Funding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Guarantor (as defined below) by reason of the payment by such Guarantor of any Guaranteed Obligations, each other Guarantor shall, on demand of such Excess Funding Guarantor (but subject to the next sentence), pay to such Excess Funding Guarantor an amount equal to such Guarantor’s Fair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w:t>
      </w:r>
      <w:r>
        <w:rPr>
          <w:rFonts w:ascii="Times New Roman" w:cs="Times New Roman" w:eastAsia="Times New Roman" w:hAnsi="Times New Roman"/>
          <w:sz w:val="14"/>
          <w:szCs w:val="14"/>
          <w:u w:val="single" w:color="auto"/>
          <w:color w:val="auto"/>
        </w:rPr>
        <w:t>Section 12.8</w:t>
      </w:r>
      <w:r>
        <w:rPr>
          <w:rFonts w:ascii="Times New Roman" w:cs="Times New Roman" w:eastAsia="Times New Roman" w:hAnsi="Times New Roman"/>
          <w:sz w:val="14"/>
          <w:szCs w:val="14"/>
          <w:color w:val="auto"/>
        </w:rPr>
        <w:t xml:space="preserve"> shall be subordinate and subject in right of payment to the prior payment in full of the obligations of such Guarantor under the other provisions of this </w:t>
      </w:r>
      <w:r>
        <w:rPr>
          <w:rFonts w:ascii="Times New Roman" w:cs="Times New Roman" w:eastAsia="Times New Roman" w:hAnsi="Times New Roman"/>
          <w:sz w:val="14"/>
          <w:szCs w:val="14"/>
          <w:u w:val="single" w:color="auto"/>
          <w:color w:val="auto"/>
        </w:rPr>
        <w:t>Article 12</w:t>
      </w:r>
      <w:r>
        <w:rPr>
          <w:rFonts w:ascii="Times New Roman" w:cs="Times New Roman" w:eastAsia="Times New Roman" w:hAnsi="Times New Roman"/>
          <w:sz w:val="14"/>
          <w:szCs w:val="14"/>
          <w:color w:val="auto"/>
        </w:rPr>
        <w:t xml:space="preserve"> and such Excess Funding Guarantor shall not exercise any right or remedy with respect to such excess until payment and satisfaction in full of all of such obligations. For purposes of this </w:t>
      </w:r>
      <w:r>
        <w:rPr>
          <w:rFonts w:ascii="Times New Roman" w:cs="Times New Roman" w:eastAsia="Times New Roman" w:hAnsi="Times New Roman"/>
          <w:sz w:val="14"/>
          <w:szCs w:val="14"/>
          <w:u w:val="single" w:color="auto"/>
          <w:color w:val="auto"/>
        </w:rPr>
        <w:t>Section 12.8</w:t>
      </w:r>
      <w:r>
        <w:rPr>
          <w:rFonts w:ascii="Times New Roman" w:cs="Times New Roman" w:eastAsia="Times New Roman" w:hAnsi="Times New Roman"/>
          <w:sz w:val="14"/>
          <w:szCs w:val="14"/>
          <w:color w:val="auto"/>
        </w:rPr>
        <w:t>, (i) “</w:t>
      </w:r>
      <w:r>
        <w:rPr>
          <w:rFonts w:ascii="Times New Roman" w:cs="Times New Roman" w:eastAsia="Times New Roman" w:hAnsi="Times New Roman"/>
          <w:sz w:val="14"/>
          <w:szCs w:val="14"/>
          <w:b w:val="1"/>
          <w:bCs w:val="1"/>
          <w:color w:val="auto"/>
        </w:rPr>
        <w:t>Excess Funding Guarantor</w:t>
      </w:r>
      <w:r>
        <w:rPr>
          <w:rFonts w:ascii="Times New Roman" w:cs="Times New Roman" w:eastAsia="Times New Roman" w:hAnsi="Times New Roman"/>
          <w:sz w:val="14"/>
          <w:szCs w:val="14"/>
          <w:color w:val="auto"/>
        </w:rPr>
        <w:t>” means, in respect of any Guaranteed Obligations, a Guarantor that has paid an amount in excess of its Fair Share of such Guaranteed Obligations, (ii) “</w:t>
      </w:r>
      <w:r>
        <w:rPr>
          <w:rFonts w:ascii="Times New Roman" w:cs="Times New Roman" w:eastAsia="Times New Roman" w:hAnsi="Times New Roman"/>
          <w:sz w:val="14"/>
          <w:szCs w:val="14"/>
          <w:b w:val="1"/>
          <w:bCs w:val="1"/>
          <w:color w:val="auto"/>
        </w:rPr>
        <w:t>Excess Payment</w:t>
      </w:r>
      <w:r>
        <w:rPr>
          <w:rFonts w:ascii="Times New Roman" w:cs="Times New Roman" w:eastAsia="Times New Roman" w:hAnsi="Times New Roman"/>
          <w:sz w:val="14"/>
          <w:szCs w:val="14"/>
          <w:color w:val="auto"/>
        </w:rPr>
        <w:t>” means, in respect of any Guaranteed Obligations, the amount paid by an Excess Funding Guarantor in excess of its Fair Share of such Guaranteed Obligations and (iii) “</w:t>
      </w:r>
      <w:r>
        <w:rPr>
          <w:rFonts w:ascii="Times New Roman" w:cs="Times New Roman" w:eastAsia="Times New Roman" w:hAnsi="Times New Roman"/>
          <w:sz w:val="14"/>
          <w:szCs w:val="14"/>
          <w:b w:val="1"/>
          <w:bCs w:val="1"/>
          <w:color w:val="auto"/>
        </w:rPr>
        <w:t>Fair Share</w:t>
      </w:r>
      <w:r>
        <w:rPr>
          <w:rFonts w:ascii="Times New Roman" w:cs="Times New Roman" w:eastAsia="Times New Roman" w:hAnsi="Times New Roman"/>
          <w:sz w:val="14"/>
          <w:szCs w:val="14"/>
          <w:color w:val="auto"/>
        </w:rPr>
        <w:t>” means, for any Guarantor, the ratio (expressed as a percentage) of (x)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(y) the amount by which the aggregate fair saleable value of all properties of all of the Guarantors exceeds the amount of all the debts and liabilities (including contingent, subordinated, unmatured and unliquidated liabilities, but excluding the obligations of Issuer and the Guarantors hereunder and under the other Note Documents) of all of the Guarantors, determined (A) with respect to any Guarantor that is a party hereto on the Effective Date, as of the Effective Date, and (B) with respect to any other Guarantor, as of the date such Guarantor becomes a Guarantor hereunder.</w:t>
      </w:r>
    </w:p>
    <w:p>
      <w:pPr>
        <w:spacing w:after="0" w:line="63" w:lineRule="exact"/>
        <w:rPr>
          <w:sz w:val="20"/>
          <w:szCs w:val="20"/>
          <w:color w:val="auto"/>
        </w:rPr>
      </w:pPr>
    </w:p>
    <w:p>
      <w:pPr>
        <w:ind w:left="220" w:right="399" w:firstLine="771"/>
        <w:spacing w:after="0" w:line="256" w:lineRule="auto"/>
        <w:rPr>
          <w:sz w:val="20"/>
          <w:szCs w:val="20"/>
          <w:color w:val="auto"/>
        </w:rPr>
      </w:pPr>
      <w:r>
        <w:rPr>
          <w:rFonts w:ascii="Times New Roman" w:cs="Times New Roman" w:eastAsia="Times New Roman" w:hAnsi="Times New Roman"/>
          <w:sz w:val="14"/>
          <w:szCs w:val="14"/>
          <w:b w:val="1"/>
          <w:bCs w:val="1"/>
          <w:color w:val="auto"/>
        </w:rPr>
        <w:t>12.9 General Limitation on Guarantee Obligations</w:t>
      </w:r>
      <w:r>
        <w:rPr>
          <w:rFonts w:ascii="Times New Roman" w:cs="Times New Roman" w:eastAsia="Times New Roman" w:hAnsi="Times New Roman"/>
          <w:sz w:val="14"/>
          <w:szCs w:val="14"/>
          <w:color w:val="auto"/>
        </w:rPr>
        <w:t>. In any action or proceeding involving any provincial, territorial or state corporate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law, or any state or federal bankruptcy, insolvency, reorganization or other law affecting the rights of creditors generally, if the obligations of any Guarantor </w:t>
      </w:r>
      <w:r>
        <w:rPr>
          <w:rFonts w:ascii="Times New Roman" w:cs="Times New Roman" w:eastAsia="Times New Roman" w:hAnsi="Times New Roman"/>
          <w:sz w:val="14"/>
          <w:szCs w:val="14"/>
          <w:u w:val="single" w:color="auto"/>
          <w:color w:val="auto"/>
        </w:rPr>
        <w:t>under Section 12.1</w:t>
      </w:r>
      <w:r>
        <w:rPr>
          <w:rFonts w:ascii="Times New Roman" w:cs="Times New Roman" w:eastAsia="Times New Roman" w:hAnsi="Times New Roman"/>
          <w:sz w:val="14"/>
          <w:szCs w:val="14"/>
          <w:color w:val="auto"/>
        </w:rPr>
        <w:t xml:space="preserve"> would otherwise, taking into account the provisions of </w:t>
      </w:r>
      <w:r>
        <w:rPr>
          <w:rFonts w:ascii="Times New Roman" w:cs="Times New Roman" w:eastAsia="Times New Roman" w:hAnsi="Times New Roman"/>
          <w:sz w:val="14"/>
          <w:szCs w:val="14"/>
          <w:u w:val="single" w:color="auto"/>
          <w:color w:val="auto"/>
        </w:rPr>
        <w:t>Section 12.8</w:t>
      </w:r>
      <w:r>
        <w:rPr>
          <w:rFonts w:ascii="Times New Roman" w:cs="Times New Roman" w:eastAsia="Times New Roman" w:hAnsi="Times New Roman"/>
          <w:sz w:val="14"/>
          <w:szCs w:val="14"/>
          <w:color w:val="auto"/>
        </w:rPr>
        <w:t xml:space="preserve">, be held or determined to be void, invalid or unenforceable, or subordinated to the claims of any other creditors, on account of the amount of its liability under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 then, notwithstanding any other provision hereof to the contrary, the amount of such liability shall, without any further action by such Guarantor, Purchaser Agent, any Purchaser or any other Person, be automatically limited and reduced to the highest amount that is valid and enforceable and not subordinated to the claims of other creditors as determined in such action or proceeding.</w:t>
      </w:r>
    </w:p>
    <w:p>
      <w:pPr>
        <w:spacing w:after="0" w:line="57" w:lineRule="exact"/>
        <w:rPr>
          <w:sz w:val="20"/>
          <w:szCs w:val="20"/>
          <w:color w:val="auto"/>
        </w:rPr>
      </w:pPr>
    </w:p>
    <w:p>
      <w:pPr>
        <w:ind w:left="780" w:hanging="215"/>
        <w:spacing w:after="0"/>
        <w:tabs>
          <w:tab w:leader="none" w:pos="780" w:val="left"/>
        </w:tabs>
        <w:numPr>
          <w:ilvl w:val="0"/>
          <w:numId w:val="3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1"/>
          <w:szCs w:val="11"/>
          <w:b w:val="1"/>
          <w:bCs w:val="1"/>
          <w:color w:val="auto"/>
        </w:rPr>
        <w:t>ENERAL</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ROVISIONS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13.1 Successors and Assigns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59" w:firstLine="1116"/>
        <w:spacing w:after="0" w:line="258" w:lineRule="auto"/>
        <w:tabs>
          <w:tab w:leader="none" w:pos="1531" w:val="left"/>
        </w:tabs>
        <w:numPr>
          <w:ilvl w:val="0"/>
          <w:numId w:val="3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This Agreement binds and is for the benefit of the successors and permitted assigns of each party. Issuer may not transfer, pledge or assign this Agreement or any rights or obligations under it without Purchaser Agent’s and each Purchaser’s prior written consent (which may be granted or withheld in Purchaser Agent’s and each Purchaser’s sole discretion, subject to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The Purchasers have the right, without the consent of or notice to Issuer, to sell, transfer, assign, pledge, negotiate, or grant participation in (any such sale, transfer, assignment, negotiation or grant of a participation, a “</w:t>
      </w:r>
      <w:r>
        <w:rPr>
          <w:rFonts w:ascii="Times New Roman" w:cs="Times New Roman" w:eastAsia="Times New Roman" w:hAnsi="Times New Roman"/>
          <w:sz w:val="14"/>
          <w:szCs w:val="14"/>
          <w:b w:val="1"/>
          <w:bCs w:val="1"/>
          <w:color w:val="auto"/>
        </w:rPr>
        <w:t>Purchaser Transfer</w:t>
      </w:r>
      <w:r>
        <w:rPr>
          <w:rFonts w:ascii="Times New Roman" w:cs="Times New Roman" w:eastAsia="Times New Roman" w:hAnsi="Times New Roman"/>
          <w:sz w:val="14"/>
          <w:szCs w:val="14"/>
          <w:color w:val="auto"/>
        </w:rPr>
        <w:t>”) all or any part of, or any interest in,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8" w:right="1440" w:bottom="1440" w:gutter="0" w:footer="0" w:header="0"/>
        </w:sectPr>
      </w:pPr>
    </w:p>
    <w:bookmarkStart w:id="576" w:name="page577"/>
    <w:bookmarkEnd w:id="576"/>
    <w:p>
      <w:pPr>
        <w:ind w:left="22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Notes and the Purchasers’ obligations, rights, and benefits under this Agreement and the other Note Documents; provided that any such Purchaser Transfer (other than a transfer, pledge, sale or assignment to an Eligible Assignee) of its obligations, rights, and benefits under this Agreement and the other Note Documents shall require the prior written consent of the Required Purchasers (such approved assignee, an “</w:t>
      </w:r>
      <w:r>
        <w:rPr>
          <w:rFonts w:ascii="Times New Roman" w:cs="Times New Roman" w:eastAsia="Times New Roman" w:hAnsi="Times New Roman"/>
          <w:sz w:val="14"/>
          <w:szCs w:val="14"/>
          <w:b w:val="1"/>
          <w:bCs w:val="1"/>
          <w:color w:val="auto"/>
        </w:rPr>
        <w:t>Approved Purchaser</w:t>
      </w:r>
      <w:r>
        <w:rPr>
          <w:rFonts w:ascii="Times New Roman" w:cs="Times New Roman" w:eastAsia="Times New Roman" w:hAnsi="Times New Roman"/>
          <w:sz w:val="14"/>
          <w:szCs w:val="14"/>
          <w:color w:val="auto"/>
        </w:rPr>
        <w:t>”). Issuer and Purchaser Agent shall be entitled to continue to deal solely and directly with such Purchaser in connection with the interests so assigned until Purchaser Agent shall have received and accepted an effective assignment or transfer agreement in form satisfactory to Purchaser Agent executed, delivered and fully completed by the applicable parties thereto, and shall have received such other information regarding such Eligible Assignee or Approved Purchaser as Purchaser Agent reasonably shall require. Notwithstanding anything to the contrary contained herein, so long as no Default or Event of Default has occurred and is continuing, no Purchaser Transfer (other than a Purchaser Transfer in connection with (x) assignments by a Purchaser due to a forced divestiture at the request of any regulatory agency; or (y) upon the occurrence of a default, event of default or similar occurrence with respect to a Purchaser’s own financing or securitization transactions) shall be permitted, without Issuer’s consent, to any Person (i) that is not an Eligible Assignee (except for the grant of any participation, which, for the avoidance of doubt, may be made to any Person) or (ii) which has been identified in writing by Issuer to Purchaser Agent as an Affiliate or Subsidiary of Issuer or a direct competitor of Issuer.</w:t>
      </w:r>
    </w:p>
    <w:p>
      <w:pPr>
        <w:spacing w:after="0" w:line="62" w:lineRule="exact"/>
        <w:rPr>
          <w:sz w:val="20"/>
          <w:szCs w:val="20"/>
          <w:color w:val="auto"/>
        </w:rPr>
      </w:pPr>
    </w:p>
    <w:p>
      <w:pPr>
        <w:ind w:left="220" w:right="259" w:firstLine="1116"/>
        <w:spacing w:after="0" w:line="253" w:lineRule="auto"/>
        <w:tabs>
          <w:tab w:leader="none" w:pos="1539" w:val="left"/>
        </w:tabs>
        <w:numPr>
          <w:ilvl w:val="0"/>
          <w:numId w:val="3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Purchaser Agent, acting solely for this purpose as a non-fiduciary agent of Issuer, shall maintain at its office referred to in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a copy of each assignment and assumption delivered to it and a register for the recordation of the names and addresses of the Purchasers, and the commitments of, and principal amounts (and stated interest) of the Obligations owing to, each Purchaser pursuant to the terms hereof from time to time (the “</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xml:space="preserve">”). The entries in the Register shall be conclusive absent manifest error, and Issuer, Purchaser Agent and each Purchaser shall treat each Person whose name is recorded in the Register pursuant to the terms hereof as a Purchaser hereunder for all purposes of the Note Documents. The Register shall be available for inspection by Issuer and each Purchaser, at any reasonable time and from time to time upon reasonable prior notice. For the avoidance of doubt, (i) each Note issued pursuant to this Agreement is a registered obligation, (ii) the right, title and interest of each Purchaser and its assignees in and to such Notes shall be transferable only upon notation of such transfer in the Register and (iii) no assignment thereof or participation therein shall be effective until recorded therein. This </w:t>
      </w:r>
      <w:r>
        <w:rPr>
          <w:rFonts w:ascii="Times New Roman" w:cs="Times New Roman" w:eastAsia="Times New Roman" w:hAnsi="Times New Roman"/>
          <w:sz w:val="14"/>
          <w:szCs w:val="14"/>
          <w:u w:val="single" w:color="auto"/>
          <w:color w:val="auto"/>
        </w:rPr>
        <w:t>Section 13.1(b)</w:t>
      </w:r>
      <w:r>
        <w:rPr>
          <w:rFonts w:ascii="Times New Roman" w:cs="Times New Roman" w:eastAsia="Times New Roman" w:hAnsi="Times New Roman"/>
          <w:sz w:val="14"/>
          <w:szCs w:val="14"/>
          <w:color w:val="auto"/>
        </w:rPr>
        <w:t xml:space="preserve"> shall be construed so that each Note is at all times maintained in “registered form” within the meaning of Sections 163(f), 871(h)(2) and 881(c)(2) of the IRC and Section 5f.103-1(c) of the United States Treasury Regulations.</w:t>
      </w:r>
    </w:p>
    <w:p>
      <w:pPr>
        <w:spacing w:after="0" w:line="64" w:lineRule="exact"/>
        <w:rPr>
          <w:sz w:val="20"/>
          <w:szCs w:val="20"/>
          <w:color w:val="auto"/>
        </w:rPr>
      </w:pPr>
    </w:p>
    <w:p>
      <w:pPr>
        <w:ind w:left="220" w:right="299" w:firstLine="771"/>
        <w:spacing w:after="0" w:line="252" w:lineRule="auto"/>
        <w:rPr>
          <w:sz w:val="20"/>
          <w:szCs w:val="20"/>
          <w:color w:val="auto"/>
        </w:rPr>
      </w:pPr>
      <w:r>
        <w:rPr>
          <w:rFonts w:ascii="Times New Roman" w:cs="Times New Roman" w:eastAsia="Times New Roman" w:hAnsi="Times New Roman"/>
          <w:sz w:val="14"/>
          <w:szCs w:val="14"/>
          <w:b w:val="1"/>
          <w:bCs w:val="1"/>
          <w:color w:val="auto"/>
        </w:rPr>
        <w:t>13.2 Indemnification</w:t>
      </w:r>
      <w:r>
        <w:rPr>
          <w:rFonts w:ascii="Times New Roman" w:cs="Times New Roman" w:eastAsia="Times New Roman" w:hAnsi="Times New Roman"/>
          <w:sz w:val="14"/>
          <w:szCs w:val="14"/>
          <w:color w:val="auto"/>
        </w:rPr>
        <w:t>. Each Obligor agrees to indemnify, defend and hold Purchaser Agent and the Purchasers and their respective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officers, employees, agents, attorneys, or any other Person affiliated with or representing Purchaser Agent or the Purchasers (each, an “</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harmless against: (a) all obligations, demands, claims, and liabilities (collectively,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asserted by any other party (including Issuer or any of its Subsidiaries) in connection with, related to, following, or arising from, out of or under, (i) the transactions contemplated by the Note Documents, (ii) any Notes or the use or proposed use of the proceeds therefrom or (iii) any actual or alleged presence or release of hazardous materials on or from any property owned or operated by any Obligor or any of its Subsidiaries, or any environmental liability related in any way to any Obligor or any of its Subsidiaries; and (b) all losses or Reimbursable Expenses incurred, or paid by Indemnified Person in connection with, related to, following, or arising from, out of or under, the transactions contemplated by the Note Documents between Purchaser Agent, and/or the Purchasers and Issuer (including reasonable attorneys’ fees and expenses), except for Claims and/or losses are determined by a court of competent jurisdiction by final and nonappealable judgment to have directly resulted from such Indemnified Person’s gross negligence or willful misconduct. Issuer hereby further indemnifies, defends and holds each Indemnified Person harmless from and against any and all liabilities, obligations, losses, damages, penalties, actions, judgments, suits, claims, costs, documented out-of-pocket expenses and disbursements of any kind or nature whatsoever (including the documented out-of-pocket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Issuer or any of its Subsidiaries, and the reasonable expenses of investigation by engineers, environmental consultants and similar technical personnel and any commission, fee or compensation claimed by any broker (other than any broker retained by Purchaser Agent or Purchasers) asserting any right to payment for the transactions contemplated hereby which may be imposed on, incurred by or asserted against such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1" w:right="1440" w:bottom="1440" w:gutter="0" w:footer="0" w:header="0"/>
        </w:sectPr>
      </w:pPr>
    </w:p>
    <w:bookmarkStart w:id="577" w:name="page578"/>
    <w:bookmarkEnd w:id="577"/>
    <w:p>
      <w:pPr>
        <w:ind w:left="220" w:right="2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Indemnified Person as a result of or in connection with the transactions contemplated hereby and the use or intended use of the proceeds of the Notes except for liabilities, obligations, losses, damages, penalties, actions, judgments, suits, claims, costs, expenses and disbursements directly caused by such Indemnified Person’s gross negligence or willful misconduct. For the avoidance of doubt this </w:t>
      </w:r>
      <w:r>
        <w:rPr>
          <w:rFonts w:ascii="Times New Roman" w:cs="Times New Roman" w:eastAsia="Times New Roman" w:hAnsi="Times New Roman"/>
          <w:sz w:val="14"/>
          <w:szCs w:val="14"/>
          <w:u w:val="single" w:color="auto"/>
          <w:color w:val="auto"/>
        </w:rPr>
        <w:t>Section 13.2</w:t>
      </w:r>
      <w:r>
        <w:rPr>
          <w:rFonts w:ascii="Times New Roman" w:cs="Times New Roman" w:eastAsia="Times New Roman" w:hAnsi="Times New Roman"/>
          <w:sz w:val="14"/>
          <w:szCs w:val="14"/>
          <w:color w:val="auto"/>
        </w:rPr>
        <w:t xml:space="preserve"> shall not apply to Tax matters subject to </w:t>
      </w:r>
      <w:r>
        <w:rPr>
          <w:rFonts w:ascii="Times New Roman" w:cs="Times New Roman" w:eastAsia="Times New Roman" w:hAnsi="Times New Roman"/>
          <w:sz w:val="14"/>
          <w:szCs w:val="14"/>
          <w:u w:val="single" w:color="auto"/>
          <w:color w:val="auto"/>
        </w:rPr>
        <w:t>Article 14</w:t>
      </w:r>
      <w:r>
        <w:rPr>
          <w:rFonts w:ascii="Times New Roman" w:cs="Times New Roman" w:eastAsia="Times New Roman" w:hAnsi="Times New Roman"/>
          <w:sz w:val="14"/>
          <w:szCs w:val="14"/>
          <w:color w:val="auto"/>
        </w:rPr>
        <w:t xml:space="preserve">. All amounts due under this </w:t>
      </w:r>
      <w:r>
        <w:rPr>
          <w:rFonts w:ascii="Times New Roman" w:cs="Times New Roman" w:eastAsia="Times New Roman" w:hAnsi="Times New Roman"/>
          <w:sz w:val="14"/>
          <w:szCs w:val="14"/>
          <w:u w:val="single" w:color="auto"/>
          <w:color w:val="auto"/>
        </w:rPr>
        <w:t>Section 13.2</w:t>
      </w:r>
      <w:r>
        <w:rPr>
          <w:rFonts w:ascii="Times New Roman" w:cs="Times New Roman" w:eastAsia="Times New Roman" w:hAnsi="Times New Roman"/>
          <w:sz w:val="14"/>
          <w:szCs w:val="14"/>
          <w:color w:val="auto"/>
        </w:rPr>
        <w:t xml:space="preserve"> shall be payable not later than five (5) Business Days after demand therefor together with an invoice with respect thereto.</w:t>
      </w:r>
    </w:p>
    <w:p>
      <w:pPr>
        <w:spacing w:after="0" w:line="5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13.3 Time of Essence</w:t>
      </w:r>
      <w:r>
        <w:rPr>
          <w:rFonts w:ascii="Times New Roman" w:cs="Times New Roman" w:eastAsia="Times New Roman" w:hAnsi="Times New Roman"/>
          <w:sz w:val="14"/>
          <w:szCs w:val="14"/>
          <w:color w:val="auto"/>
        </w:rPr>
        <w:t>. Time is of the essence for the performance of all Obligations in this Agreement.</w:t>
      </w:r>
    </w:p>
    <w:p>
      <w:pPr>
        <w:spacing w:after="0" w:line="91" w:lineRule="exact"/>
        <w:rPr>
          <w:sz w:val="20"/>
          <w:szCs w:val="20"/>
          <w:color w:val="auto"/>
        </w:rPr>
      </w:pPr>
    </w:p>
    <w:p>
      <w:pPr>
        <w:ind w:left="220" w:right="9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13.4 Severability of Provisions</w:t>
      </w:r>
      <w:r>
        <w:rPr>
          <w:rFonts w:ascii="Times New Roman" w:cs="Times New Roman" w:eastAsia="Times New Roman" w:hAnsi="Times New Roman"/>
          <w:sz w:val="14"/>
          <w:szCs w:val="14"/>
          <w:color w:val="auto"/>
        </w:rPr>
        <w:t>. Each provision of this Agreement is severable from every other provision in determining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enforceability of any provision.</w:t>
      </w:r>
    </w:p>
    <w:p>
      <w:pPr>
        <w:spacing w:after="0" w:line="37" w:lineRule="exact"/>
        <w:rPr>
          <w:sz w:val="20"/>
          <w:szCs w:val="20"/>
          <w:color w:val="auto"/>
        </w:rPr>
      </w:pPr>
    </w:p>
    <w:p>
      <w:pPr>
        <w:ind w:left="220" w:right="81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13.5 Correction of Note Documents</w:t>
      </w:r>
      <w:r>
        <w:rPr>
          <w:rFonts w:ascii="Times New Roman" w:cs="Times New Roman" w:eastAsia="Times New Roman" w:hAnsi="Times New Roman"/>
          <w:sz w:val="14"/>
          <w:szCs w:val="14"/>
          <w:color w:val="auto"/>
        </w:rPr>
        <w:t>. Purchaser Agent and the Purchasers may correct patent errors and fill in any blanks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 the other Note Documents consistent with the agreement of the parties.</w:t>
      </w:r>
    </w:p>
    <w:p>
      <w:pPr>
        <w:spacing w:after="0" w:line="37" w:lineRule="exact"/>
        <w:rPr>
          <w:sz w:val="20"/>
          <w:szCs w:val="20"/>
          <w:color w:val="auto"/>
        </w:rPr>
      </w:pPr>
    </w:p>
    <w:p>
      <w:pPr>
        <w:jc w:val="both"/>
        <w:ind w:left="220" w:right="359" w:firstLine="771"/>
        <w:spacing w:after="0" w:line="297" w:lineRule="auto"/>
        <w:rPr>
          <w:sz w:val="20"/>
          <w:szCs w:val="20"/>
          <w:color w:val="auto"/>
        </w:rPr>
      </w:pPr>
      <w:r>
        <w:rPr>
          <w:rFonts w:ascii="Times New Roman" w:cs="Times New Roman" w:eastAsia="Times New Roman" w:hAnsi="Times New Roman"/>
          <w:sz w:val="13"/>
          <w:szCs w:val="13"/>
          <w:b w:val="1"/>
          <w:bCs w:val="1"/>
          <w:color w:val="auto"/>
        </w:rPr>
        <w:t>13.6 Amendments in Writing; Integration</w:t>
      </w:r>
      <w:r>
        <w:rPr>
          <w:rFonts w:ascii="Times New Roman" w:cs="Times New Roman" w:eastAsia="Times New Roman" w:hAnsi="Times New Roman"/>
          <w:sz w:val="13"/>
          <w:szCs w:val="13"/>
          <w:color w:val="auto"/>
        </w:rPr>
        <w:t>. (a) No amendment, modification, termination or waiver of any provision of this Agreement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any other Note Document, no approval or consent thereunder, or any consent to any departure by Issuer or any of its Subsidiaries therefrom, shall in any event be effective unless the same shall be in writing and signed by Issuer, Purchaser Agent and the Required Purchasers provided that:</w:t>
      </w:r>
    </w:p>
    <w:p>
      <w:pPr>
        <w:spacing w:after="0" w:line="35" w:lineRule="exact"/>
        <w:rPr>
          <w:sz w:val="20"/>
          <w:szCs w:val="20"/>
          <w:color w:val="auto"/>
        </w:rPr>
      </w:pPr>
    </w:p>
    <w:p>
      <w:pPr>
        <w:ind w:left="220" w:right="599" w:firstLine="1544"/>
        <w:spacing w:after="0" w:line="282" w:lineRule="auto"/>
        <w:tabs>
          <w:tab w:leader="none" w:pos="1928" w:val="left"/>
        </w:tabs>
        <w:numPr>
          <w:ilvl w:val="2"/>
          <w:numId w:val="3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such amendment, waiver or other modification that would have the effect of increasing or reducing a Purchaser’s Commitment or Commitment Percentage shall be effective as to such Purchaser without such Purchaser’s written consent;</w:t>
      </w:r>
    </w:p>
    <w:p>
      <w:pPr>
        <w:spacing w:after="0" w:line="41" w:lineRule="exact"/>
        <w:rPr>
          <w:rFonts w:ascii="Times New Roman" w:cs="Times New Roman" w:eastAsia="Times New Roman" w:hAnsi="Times New Roman"/>
          <w:sz w:val="14"/>
          <w:szCs w:val="14"/>
          <w:b w:val="1"/>
          <w:bCs w:val="1"/>
          <w:color w:val="auto"/>
        </w:rPr>
      </w:pPr>
    </w:p>
    <w:p>
      <w:pPr>
        <w:ind w:left="220" w:right="339" w:firstLine="1544"/>
        <w:spacing w:after="0" w:line="282" w:lineRule="auto"/>
        <w:tabs>
          <w:tab w:leader="none" w:pos="1967" w:val="left"/>
        </w:tabs>
        <w:numPr>
          <w:ilvl w:val="2"/>
          <w:numId w:val="3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such amendment, waiver or modification that would affect the rights and duties of Purchaser Agent shall be effective without Purchaser Agent’s written consent or signature; and</w:t>
      </w:r>
    </w:p>
    <w:p>
      <w:pPr>
        <w:spacing w:after="0" w:line="41" w:lineRule="exact"/>
        <w:rPr>
          <w:rFonts w:ascii="Times New Roman" w:cs="Times New Roman" w:eastAsia="Times New Roman" w:hAnsi="Times New Roman"/>
          <w:sz w:val="14"/>
          <w:szCs w:val="14"/>
          <w:b w:val="1"/>
          <w:bCs w:val="1"/>
          <w:color w:val="auto"/>
        </w:rPr>
      </w:pPr>
    </w:p>
    <w:p>
      <w:pPr>
        <w:ind w:left="2000" w:hanging="236"/>
        <w:spacing w:after="0"/>
        <w:tabs>
          <w:tab w:leader="none" w:pos="2000" w:val="left"/>
        </w:tabs>
        <w:numPr>
          <w:ilvl w:val="2"/>
          <w:numId w:val="3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such amendment, waiver or other modification shall, unless signed by all the Purchasers directly affected thereby,</w:t>
      </w:r>
    </w:p>
    <w:p>
      <w:pPr>
        <w:spacing w:after="0" w:line="21" w:lineRule="exact"/>
        <w:rPr>
          <w:rFonts w:ascii="Times New Roman" w:cs="Times New Roman" w:eastAsia="Times New Roman" w:hAnsi="Times New Roman"/>
          <w:sz w:val="14"/>
          <w:szCs w:val="14"/>
          <w:b w:val="1"/>
          <w:bCs w:val="1"/>
          <w:color w:val="auto"/>
        </w:rPr>
      </w:pPr>
    </w:p>
    <w:p>
      <w:pPr>
        <w:ind w:left="220" w:right="339" w:firstLine="3"/>
        <w:spacing w:after="0" w:line="251" w:lineRule="auto"/>
        <w:tabs>
          <w:tab w:leader="none" w:pos="449"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rate of interest on or any fees with respect to any Note or forgive any principal, interest (other than default interest) or fees (other than late charges) with respect to any Note; (B) postpone the date fixed for, or waive, any payment of principal of any Note or of interest on any Note (other than default interest) or any fees provided for hereunder (other than late charges or for any termination of any commitment); (C) reduce the applicable Revenue Participation Payments or Repayment Amount; (D) change the definition of the term “</w:t>
      </w:r>
      <w:r>
        <w:rPr>
          <w:rFonts w:ascii="Times New Roman" w:cs="Times New Roman" w:eastAsia="Times New Roman" w:hAnsi="Times New Roman"/>
          <w:sz w:val="14"/>
          <w:szCs w:val="14"/>
          <w:b w:val="1"/>
          <w:bCs w:val="1"/>
          <w:color w:val="auto"/>
        </w:rPr>
        <w:t>Required Purchasers</w:t>
      </w:r>
      <w:r>
        <w:rPr>
          <w:rFonts w:ascii="Times New Roman" w:cs="Times New Roman" w:eastAsia="Times New Roman" w:hAnsi="Times New Roman"/>
          <w:sz w:val="14"/>
          <w:szCs w:val="14"/>
          <w:color w:val="auto"/>
        </w:rPr>
        <w:t xml:space="preserve">” or the percentage of Purchasers which shall be required for the Purchasers to take any action hereunder; (E) release all or substantially all of the Collateral, authorize the Obligors to sell or otherwise dispose of all or substantially all or any material portion of the Collateral or release any Guarantor of all or any portion of the Obligations or its guaranty obligations with respect thereto, except, in each case with respect to this clause (E), as otherwise may be expressly permitted under this Agreement or the other Note Documents (including in connection with any disposition permitted hereunder); (F) amend, waive or otherwise modify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or the definitions of the terms used in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insofar as the definitions affect the substance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(G) consent to the assignment, delegation or other transfer by Issuer of any of its rights and obligations under any Note Document or release Issuer of its payment obligations under any Note Document, except, in each case with respect to this clause (G), pursuant to a merger or consolidation permitted pursuant to this Agreement; (H) amend any of the provisions of </w:t>
      </w:r>
      <w:r>
        <w:rPr>
          <w:rFonts w:ascii="Times New Roman" w:cs="Times New Roman" w:eastAsia="Times New Roman" w:hAnsi="Times New Roman"/>
          <w:sz w:val="14"/>
          <w:szCs w:val="14"/>
          <w:u w:val="single" w:color="auto"/>
          <w:color w:val="auto"/>
        </w:rPr>
        <w:t>Section 9.4</w:t>
      </w:r>
      <w:r>
        <w:rPr>
          <w:rFonts w:ascii="Times New Roman" w:cs="Times New Roman" w:eastAsia="Times New Roman" w:hAnsi="Times New Roman"/>
          <w:sz w:val="14"/>
          <w:szCs w:val="14"/>
          <w:color w:val="auto"/>
        </w:rPr>
        <w:t xml:space="preserve"> or amend any of the definitions of Pro Rata Share, Commitment, Commitment Percentage or that provide for the Purchasers to receive their Pro Rata Shares of any fees, payments, setoffs or proceeds of Collateral hereunder; (I) subordinate the Liens granted in favor of Purchaser Agent securing the Obligations; or (J) amend any of the provisions of </w:t>
      </w:r>
      <w:r>
        <w:rPr>
          <w:rFonts w:ascii="Times New Roman" w:cs="Times New Roman" w:eastAsia="Times New Roman" w:hAnsi="Times New Roman"/>
          <w:sz w:val="14"/>
          <w:szCs w:val="14"/>
          <w:u w:val="single" w:color="auto"/>
          <w:color w:val="auto"/>
        </w:rPr>
        <w:t>Section 13.11</w:t>
      </w:r>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220" w:right="579" w:firstLine="1116"/>
        <w:spacing w:after="0" w:line="282" w:lineRule="auto"/>
        <w:tabs>
          <w:tab w:leader="none" w:pos="1539" w:val="left"/>
        </w:tabs>
        <w:numPr>
          <w:ilvl w:val="1"/>
          <w:numId w:val="3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Other than as expressly provided for in </w:t>
      </w:r>
      <w:r>
        <w:rPr>
          <w:rFonts w:ascii="Times New Roman" w:cs="Times New Roman" w:eastAsia="Times New Roman" w:hAnsi="Times New Roman"/>
          <w:sz w:val="14"/>
          <w:szCs w:val="14"/>
          <w:u w:val="single" w:color="auto"/>
          <w:color w:val="auto"/>
        </w:rPr>
        <w:t>Sections 13.6(a)(i)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Purchaser Agent may, if requested by the Required Purchasers, from time to time designate covenants in this Agreement less restrictive by notification to a representative of Issuer.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0" w:right="1440" w:bottom="1440" w:gutter="0" w:footer="0" w:header="0"/>
        </w:sectPr>
      </w:pPr>
    </w:p>
    <w:bookmarkStart w:id="578" w:name="page579"/>
    <w:bookmarkEnd w:id="578"/>
    <w:p>
      <w:pPr>
        <w:ind w:left="220" w:right="479" w:firstLine="1116"/>
        <w:spacing w:after="0" w:line="266" w:lineRule="auto"/>
        <w:tabs>
          <w:tab w:leader="none" w:pos="1523" w:val="left"/>
        </w:tabs>
        <w:numPr>
          <w:ilvl w:val="0"/>
          <w:numId w:val="3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This Agreement and the Note Documents represent the entire agreement about this subject matter and supersede prior negotiations or agreements. All prior agreements, understandings, representations, warranties, and negotiations between the parties about the subject matter of this Agreement and the Note Documents merge into this Agreement and the Note Documents.</w:t>
      </w:r>
    </w:p>
    <w:p>
      <w:pPr>
        <w:spacing w:after="0" w:line="50" w:lineRule="exact"/>
        <w:rPr>
          <w:sz w:val="20"/>
          <w:szCs w:val="20"/>
          <w:color w:val="auto"/>
        </w:rPr>
      </w:pPr>
    </w:p>
    <w:p>
      <w:pPr>
        <w:ind w:left="220" w:right="259" w:firstLine="771"/>
        <w:spacing w:after="0" w:line="252" w:lineRule="auto"/>
        <w:rPr>
          <w:sz w:val="20"/>
          <w:szCs w:val="20"/>
          <w:color w:val="auto"/>
        </w:rPr>
      </w:pPr>
      <w:r>
        <w:rPr>
          <w:rFonts w:ascii="Times New Roman" w:cs="Times New Roman" w:eastAsia="Times New Roman" w:hAnsi="Times New Roman"/>
          <w:sz w:val="14"/>
          <w:szCs w:val="14"/>
          <w:b w:val="1"/>
          <w:bCs w:val="1"/>
          <w:color w:val="auto"/>
        </w:rPr>
        <w:t>13.7 Counterparts; Effectiveness; Electronic Signature</w:t>
      </w:r>
      <w:r>
        <w:rPr>
          <w:rFonts w:ascii="Times New Roman" w:cs="Times New Roman" w:eastAsia="Times New Roman" w:hAnsi="Times New Roman"/>
          <w:sz w:val="14"/>
          <w:szCs w:val="14"/>
          <w:color w:val="auto"/>
        </w:rPr>
        <w:t>. This Agreement may be executed in any number of counterparts and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different parties on separate counterparts, each of which, when executed and delivered, is an original, and all taken together, constitute one Agreement. This Agreement shall become effective when each party hereto shall have received a counterpart hereof signed by the other parties hereto. Any counterpart may be executed by facsimile or pdf signature and such facsimile or pdf signature shall be deemed an original. The words ‘execution’, ‘signed’, ‘signature’, ‘delivery’ and words of like import in or relating to any document to be signed in connection with this Agreement or any other Note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any Person to accept electronic signatures in any form or format without its prior written consent. Without limiting the generality of the foregoing, the parties hereto hereby (a) agree that, for all purposes, including in connection with any workout, restructuring, enforcement of remedies, bankruptcy proceedings or litigation among the Purchasers and the Obligors, electronic images of this Agreement or any other Note Document (in each case, including with respect to any signature pages thereto) shall have the same legal effect, validity and enforceability as any paper original, and (b) waive any argument, defense or right to contest the validity or enforceability of the Note Documents based solely on the lack of paper original copies of any Note Documents, including with respect to any signature pages thereto.</w:t>
      </w:r>
    </w:p>
    <w:p>
      <w:pPr>
        <w:spacing w:after="0" w:line="66" w:lineRule="exact"/>
        <w:rPr>
          <w:sz w:val="20"/>
          <w:szCs w:val="20"/>
          <w:color w:val="auto"/>
        </w:rPr>
      </w:pPr>
    </w:p>
    <w:p>
      <w:pPr>
        <w:ind w:left="220" w:right="339" w:firstLine="771"/>
        <w:spacing w:after="0" w:line="262" w:lineRule="auto"/>
        <w:rPr>
          <w:sz w:val="20"/>
          <w:szCs w:val="20"/>
          <w:color w:val="auto"/>
        </w:rPr>
      </w:pPr>
      <w:r>
        <w:rPr>
          <w:rFonts w:ascii="Times New Roman" w:cs="Times New Roman" w:eastAsia="Times New Roman" w:hAnsi="Times New Roman"/>
          <w:sz w:val="14"/>
          <w:szCs w:val="14"/>
          <w:b w:val="1"/>
          <w:bCs w:val="1"/>
          <w:color w:val="auto"/>
        </w:rPr>
        <w:t>13.8 Survival</w:t>
      </w:r>
      <w:r>
        <w:rPr>
          <w:rFonts w:ascii="Times New Roman" w:cs="Times New Roman" w:eastAsia="Times New Roman" w:hAnsi="Times New Roman"/>
          <w:sz w:val="14"/>
          <w:szCs w:val="14"/>
          <w:color w:val="auto"/>
        </w:rPr>
        <w:t>. All covenants, representations and warranties made in this Agreement continue in full force and effect until Payment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Full. The obligation of the Obligors in </w:t>
      </w:r>
      <w:r>
        <w:rPr>
          <w:rFonts w:ascii="Times New Roman" w:cs="Times New Roman" w:eastAsia="Times New Roman" w:hAnsi="Times New Roman"/>
          <w:sz w:val="14"/>
          <w:szCs w:val="14"/>
          <w:u w:val="single" w:color="auto"/>
          <w:color w:val="auto"/>
        </w:rPr>
        <w:t>Section 13.2</w:t>
      </w:r>
      <w:r>
        <w:rPr>
          <w:rFonts w:ascii="Times New Roman" w:cs="Times New Roman" w:eastAsia="Times New Roman" w:hAnsi="Times New Roman"/>
          <w:sz w:val="14"/>
          <w:szCs w:val="14"/>
          <w:color w:val="auto"/>
        </w:rPr>
        <w:t xml:space="preserve"> to indemnify each Purchaser and Purchaser Agent, as well as the confidentiality provisions in </w:t>
      </w:r>
      <w:r>
        <w:rPr>
          <w:rFonts w:ascii="Times New Roman" w:cs="Times New Roman" w:eastAsia="Times New Roman" w:hAnsi="Times New Roman"/>
          <w:sz w:val="14"/>
          <w:szCs w:val="14"/>
          <w:u w:val="single" w:color="auto"/>
          <w:color w:val="auto"/>
        </w:rPr>
        <w:t>Section 13.9</w:t>
      </w:r>
      <w:r>
        <w:rPr>
          <w:rFonts w:ascii="Times New Roman" w:cs="Times New Roman" w:eastAsia="Times New Roman" w:hAnsi="Times New Roman"/>
          <w:sz w:val="14"/>
          <w:szCs w:val="14"/>
          <w:color w:val="auto"/>
        </w:rPr>
        <w:t xml:space="preserve"> and the obligations under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and under </w:t>
      </w:r>
      <w:r>
        <w:rPr>
          <w:rFonts w:ascii="Times New Roman" w:cs="Times New Roman" w:eastAsia="Times New Roman" w:hAnsi="Times New Roman"/>
          <w:sz w:val="14"/>
          <w:szCs w:val="14"/>
          <w:u w:val="single" w:color="auto"/>
          <w:color w:val="auto"/>
        </w:rPr>
        <w:t>Article 14</w:t>
      </w:r>
      <w:r>
        <w:rPr>
          <w:rFonts w:ascii="Times New Roman" w:cs="Times New Roman" w:eastAsia="Times New Roman" w:hAnsi="Times New Roman"/>
          <w:sz w:val="14"/>
          <w:szCs w:val="14"/>
          <w:color w:val="auto"/>
        </w:rPr>
        <w:t>, shall survive until the statute of limitations with respect to such claim or cause of action shall have run.</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13.9 Confidentiality</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39" w:firstLine="1116"/>
        <w:spacing w:after="0" w:line="255" w:lineRule="auto"/>
        <w:tabs>
          <w:tab w:leader="none" w:pos="1531" w:val="left"/>
        </w:tabs>
        <w:numPr>
          <w:ilvl w:val="1"/>
          <w:numId w:val="3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handling any Confidential Information of (i) the Obligors, in the case of the Purchaser Agent and the Purchasers and (ii) the Purchaser Agent and the Purchasers, in the case of the Obligors (in either case, as applicable, the party receiving Confidential Information, the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and, the party disclosing such Confidential Information, the “</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shall, in each case, exercise the same degree of care that they exercise for their own proprietary information (but in no event less than a reasonable standard of care). The Receiving Party agrees to: (x) hold any Confidential Information received in confidence; (y) use or permit the use of the Confidential Information solely in connection with preparing, amending, executing, negotiating, administering, defending and enforcing the Note Documents (the “</w:t>
      </w:r>
      <w:r>
        <w:rPr>
          <w:rFonts w:ascii="Times New Roman" w:cs="Times New Roman" w:eastAsia="Times New Roman" w:hAnsi="Times New Roman"/>
          <w:sz w:val="14"/>
          <w:szCs w:val="14"/>
          <w:b w:val="1"/>
          <w:bCs w:val="1"/>
          <w:color w:val="auto"/>
        </w:rPr>
        <w:t>Permitted Purpose</w:t>
      </w:r>
      <w:r>
        <w:rPr>
          <w:rFonts w:ascii="Times New Roman" w:cs="Times New Roman" w:eastAsia="Times New Roman" w:hAnsi="Times New Roman"/>
          <w:sz w:val="14"/>
          <w:szCs w:val="14"/>
          <w:color w:val="auto"/>
        </w:rPr>
        <w:t>”); and (z) except as otherwise permitted herein, not disclose the Confidential Information to any Person not a party to this Agreement.</w:t>
      </w:r>
    </w:p>
    <w:p>
      <w:pPr>
        <w:spacing w:after="0" w:line="61"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1"/>
          <w:numId w:val="3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the terms and conditions of this Agreement: (i) either Receiving Party may disclose such Confidential Information</w:t>
      </w:r>
    </w:p>
    <w:p>
      <w:pPr>
        <w:spacing w:after="0" w:line="21" w:lineRule="exact"/>
        <w:rPr>
          <w:rFonts w:ascii="Times New Roman" w:cs="Times New Roman" w:eastAsia="Times New Roman" w:hAnsi="Times New Roman"/>
          <w:sz w:val="14"/>
          <w:szCs w:val="14"/>
          <w:b w:val="1"/>
          <w:bCs w:val="1"/>
          <w:color w:val="auto"/>
        </w:rPr>
      </w:pPr>
    </w:p>
    <w:p>
      <w:pPr>
        <w:ind w:left="220" w:right="299" w:firstLine="3"/>
        <w:spacing w:after="0" w:line="251" w:lineRule="auto"/>
        <w:tabs>
          <w:tab w:leader="none" w:pos="449"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Affiliates and to the Receiving Party’s and its Affiliates’ directors, officers (including managing members or partners), limited partners, employees, accountants, attorneys, financial advisors or consultants (together,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who (1) have a need to know the Confidential Information for the Permitted Purpose, (2) are apprised of the confidential nature of the Confidential Information and (3) are under written or professional obligations of confidentiality, non-disclosure and non-use in respect of Confidential Information at least as stringent as those contained herein or (B) as required by law, regulation, subpoena or court order or otherwise in connection with a judicial, administrative or governmental proceeding, provided that, in the event that the Receiving Party is required or requested to make such disclosure, the Receiving Party shall, to the extent legally permissible, notify the Disclosing Party in advance of the disclosure so as to allow the Disclosing Party an opportunity to seek (at the Disclosing Party’s sole expense) a protective order or other appropriate remedy;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0" w:right="1440" w:bottom="1440" w:gutter="0" w:footer="0" w:header="0"/>
        </w:sectPr>
      </w:pPr>
    </w:p>
    <w:bookmarkStart w:id="579" w:name="page580"/>
    <w:bookmarkEnd w:id="579"/>
    <w:p>
      <w:pPr>
        <w:ind w:left="220" w:right="43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provided, further, that such notice and opportunity shall not be required in respect of (x) disclosures required pursuant to the Securities Act, the Exchange Act, or the listing rules of the Nasdaq Capital Market, the Nasdaq Global Select Market, the Nasdaq Global Market or the New York Stock Exchange (or any nationally recognized securities exchange that is a successor to any of the foregoing) on which Issuer’s common stock is listed or</w:t>
      </w:r>
    </w:p>
    <w:p>
      <w:pPr>
        <w:spacing w:after="0" w:line="1" w:lineRule="exact"/>
        <w:rPr>
          <w:sz w:val="20"/>
          <w:szCs w:val="20"/>
          <w:color w:val="auto"/>
        </w:rPr>
      </w:pPr>
    </w:p>
    <w:p>
      <w:pPr>
        <w:ind w:left="220" w:right="239" w:firstLine="3"/>
        <w:spacing w:after="0" w:line="251" w:lineRule="auto"/>
        <w:tabs>
          <w:tab w:leader="none" w:pos="418"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disclosures to any regulatory or self-regulatory authority as required by applicable law in connection with an examination, audit, inspection, inquiry, request or general supervisory oversight, and (ii) the Purchaser and Purchaser Agent may disclose such Confidential Information (A) so long as any Persons receiving Confidential Information pursuant to this clause (A) are subject to customary confidentiality obligations, in connection with a Purchaser’s own financing or securitization transactions and upon the occurrence of a default, event of default or similar occurrence with respect to such financing or securitization transaction, (B) to prospective transferees (other than those identified in the immediately preceding clause (A)) or purchasers of any interest in the Notes (provided that the Purchasers and Purchaser Agent shall obtain such prospective transferee’s or purchaser’s agreement to the terms of this provision or to similar confidentiality terms), (C) as Purchaser Agent reasonably considers appropriate in exercising remedies under the Note Documents or (D) to any actual or potential investors, co-investors, members, and partners (including limited partners) of Purchaser Agent or any Purchaser or any of their Affiliates so long as such Persons are subject to customary confidentiality obligations. The Receiving Party shall be responsible for any breaches of this Section by its Representatives. For the avoidance of doubt, any disclosure of Confidential Information in compliance with this clause (b) shall not alter the confidential nature of such Confidential Information, or the confidentiality, non-disclosure and non-use obligations applicable thereto, for all other purposes.</w:t>
      </w:r>
    </w:p>
    <w:p>
      <w:pPr>
        <w:spacing w:after="0" w:line="63" w:lineRule="exact"/>
        <w:rPr>
          <w:rFonts w:ascii="Times New Roman" w:cs="Times New Roman" w:eastAsia="Times New Roman" w:hAnsi="Times New Roman"/>
          <w:sz w:val="14"/>
          <w:szCs w:val="14"/>
          <w:color w:val="auto"/>
        </w:rPr>
      </w:pPr>
    </w:p>
    <w:p>
      <w:pPr>
        <w:ind w:left="220" w:right="359" w:firstLine="1116"/>
        <w:spacing w:after="0" w:line="258" w:lineRule="auto"/>
        <w:tabs>
          <w:tab w:leader="none" w:pos="1523" w:val="left"/>
        </w:tabs>
        <w:numPr>
          <w:ilvl w:val="1"/>
          <w:numId w:val="3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foregoing, the prohibitions on disclosure in this Section shall not apply to information that the Receiving Party can demonstrate by competent evidence: (i) was in the public domain prior to disclosure to the Receiving Party by the Disclosing Party, or becomes part of the public domain after such, in each case through no act or failure to act by the Receiving Party or its Representatives; (ii) was in the Receiving Party’s rightful possession prior to disclosure to the Receiving Party by the Disclosing Party; or (iii) is disclosed to the Receiving Party by a third party who is known by Receiving Party to be in rightful possession thereof and not prohibited from disclosing the information.</w:t>
      </w:r>
    </w:p>
    <w:p>
      <w:pPr>
        <w:spacing w:after="0" w:line="58" w:lineRule="exact"/>
        <w:rPr>
          <w:rFonts w:ascii="Times New Roman" w:cs="Times New Roman" w:eastAsia="Times New Roman" w:hAnsi="Times New Roman"/>
          <w:sz w:val="14"/>
          <w:szCs w:val="14"/>
          <w:b w:val="1"/>
          <w:bCs w:val="1"/>
          <w:color w:val="auto"/>
        </w:rPr>
      </w:pPr>
    </w:p>
    <w:p>
      <w:pPr>
        <w:ind w:left="220" w:right="279" w:firstLine="1116"/>
        <w:spacing w:after="0" w:line="255" w:lineRule="auto"/>
        <w:tabs>
          <w:tab w:leader="none" w:pos="1539" w:val="left"/>
        </w:tabs>
        <w:numPr>
          <w:ilvl w:val="1"/>
          <w:numId w:val="3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Notwithstanding anything herein to the contrary, (i) the Purchasers and Purchaser Agent may use Confidential Information for the development of client databases, reporting purposes and market analysis, (ii) after the First Purchase Date, Purchaser Agent and any Purchaser may disclose the transaction contemplated by the Note Documents on its or its investment manager’s website and in its or its investment manager’s marketing materials (which may include use of names and logos of one or more of the Obligors) and (iii) within thirty (30) days of the First Purchase Date, the Obligors shall issue the Press Release. Except as otherwise provided in this </w:t>
      </w:r>
      <w:r>
        <w:rPr>
          <w:rFonts w:ascii="Times New Roman" w:cs="Times New Roman" w:eastAsia="Times New Roman" w:hAnsi="Times New Roman"/>
          <w:sz w:val="14"/>
          <w:szCs w:val="14"/>
          <w:u w:val="single" w:color="auto"/>
          <w:color w:val="auto"/>
        </w:rPr>
        <w:t>Section 13.9</w:t>
      </w:r>
      <w:r>
        <w:rPr>
          <w:rFonts w:ascii="Times New Roman" w:cs="Times New Roman" w:eastAsia="Times New Roman" w:hAnsi="Times New Roman"/>
          <w:sz w:val="14"/>
          <w:szCs w:val="14"/>
          <w:color w:val="auto"/>
        </w:rPr>
        <w:t>, a party may not use the name, likeness or trademarks of the other party or its Representatives for any purpose, including without limitation, to express or imply any relationship or affiliation between the parties, or any endorsement of any product or service, without the other party’s prior written consent.</w:t>
      </w:r>
    </w:p>
    <w:p>
      <w:pPr>
        <w:spacing w:after="0" w:line="61" w:lineRule="exact"/>
        <w:rPr>
          <w:rFonts w:ascii="Times New Roman" w:cs="Times New Roman" w:eastAsia="Times New Roman" w:hAnsi="Times New Roman"/>
          <w:sz w:val="14"/>
          <w:szCs w:val="14"/>
          <w:b w:val="1"/>
          <w:bCs w:val="1"/>
          <w:color w:val="auto"/>
        </w:rPr>
      </w:pPr>
    </w:p>
    <w:p>
      <w:pPr>
        <w:ind w:left="220" w:right="239" w:firstLine="1116"/>
        <w:spacing w:after="0" w:line="261" w:lineRule="auto"/>
        <w:tabs>
          <w:tab w:leader="none" w:pos="1523" w:val="left"/>
        </w:tabs>
        <w:numPr>
          <w:ilvl w:val="1"/>
          <w:numId w:val="3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agreements provided under this Section supersede all prior agreements, understanding, representations, warranties, and negotiations between the parties about the subject matter of this Section. For the avoidance of doubt the parties’ obligations with respect to Confidential Information received prior to the Effective Date shall continue to be defined by the terms of any prior agreements with respect thereto, but effective as of the Effective Date, obligations in respect of all Confidential Information will be governed by this </w:t>
      </w:r>
      <w:r>
        <w:rPr>
          <w:rFonts w:ascii="Times New Roman" w:cs="Times New Roman" w:eastAsia="Times New Roman" w:hAnsi="Times New Roman"/>
          <w:sz w:val="14"/>
          <w:szCs w:val="14"/>
          <w:u w:val="single" w:color="auto"/>
          <w:color w:val="auto"/>
        </w:rPr>
        <w:t>Section 13.9</w:t>
      </w: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13.10 [Reserved]</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5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13.11 Right of Set Off</w:t>
      </w:r>
      <w:r>
        <w:rPr>
          <w:rFonts w:ascii="Times New Roman" w:cs="Times New Roman" w:eastAsia="Times New Roman" w:hAnsi="Times New Roman"/>
          <w:sz w:val="14"/>
          <w:szCs w:val="14"/>
          <w:color w:val="auto"/>
        </w:rPr>
        <w:t>. Each Obligor hereby grants to Purchaser Agent and to each Purchaser, a lien, security interest and right of set off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security for all Obligations to Purchaser Agent and each Purchaser hereunder, whether now existing or hereafter arising upon and against all deposits, credits, collateral and property, now or hereafter in the possession, custody, safekeeping or control of Purchaser Agent or the Purchasers or any entity under the control of Purchaser Agent or the Purchasers (including an Affiliate of Purchaser Agent) or in transit to any of them. At any time after the occurrence and during the continuance of an Event of Default, without demand or notice, Purchaser Agent or the Purchasers may set off the same or any part thereof and apply the same to any liability or obligation of Issuer even though unmatured and regardless of the adequacy of any other collateral securing the Obligations. ANY AND ALL RIGHTS TO REQUIRE PURCHASER AGENT TO EXERCISE ITS RIGHTS OR REMEDIES WITH RESPECT TO ANY OTHER COLLATERAL WHICH SECURES THE OBLIGATIONS, PRIOR TO EXERCISING ITS RIGHT OF SETOFF WITH RESPECT TO SUCH DEPOSITS, CREDITS OR OTHER PROPERTY OF ANY OBLIGOR ARE HEREBY KNOWINGLY, VOLUNTARILY AND IRREVOCABLY WAIVED.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9" w:right="1440" w:bottom="1440" w:gutter="0" w:footer="0" w:header="0"/>
        </w:sectPr>
      </w:pPr>
    </w:p>
    <w:bookmarkStart w:id="580" w:name="page581"/>
    <w:bookmarkEnd w:id="580"/>
    <w:p>
      <w:pPr>
        <w:ind w:left="220" w:right="23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13.12 Cooperation of the Obligors</w:t>
      </w:r>
      <w:r>
        <w:rPr>
          <w:rFonts w:ascii="Times New Roman" w:cs="Times New Roman" w:eastAsia="Times New Roman" w:hAnsi="Times New Roman"/>
          <w:sz w:val="14"/>
          <w:szCs w:val="14"/>
          <w:color w:val="auto"/>
        </w:rPr>
        <w:t>. If necessary, each Obligor agrees to (i) execute any documents (including new Notes) reasonably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required to effectuate and acknowledge each assignment of a Commitment or Note to an assignee in accordance with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(ii) make its management available to meet with Purchaser Agent and prospective participants and assignees of Commitments or Notes (which meetings shall be conducted no more often than twice every twelve months unless an Event of Default has occurred and is continuing), and (iii) assist Purchaser Agent or the Purchasers in the preparation of information relating to the financial affairs of Issuer and its Subsidiaries as any prospective participant or assignee of a Commitment or Note reasonably may request. Subject to the provisions of </w:t>
      </w:r>
      <w:r>
        <w:rPr>
          <w:rFonts w:ascii="Times New Roman" w:cs="Times New Roman" w:eastAsia="Times New Roman" w:hAnsi="Times New Roman"/>
          <w:sz w:val="14"/>
          <w:szCs w:val="14"/>
          <w:u w:val="single" w:color="auto"/>
          <w:color w:val="auto"/>
        </w:rPr>
        <w:t>Section 13.9</w:t>
      </w:r>
      <w:r>
        <w:rPr>
          <w:rFonts w:ascii="Times New Roman" w:cs="Times New Roman" w:eastAsia="Times New Roman" w:hAnsi="Times New Roman"/>
          <w:sz w:val="14"/>
          <w:szCs w:val="14"/>
          <w:color w:val="auto"/>
        </w:rPr>
        <w:t>, each Obligor authorizes each Purchaser to disclose to any prospective participant or assignee of a Commitment, any and all information in such Purchaser’s possession concerning Issuer and its Subsidiaries and their financial affairs which has been delivered to such Purchaser by or on behalf of any Obligor pursuant to this Agreement, or which has been delivered to such Purchaser by or on behalf of such Obligor in connection with such Purchaser’s credit evaluation of such Obligor prior to entering into this Agreement.</w:t>
      </w:r>
    </w:p>
    <w:p>
      <w:pPr>
        <w:spacing w:after="0" w:line="59" w:lineRule="exact"/>
        <w:rPr>
          <w:sz w:val="20"/>
          <w:szCs w:val="20"/>
          <w:color w:val="auto"/>
        </w:rPr>
      </w:pPr>
    </w:p>
    <w:p>
      <w:pPr>
        <w:ind w:left="220" w:right="2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13.13 Representations and Warranties of the Purchasers</w:t>
      </w:r>
      <w:r>
        <w:rPr>
          <w:rFonts w:ascii="Times New Roman" w:cs="Times New Roman" w:eastAsia="Times New Roman" w:hAnsi="Times New Roman"/>
          <w:sz w:val="14"/>
          <w:szCs w:val="14"/>
          <w:color w:val="auto"/>
        </w:rPr>
        <w:t>. Each Purchaser, severally and not jointly, represents and warrants to Issuer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date such Person becomes a Purchaser and as of each Purchase Date, that:</w:t>
      </w:r>
    </w:p>
    <w:p>
      <w:pPr>
        <w:spacing w:after="0" w:line="39" w:lineRule="exact"/>
        <w:rPr>
          <w:sz w:val="20"/>
          <w:szCs w:val="20"/>
          <w:color w:val="auto"/>
        </w:rPr>
      </w:pPr>
    </w:p>
    <w:p>
      <w:pPr>
        <w:ind w:left="220" w:right="259" w:firstLine="1116"/>
        <w:spacing w:after="0" w:line="258" w:lineRule="auto"/>
        <w:tabs>
          <w:tab w:leader="none" w:pos="1531"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of the Notes to be received by such Purchaser hereunder will be acquired for such Purchaser’s own account, and not with a view to the resale or distribution of any part thereof in violation of the Securities Act, except pursuant to sales registered or exempted under the Securities Act, and such Purchaser has no present intention of selling, granting any participation in, or otherwise distributing the same in violation of the Securities Act without prejudice, however, to such Purchaser’s right at all times to sell or otherwise dispose of all or any part of such Notes in compliance with applicable federal and state securities laws.</w:t>
      </w:r>
    </w:p>
    <w:p>
      <w:pPr>
        <w:spacing w:after="0" w:line="58" w:lineRule="exact"/>
        <w:rPr>
          <w:rFonts w:ascii="Times New Roman" w:cs="Times New Roman" w:eastAsia="Times New Roman" w:hAnsi="Times New Roman"/>
          <w:sz w:val="14"/>
          <w:szCs w:val="14"/>
          <w:b w:val="1"/>
          <w:bCs w:val="1"/>
          <w:color w:val="auto"/>
        </w:rPr>
      </w:pPr>
    </w:p>
    <w:p>
      <w:pPr>
        <w:ind w:left="220" w:right="719" w:firstLine="1116"/>
        <w:spacing w:after="0" w:line="282" w:lineRule="auto"/>
        <w:tabs>
          <w:tab w:leader="none" w:pos="1539"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Purchaser can bear the economic risk and complete loss of its investment in the Notes and has such knowledge and experience in financial or business matters that it is capable of evaluating the merits and risks of the investment contemplated hereby.</w:t>
      </w:r>
    </w:p>
    <w:p>
      <w:pPr>
        <w:spacing w:after="0" w:line="41" w:lineRule="exact"/>
        <w:rPr>
          <w:rFonts w:ascii="Times New Roman" w:cs="Times New Roman" w:eastAsia="Times New Roman" w:hAnsi="Times New Roman"/>
          <w:sz w:val="14"/>
          <w:szCs w:val="14"/>
          <w:b w:val="1"/>
          <w:bCs w:val="1"/>
          <w:color w:val="auto"/>
        </w:rPr>
      </w:pPr>
    </w:p>
    <w:p>
      <w:pPr>
        <w:ind w:left="220" w:right="259" w:firstLine="1116"/>
        <w:spacing w:after="0" w:line="266" w:lineRule="auto"/>
        <w:tabs>
          <w:tab w:leader="none" w:pos="1523"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Purchaser has had an opportunity to receive, review and understand all information related to Issuer requested by it and to ask questions of and receive answers from Issuer regarding Issuer, its Subsidiaries, its business and the terms and conditions of the offering of the Notes, and has conducted and completed its own independent due diligence.</w:t>
      </w:r>
    </w:p>
    <w:p>
      <w:pPr>
        <w:spacing w:after="0" w:line="52" w:lineRule="exact"/>
        <w:rPr>
          <w:rFonts w:ascii="Times New Roman" w:cs="Times New Roman" w:eastAsia="Times New Roman" w:hAnsi="Times New Roman"/>
          <w:sz w:val="14"/>
          <w:szCs w:val="14"/>
          <w:b w:val="1"/>
          <w:bCs w:val="1"/>
          <w:color w:val="auto"/>
        </w:rPr>
      </w:pPr>
    </w:p>
    <w:p>
      <w:pPr>
        <w:ind w:left="220" w:right="479" w:firstLine="1116"/>
        <w:spacing w:after="0" w:line="282" w:lineRule="auto"/>
        <w:tabs>
          <w:tab w:leader="none" w:pos="1539"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the information such Purchaser has deemed appropriate, it has independently made its own analysis and decision to enter into the Note Documents.</w:t>
      </w:r>
    </w:p>
    <w:p>
      <w:pPr>
        <w:spacing w:after="0" w:line="41" w:lineRule="exact"/>
        <w:rPr>
          <w:rFonts w:ascii="Times New Roman" w:cs="Times New Roman" w:eastAsia="Times New Roman" w:hAnsi="Times New Roman"/>
          <w:sz w:val="14"/>
          <w:szCs w:val="14"/>
          <w:b w:val="1"/>
          <w:bCs w:val="1"/>
          <w:color w:val="auto"/>
        </w:rPr>
      </w:pPr>
    </w:p>
    <w:p>
      <w:pPr>
        <w:ind w:left="220" w:right="239" w:firstLine="1116"/>
        <w:spacing w:after="0" w:line="258" w:lineRule="auto"/>
        <w:tabs>
          <w:tab w:leader="none" w:pos="1523"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Purchaser understands that the Notes are characterized as “restricted securities” under the U.S. federal securities laws inasmuch as they are being acquired from Issuer in a transaction not involving a public offering and that under such laws and applicable regulations such securities may be resold without registration under the Securities Act only in certain limited circumstances. Such Purchaser understands that no United States federal or state agency, or similar agency of any other country, has reviewed, approved, passed upon, or made any recommendation or endorsement of Issuer or the purchase of the Notes.</w:t>
      </w:r>
    </w:p>
    <w:p>
      <w:pPr>
        <w:spacing w:after="0" w:line="58" w:lineRule="exact"/>
        <w:rPr>
          <w:rFonts w:ascii="Times New Roman" w:cs="Times New Roman" w:eastAsia="Times New Roman" w:hAnsi="Times New Roman"/>
          <w:sz w:val="14"/>
          <w:szCs w:val="14"/>
          <w:b w:val="1"/>
          <w:bCs w:val="1"/>
          <w:color w:val="auto"/>
        </w:rPr>
      </w:pPr>
    </w:p>
    <w:p>
      <w:pPr>
        <w:ind w:left="1520" w:hanging="184"/>
        <w:spacing w:after="0"/>
        <w:tabs>
          <w:tab w:leader="none" w:pos="1520"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Purchaser is an “accredited investor” as defined in Regulation D promulgated under the Securities Act.</w:t>
      </w:r>
    </w:p>
    <w:p>
      <w:pPr>
        <w:spacing w:after="0" w:line="90" w:lineRule="exact"/>
        <w:rPr>
          <w:rFonts w:ascii="Times New Roman" w:cs="Times New Roman" w:eastAsia="Times New Roman" w:hAnsi="Times New Roman"/>
          <w:sz w:val="14"/>
          <w:szCs w:val="14"/>
          <w:b w:val="1"/>
          <w:bCs w:val="1"/>
          <w:color w:val="auto"/>
        </w:rPr>
      </w:pPr>
    </w:p>
    <w:p>
      <w:pPr>
        <w:ind w:left="1540" w:hanging="204"/>
        <w:spacing w:after="0"/>
        <w:tabs>
          <w:tab w:leader="none" w:pos="1540"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Purchaser did not learn of the investment in the Notes as a result of any general solicitation or general advertising.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8" w:right="1440" w:bottom="1440" w:gutter="0" w:footer="0" w:header="0"/>
        </w:sectPr>
      </w:pPr>
    </w:p>
    <w:bookmarkStart w:id="581" w:name="page582"/>
    <w:bookmarkEnd w:id="581"/>
    <w:p>
      <w:pPr>
        <w:ind w:left="10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13.14 Agency</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right="239" w:firstLine="1116"/>
        <w:spacing w:after="0" w:line="261" w:lineRule="auto"/>
        <w:tabs>
          <w:tab w:leader="none" w:pos="1531" w:val="left"/>
        </w:tabs>
        <w:numPr>
          <w:ilvl w:val="0"/>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Purchaser hereby irrevocably appoints Purchaser Agent to act on its behalf as Purchaser Agent hereunder and under the other Note Documents and authorizes Purchaser Agent to take such actions on its behalf, to exercise such powers as are delegated to Purchaser Agent by the terms hereof or thereof and to act as agent of such Purchaser for purposes of acquiring, holding, enforcing and perfecting all Liens granted by the Obligors on the Collateral to secure any of the Obligations, in each case together with such actions and powers as are reasonably incidental thereto.</w:t>
      </w:r>
    </w:p>
    <w:p>
      <w:pPr>
        <w:spacing w:after="0" w:line="55" w:lineRule="exact"/>
        <w:rPr>
          <w:rFonts w:ascii="Times New Roman" w:cs="Times New Roman" w:eastAsia="Times New Roman" w:hAnsi="Times New Roman"/>
          <w:sz w:val="14"/>
          <w:szCs w:val="14"/>
          <w:b w:val="1"/>
          <w:bCs w:val="1"/>
          <w:color w:val="auto"/>
        </w:rPr>
      </w:pPr>
    </w:p>
    <w:p>
      <w:pPr>
        <w:ind w:left="220" w:right="459" w:firstLine="1116"/>
        <w:spacing w:after="0" w:line="278" w:lineRule="auto"/>
        <w:tabs>
          <w:tab w:leader="none" w:pos="1539" w:val="left"/>
        </w:tabs>
        <w:numPr>
          <w:ilvl w:val="0"/>
          <w:numId w:val="3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Each Purchaser agrees to indemnify Purchaser Agent in its capacity as such (to the extent not reimbursed by the Obligors and without limiting the obligation of the Obligors to do so), according to its respective Pro Rata Share (in effect on the date on which indemnification is sought under this </w:t>
      </w:r>
      <w:r>
        <w:rPr>
          <w:rFonts w:ascii="Times New Roman" w:cs="Times New Roman" w:eastAsia="Times New Roman" w:hAnsi="Times New Roman"/>
          <w:sz w:val="13"/>
          <w:szCs w:val="13"/>
          <w:u w:val="single" w:color="auto"/>
          <w:color w:val="auto"/>
        </w:rPr>
        <w:t>Section 13.14</w:t>
      </w:r>
      <w:r>
        <w:rPr>
          <w:rFonts w:ascii="Times New Roman" w:cs="Times New Roman" w:eastAsia="Times New Roman" w:hAnsi="Times New Roman"/>
          <w:sz w:val="13"/>
          <w:szCs w:val="13"/>
          <w:color w:val="auto"/>
        </w:rPr>
        <w:t xml:space="preserve">), from and against any and all liabilities, obligations, losses, damages, penalties, actions, judgments, suits, costs, expenses or disbursements of any kind whatsoever that may at any time be imposed on, incurred by or asserted against Purchaser Agent in any way relating to or arising out of, the Notes, this Agreement, any of the other Note Documents or any documents contemplated by or referred to herein or therein or the transactions contemplated hereby or thereby or any action taken or omitted by Purchaser Agent under or in connection with any of the foregoing. The agreements in this </w:t>
      </w:r>
      <w:r>
        <w:rPr>
          <w:rFonts w:ascii="Times New Roman" w:cs="Times New Roman" w:eastAsia="Times New Roman" w:hAnsi="Times New Roman"/>
          <w:sz w:val="13"/>
          <w:szCs w:val="13"/>
          <w:u w:val="single" w:color="auto"/>
          <w:color w:val="auto"/>
        </w:rPr>
        <w:t>Section 13.14</w:t>
      </w:r>
      <w:r>
        <w:rPr>
          <w:rFonts w:ascii="Times New Roman" w:cs="Times New Roman" w:eastAsia="Times New Roman" w:hAnsi="Times New Roman"/>
          <w:sz w:val="13"/>
          <w:szCs w:val="13"/>
          <w:color w:val="auto"/>
        </w:rPr>
        <w:t xml:space="preserve"> shall survive the payment of the Repayment Amount and all other amounts payable hereunder.</w:t>
      </w:r>
    </w:p>
    <w:p>
      <w:pPr>
        <w:spacing w:after="0" w:line="47" w:lineRule="exact"/>
        <w:rPr>
          <w:rFonts w:ascii="Times New Roman" w:cs="Times New Roman" w:eastAsia="Times New Roman" w:hAnsi="Times New Roman"/>
          <w:sz w:val="13"/>
          <w:szCs w:val="13"/>
          <w:b w:val="1"/>
          <w:bCs w:val="1"/>
          <w:color w:val="auto"/>
        </w:rPr>
      </w:pPr>
    </w:p>
    <w:p>
      <w:pPr>
        <w:ind w:left="220" w:right="279" w:firstLine="1116"/>
        <w:spacing w:after="0" w:line="266" w:lineRule="auto"/>
        <w:tabs>
          <w:tab w:leader="none" w:pos="1523" w:val="left"/>
        </w:tabs>
        <w:numPr>
          <w:ilvl w:val="0"/>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Person serving as Purchaser Agent hereunder shall have the same rights and powers in its capacity as Purchaser as any other Purchaser and may exercise the same as though it were not Purchaser Agent and the term “Purchaser” shall, unless otherwise expressly indicated or unless the context otherwise requires, include each such Person serving as Purchaser Agent hereunder in its individual capacity.</w:t>
      </w:r>
    </w:p>
    <w:p>
      <w:pPr>
        <w:spacing w:after="0" w:line="52" w:lineRule="exact"/>
        <w:rPr>
          <w:rFonts w:ascii="Times New Roman" w:cs="Times New Roman" w:eastAsia="Times New Roman" w:hAnsi="Times New Roman"/>
          <w:sz w:val="14"/>
          <w:szCs w:val="14"/>
          <w:b w:val="1"/>
          <w:bCs w:val="1"/>
          <w:color w:val="auto"/>
        </w:rPr>
      </w:pPr>
    </w:p>
    <w:p>
      <w:pPr>
        <w:ind w:left="220" w:right="499" w:firstLine="1116"/>
        <w:spacing w:after="0" w:line="282" w:lineRule="auto"/>
        <w:tabs>
          <w:tab w:leader="none" w:pos="1539" w:val="left"/>
        </w:tabs>
        <w:numPr>
          <w:ilvl w:val="0"/>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Purchaser Agent shall have no duties or obligations except those expressly set forth herein and in the other Note Documents. Without limiting the generality of the foregoing, Purchaser Agent shall not:</w:t>
      </w:r>
    </w:p>
    <w:p>
      <w:pPr>
        <w:spacing w:after="0" w:line="41" w:lineRule="exact"/>
        <w:rPr>
          <w:rFonts w:ascii="Times New Roman" w:cs="Times New Roman" w:eastAsia="Times New Roman" w:hAnsi="Times New Roman"/>
          <w:sz w:val="14"/>
          <w:szCs w:val="14"/>
          <w:b w:val="1"/>
          <w:bCs w:val="1"/>
          <w:color w:val="auto"/>
        </w:rPr>
      </w:pPr>
    </w:p>
    <w:p>
      <w:pPr>
        <w:ind w:left="1940" w:hanging="176"/>
        <w:spacing w:after="0"/>
        <w:tabs>
          <w:tab w:leader="none" w:pos="1940" w:val="left"/>
        </w:tabs>
        <w:numPr>
          <w:ilvl w:val="1"/>
          <w:numId w:val="3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be subject to any fiduciary or other implied duties, regardless of whether any Default or any Event of Default has occurred</w:t>
      </w:r>
    </w:p>
    <w:p>
      <w:pPr>
        <w:spacing w:after="0" w:line="33" w:lineRule="exact"/>
        <w:rPr>
          <w:rFonts w:ascii="Times New Roman" w:cs="Times New Roman" w:eastAsia="Times New Roman" w:hAnsi="Times New Roman"/>
          <w:sz w:val="13"/>
          <w:szCs w:val="13"/>
          <w:b w:val="1"/>
          <w:bCs w:val="1"/>
          <w:color w:val="auto"/>
        </w:rPr>
      </w:pPr>
    </w:p>
    <w:p>
      <w:pPr>
        <w:ind w:left="22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and is continuing;</w:t>
      </w:r>
    </w:p>
    <w:p>
      <w:pPr>
        <w:spacing w:after="0" w:line="76" w:lineRule="exact"/>
        <w:rPr>
          <w:rFonts w:ascii="Times New Roman" w:cs="Times New Roman" w:eastAsia="Times New Roman" w:hAnsi="Times New Roman"/>
          <w:sz w:val="13"/>
          <w:szCs w:val="13"/>
          <w:b w:val="1"/>
          <w:bCs w:val="1"/>
          <w:color w:val="auto"/>
        </w:rPr>
      </w:pPr>
    </w:p>
    <w:p>
      <w:pPr>
        <w:ind w:left="220" w:right="279" w:firstLine="1544"/>
        <w:spacing w:after="0" w:line="261" w:lineRule="auto"/>
        <w:tabs>
          <w:tab w:leader="none" w:pos="1967" w:val="left"/>
        </w:tabs>
        <w:numPr>
          <w:ilvl w:val="1"/>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have any duty to take any discretionary action or exercise any discretionary powers, except discretionary rights and powers expressly contemplated hereby or by the other Note Documents that Purchaser Agent is required to exercise as directed in writing by any Purchaser; provided that Purchaser Agent shall not be required to take any action that, in its opinion or the opinion of its counsel, may expose Purchaser Agent to liability or that is contrary to any Note Document or applicable law; and</w:t>
      </w:r>
    </w:p>
    <w:p>
      <w:pPr>
        <w:spacing w:after="0" w:line="55" w:lineRule="exact"/>
        <w:rPr>
          <w:rFonts w:ascii="Times New Roman" w:cs="Times New Roman" w:eastAsia="Times New Roman" w:hAnsi="Times New Roman"/>
          <w:sz w:val="14"/>
          <w:szCs w:val="14"/>
          <w:b w:val="1"/>
          <w:bCs w:val="1"/>
          <w:color w:val="auto"/>
        </w:rPr>
      </w:pPr>
    </w:p>
    <w:p>
      <w:pPr>
        <w:ind w:left="220" w:right="299" w:firstLine="1544"/>
        <w:spacing w:after="0" w:line="266" w:lineRule="auto"/>
        <w:tabs>
          <w:tab w:leader="none" w:pos="2006" w:val="left"/>
        </w:tabs>
        <w:numPr>
          <w:ilvl w:val="1"/>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expressly set forth herein and in the other Note Documents, have any duty to disclose, and Purchaser Agent shall not be liable for the failure to disclose, any information relating to Issuer or any of its Affiliates that is communicated to or obtained by any Person serving as Purchaser Agent or any of its Affiliates in any capacity.</w:t>
      </w:r>
    </w:p>
    <w:p>
      <w:pPr>
        <w:spacing w:after="0" w:line="52" w:lineRule="exact"/>
        <w:rPr>
          <w:rFonts w:ascii="Times New Roman" w:cs="Times New Roman" w:eastAsia="Times New Roman" w:hAnsi="Times New Roman"/>
          <w:sz w:val="14"/>
          <w:szCs w:val="14"/>
          <w:b w:val="1"/>
          <w:bCs w:val="1"/>
          <w:color w:val="auto"/>
        </w:rPr>
      </w:pPr>
    </w:p>
    <w:p>
      <w:pPr>
        <w:ind w:left="220" w:right="439" w:firstLine="1116"/>
        <w:spacing w:after="0" w:line="266" w:lineRule="auto"/>
        <w:tabs>
          <w:tab w:leader="none" w:pos="1523" w:val="left"/>
        </w:tabs>
        <w:numPr>
          <w:ilvl w:val="0"/>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Purchaser Agent shall not be liable for any action taken or not taken by it (i) with the consent or at the request of the Required Purchasers or as Purchaser Agent shall believe in good faith shall be necessary, under the circumstances or (ii) in the absence of its own gross negligence or willful misconduct.</w:t>
      </w:r>
    </w:p>
    <w:p>
      <w:pPr>
        <w:spacing w:after="0" w:line="52" w:lineRule="exact"/>
        <w:rPr>
          <w:rFonts w:ascii="Times New Roman" w:cs="Times New Roman" w:eastAsia="Times New Roman" w:hAnsi="Times New Roman"/>
          <w:sz w:val="14"/>
          <w:szCs w:val="14"/>
          <w:b w:val="1"/>
          <w:bCs w:val="1"/>
          <w:color w:val="auto"/>
        </w:rPr>
      </w:pPr>
    </w:p>
    <w:p>
      <w:pPr>
        <w:ind w:left="220" w:right="259" w:firstLine="1116"/>
        <w:spacing w:after="0" w:line="256" w:lineRule="auto"/>
        <w:tabs>
          <w:tab w:leader="none" w:pos="1508" w:val="left"/>
        </w:tabs>
        <w:numPr>
          <w:ilvl w:val="0"/>
          <w:numId w:val="3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Purchaser Agent shall not be responsible for or have any duty to ascertain or inquire into (i) any statement, warranty or representation made in or in connection with this Agreement or any other Note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Note Document or any other agreement, instrument or document or (v) the satisfaction of any condition set forth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or elsewhere herein, other than to confirm receipt of items expressly required to be delivered to Purchaser Agent.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38" w:right="1440" w:bottom="1440" w:gutter="0" w:footer="0" w:header="0"/>
        </w:sectPr>
      </w:pPr>
    </w:p>
    <w:bookmarkStart w:id="582" w:name="page583"/>
    <w:bookmarkEnd w:id="582"/>
    <w:p>
      <w:pPr>
        <w:ind w:left="220" w:right="239" w:firstLine="1116"/>
        <w:spacing w:after="0" w:line="253" w:lineRule="auto"/>
        <w:tabs>
          <w:tab w:leader="none" w:pos="1531" w:val="left"/>
        </w:tabs>
        <w:numPr>
          <w:ilvl w:val="0"/>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Purchaser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Purchaser Agent may conclusively rely, as to the truth of the statements and the correctness of the opinions expressed therein, upon any certificates or opinions furnished to Purchaser Agent and conforming to the requirements of this Agreement or any of the other Note Documents. Purchaser Agent may consult with counsel, and any opinion or legal advice of such counsel shall be full and complete authorization and protection in respect of any action taken, not taken or suffered by Purchaser Agent hereunder or under any Note Documents in accordance therewith. Purchaser Agent shall have the right at any time to seek instructions concerning the administration of the Collateral from any court of competent jurisdiction. Purchaser Agent shall not be under any obligation to exercise any of the rights or powers granted to Purchaser Agent by this Agreement and the other Note Documents at the request or direction of the Required Purchasers unless Purchaser Agent shall have been provided by the Purchasers with adequate security and indemnity against the costs, expenses and liabilities that may be incurred by it in compliance with such request or direction.</w:t>
      </w:r>
    </w:p>
    <w:p>
      <w:pPr>
        <w:spacing w:after="0" w:line="62" w:lineRule="exact"/>
        <w:rPr>
          <w:rFonts w:ascii="Times New Roman" w:cs="Times New Roman" w:eastAsia="Times New Roman" w:hAnsi="Times New Roman"/>
          <w:sz w:val="14"/>
          <w:szCs w:val="14"/>
          <w:b w:val="1"/>
          <w:bCs w:val="1"/>
          <w:color w:val="auto"/>
        </w:rPr>
      </w:pPr>
    </w:p>
    <w:p>
      <w:pPr>
        <w:ind w:left="220" w:right="239" w:firstLine="1116"/>
        <w:spacing w:after="0" w:line="245" w:lineRule="auto"/>
        <w:tabs>
          <w:tab w:leader="none" w:pos="1539" w:val="left"/>
        </w:tabs>
        <w:numPr>
          <w:ilvl w:val="0"/>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Purchaser Agent may resign at any time by delivering notice of such resignation to the Purchasers and Issuer, effective on the date set forth in such notice or, if no such date is set forth therein, upon the thirtieth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following the date such notice is delivered. If Purchaser Agent delivers any such notice, or if Purchaser Agent becomes insolvent or bankrupt, the Required Purchasers shall have the right to appoint a successor Purchaser Agent. If, within thirty (30) days after the retiring Purchaser Agent having given notice of resignation, no successor Purchaser Agent has been appointed by the Required Purchasers that has accepted such appointment, then the retiring Purchaser Agent may, on behalf of the Purchasers, appoint a successor Purchaser Agent from among the Purchasers. Each appointment under this </w:t>
      </w:r>
      <w:r>
        <w:rPr>
          <w:rFonts w:ascii="Times New Roman" w:cs="Times New Roman" w:eastAsia="Times New Roman" w:hAnsi="Times New Roman"/>
          <w:sz w:val="14"/>
          <w:szCs w:val="14"/>
          <w:u w:val="single" w:color="auto"/>
          <w:color w:val="auto"/>
        </w:rPr>
        <w:t>Section 13.14(h)</w:t>
      </w:r>
      <w:r>
        <w:rPr>
          <w:rFonts w:ascii="Times New Roman" w:cs="Times New Roman" w:eastAsia="Times New Roman" w:hAnsi="Times New Roman"/>
          <w:sz w:val="14"/>
          <w:szCs w:val="14"/>
          <w:color w:val="auto"/>
        </w:rPr>
        <w:t xml:space="preserve"> shall be subject to the prior consent of Issuer, which may not be unreasonably withheld, delayed or conditioned but shall not be required during the continuance of an Event of Default. Effective immediately upon its resignation, (i) the retiring Purchaser Agent shall be discharged from its duties and obligations under the Note Documents, (ii) the Purchasers shall assume and perform all of the duties of Purchaser Agent until a successor Purchaser Agent shall have accepted a valid appointment hereunder, (iii) the retiring Purchaser Agent shall no longer have the benefit of any provision of any Note Document other than with respect to any actions taken or omitted to be taken while such retiring Purchaser Agent was, or because such Purchaser Agent had been, validly acting as Purchaser Agent under the Note Documents and (iv) subject to its rights under </w:t>
      </w:r>
      <w:r>
        <w:rPr>
          <w:rFonts w:ascii="Times New Roman" w:cs="Times New Roman" w:eastAsia="Times New Roman" w:hAnsi="Times New Roman"/>
          <w:sz w:val="14"/>
          <w:szCs w:val="14"/>
          <w:u w:val="single" w:color="auto"/>
          <w:color w:val="auto"/>
        </w:rPr>
        <w:t>Section 13.14</w:t>
      </w:r>
      <w:r>
        <w:rPr>
          <w:rFonts w:ascii="Times New Roman" w:cs="Times New Roman" w:eastAsia="Times New Roman" w:hAnsi="Times New Roman"/>
          <w:sz w:val="14"/>
          <w:szCs w:val="14"/>
          <w:color w:val="auto"/>
        </w:rPr>
        <w:t>, the retiring Purchaser Agent shall take such action as may be reasonably necessary to assign to the successor Purchaser Agent its rights as Purchaser Agent under the Note Documents. Effective immediately upon its acceptance of a valid appointment as Purchaser Agent, a successor Purchaser Agent shall succeed to, and become vested with, all the rights, powers, privileges and duties of the retiring Purchaser Agent under the Note Documents.</w:t>
      </w:r>
    </w:p>
    <w:p>
      <w:pPr>
        <w:spacing w:after="0" w:line="66" w:lineRule="exact"/>
        <w:rPr>
          <w:rFonts w:ascii="Times New Roman" w:cs="Times New Roman" w:eastAsia="Times New Roman" w:hAnsi="Times New Roman"/>
          <w:sz w:val="14"/>
          <w:szCs w:val="14"/>
          <w:b w:val="1"/>
          <w:bCs w:val="1"/>
          <w:color w:val="auto"/>
        </w:rPr>
      </w:pPr>
    </w:p>
    <w:p>
      <w:pPr>
        <w:ind w:left="1500" w:hanging="164"/>
        <w:spacing w:after="0"/>
        <w:tabs>
          <w:tab w:leader="none" w:pos="1500" w:val="left"/>
        </w:tabs>
        <w:numPr>
          <w:ilvl w:val="0"/>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Purchasers irrevocably authorize the Purchaser Agent, at its option and in its discretion,</w:t>
      </w:r>
    </w:p>
    <w:p>
      <w:pPr>
        <w:spacing w:after="0" w:line="90" w:lineRule="exact"/>
        <w:rPr>
          <w:rFonts w:ascii="Times New Roman" w:cs="Times New Roman" w:eastAsia="Times New Roman" w:hAnsi="Times New Roman"/>
          <w:sz w:val="14"/>
          <w:szCs w:val="14"/>
          <w:b w:val="1"/>
          <w:bCs w:val="1"/>
          <w:color w:val="auto"/>
        </w:rPr>
      </w:pPr>
    </w:p>
    <w:p>
      <w:pPr>
        <w:ind w:left="220" w:right="659" w:firstLine="1544"/>
        <w:spacing w:after="0" w:line="266" w:lineRule="auto"/>
        <w:tabs>
          <w:tab w:leader="none" w:pos="1928" w:val="left"/>
        </w:tabs>
        <w:numPr>
          <w:ilvl w:val="1"/>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to release any Lien on any Collateral granted to or held by the Purchaser Agent under any Note Document (i) upon Payment in Full, (ii) that is sold or otherwise disposed of or to be sold or otherwise disposed of as part of or in connection with any sale or other Transfer permitted hereunder, or (iii) as approved in accordance with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w:t>
      </w:r>
    </w:p>
    <w:p>
      <w:pPr>
        <w:spacing w:after="0" w:line="52" w:lineRule="exact"/>
        <w:rPr>
          <w:rFonts w:ascii="Times New Roman" w:cs="Times New Roman" w:eastAsia="Times New Roman" w:hAnsi="Times New Roman"/>
          <w:sz w:val="14"/>
          <w:szCs w:val="14"/>
          <w:b w:val="1"/>
          <w:bCs w:val="1"/>
          <w:color w:val="auto"/>
        </w:rPr>
      </w:pPr>
    </w:p>
    <w:p>
      <w:pPr>
        <w:ind w:left="220" w:right="339" w:firstLine="1544"/>
        <w:spacing w:after="0" w:line="282" w:lineRule="auto"/>
        <w:tabs>
          <w:tab w:leader="none" w:pos="1967" w:val="left"/>
        </w:tabs>
        <w:numPr>
          <w:ilvl w:val="1"/>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subordinate or release any Lien on any property granted to or held by the Purchaser Agent under any Note Document to the holder of any Lien on such property that is permitted by clauses (b) and (d) of the definition of “Permitted Liens”</w:t>
      </w:r>
    </w:p>
    <w:p>
      <w:pPr>
        <w:spacing w:after="0" w:line="41" w:lineRule="exact"/>
        <w:rPr>
          <w:rFonts w:ascii="Times New Roman" w:cs="Times New Roman" w:eastAsia="Times New Roman" w:hAnsi="Times New Roman"/>
          <w:sz w:val="14"/>
          <w:szCs w:val="14"/>
          <w:b w:val="1"/>
          <w:bCs w:val="1"/>
          <w:color w:val="auto"/>
        </w:rPr>
      </w:pPr>
    </w:p>
    <w:p>
      <w:pPr>
        <w:ind w:left="220" w:right="359" w:firstLine="1544"/>
        <w:spacing w:after="0" w:line="261" w:lineRule="auto"/>
        <w:tabs>
          <w:tab w:leader="none" w:pos="2006" w:val="left"/>
        </w:tabs>
        <w:numPr>
          <w:ilvl w:val="1"/>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enter into a subordination agreement in connection with any Subordinated Debt, and each Purchaser agrees to be bound by the terms of any such subordination agreement and directs the Purchaser Agent to enter into any such subordination agreement, in each case, on behalf of the Purchasers and agrees that the Purchaser Agent may take such actions on its behalf as is contemplated by the terms of any such subordination agreement; and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0" w:right="1440" w:bottom="1440" w:gutter="0" w:footer="0" w:header="0"/>
        </w:sectPr>
      </w:pPr>
    </w:p>
    <w:bookmarkStart w:id="583" w:name="page584"/>
    <w:bookmarkEnd w:id="583"/>
    <w:p>
      <w:pPr>
        <w:ind w:left="220" w:right="379" w:firstLine="1544"/>
        <w:spacing w:after="0" w:line="282" w:lineRule="auto"/>
        <w:tabs>
          <w:tab w:leader="none" w:pos="1998" w:val="left"/>
        </w:tabs>
        <w:numPr>
          <w:ilvl w:val="0"/>
          <w:numId w:val="3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 release any Guarantor from its obligations under the Guaranty (i) if such Person ceases to be a Subsidiary as a result of a transaction permitted under the Note Documents or (ii) upon Payment in Full.</w:t>
      </w:r>
    </w:p>
    <w:p>
      <w:pPr>
        <w:spacing w:after="0" w:line="39" w:lineRule="exact"/>
        <w:rPr>
          <w:sz w:val="20"/>
          <w:szCs w:val="20"/>
          <w:color w:val="auto"/>
        </w:rPr>
      </w:pPr>
    </w:p>
    <w:p>
      <w:pPr>
        <w:ind w:left="220" w:right="359" w:firstLine="771"/>
        <w:spacing w:after="0" w:line="255" w:lineRule="auto"/>
        <w:rPr>
          <w:sz w:val="20"/>
          <w:szCs w:val="20"/>
          <w:color w:val="auto"/>
        </w:rPr>
      </w:pPr>
      <w:r>
        <w:rPr>
          <w:rFonts w:ascii="Times New Roman" w:cs="Times New Roman" w:eastAsia="Times New Roman" w:hAnsi="Times New Roman"/>
          <w:sz w:val="14"/>
          <w:szCs w:val="14"/>
          <w:b w:val="1"/>
          <w:bCs w:val="1"/>
          <w:color w:val="auto"/>
        </w:rPr>
        <w:t>13.15 Original Issue Discount</w:t>
      </w:r>
      <w:r>
        <w:rPr>
          <w:rFonts w:ascii="Times New Roman" w:cs="Times New Roman" w:eastAsia="Times New Roman" w:hAnsi="Times New Roman"/>
          <w:sz w:val="14"/>
          <w:szCs w:val="14"/>
          <w:color w:val="auto"/>
        </w:rPr>
        <w:t>. Issuer (i) acknowledges that the Purchasers intend to treat the Notes as indebtedness issued with original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 discount within the meaning of Section 1273(a) of the IRC for U.S. federal income Tax purposes, and not as a “contingent payment debt instruments” for U.S. federal income Tax purposes, (ii) shall make available to the Purchasers the issue price, the amount of original issue discount, if any, the issue date and the yield to maturity for each Note issued that is treated as a separate “issue” for Tax purposes in accordance with the requirements set forth in Treasury Regulation Section 1.1275-3(b) (provided that Issuer shall consult with the Purchasers in the determination thereof and such determinations shall be reasonably acceptable to the Purchasers) and (iii) shall not take any position inconsistent with such treatment of the Notes in any communication or agreement with any Taxing authority unless required by a final “determination” within the meaning of Section 1313(a) of the IRC.</w:t>
      </w:r>
    </w:p>
    <w:p>
      <w:pPr>
        <w:spacing w:after="0" w:line="59" w:lineRule="exact"/>
        <w:rPr>
          <w:sz w:val="20"/>
          <w:szCs w:val="20"/>
          <w:color w:val="auto"/>
        </w:rPr>
      </w:pPr>
    </w:p>
    <w:p>
      <w:pPr>
        <w:ind w:left="220" w:right="359" w:firstLine="771"/>
        <w:spacing w:after="0" w:line="259" w:lineRule="auto"/>
        <w:rPr>
          <w:sz w:val="20"/>
          <w:szCs w:val="20"/>
          <w:color w:val="auto"/>
        </w:rPr>
      </w:pPr>
      <w:r>
        <w:rPr>
          <w:rFonts w:ascii="Times New Roman" w:cs="Times New Roman" w:eastAsia="Times New Roman" w:hAnsi="Times New Roman"/>
          <w:sz w:val="14"/>
          <w:szCs w:val="14"/>
          <w:b w:val="1"/>
          <w:bCs w:val="1"/>
          <w:color w:val="auto"/>
        </w:rPr>
        <w:t>13.16 Tax Treatment</w:t>
      </w:r>
      <w:r>
        <w:rPr>
          <w:rFonts w:ascii="Times New Roman" w:cs="Times New Roman" w:eastAsia="Times New Roman" w:hAnsi="Times New Roman"/>
          <w:sz w:val="14"/>
          <w:szCs w:val="14"/>
          <w:color w:val="auto"/>
        </w:rPr>
        <w:t>. Purchasers and Issuer agree that for United States federal income Tax purposes, (a) the Notes shall be treated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debt; and (b) the payments of interest under such debt instrument qualify as “portfolio interest” within the meaning of Section 871(h)(2) of the IRC or are exempt from withholding under Article 11 of the income Tax treaty between the United States and Ireland. None of the Purchasers nor any Obligor shall not take any position inconsistent with such Tax treatment of the Notes in any communication or agreement with any Taxing authority unless required by a final “determination” within the meaning of Section 1313 of the IRC.</w:t>
      </w:r>
    </w:p>
    <w:p>
      <w:pPr>
        <w:spacing w:after="0" w:line="55" w:lineRule="exact"/>
        <w:rPr>
          <w:sz w:val="20"/>
          <w:szCs w:val="20"/>
          <w:color w:val="auto"/>
        </w:rPr>
      </w:pPr>
    </w:p>
    <w:p>
      <w:pPr>
        <w:ind w:left="780" w:hanging="215"/>
        <w:spacing w:after="0"/>
        <w:tabs>
          <w:tab w:leader="none" w:pos="780" w:val="left"/>
        </w:tabs>
        <w:numPr>
          <w:ilvl w:val="0"/>
          <w:numId w:val="3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AX</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79" w:firstLine="771"/>
        <w:spacing w:after="0" w:line="254" w:lineRule="auto"/>
        <w:rPr>
          <w:sz w:val="20"/>
          <w:szCs w:val="20"/>
          <w:color w:val="auto"/>
        </w:rPr>
      </w:pPr>
      <w:r>
        <w:rPr>
          <w:rFonts w:ascii="Times New Roman" w:cs="Times New Roman" w:eastAsia="Times New Roman" w:hAnsi="Times New Roman"/>
          <w:sz w:val="14"/>
          <w:szCs w:val="14"/>
          <w:b w:val="1"/>
          <w:bCs w:val="1"/>
          <w:color w:val="auto"/>
        </w:rPr>
        <w:t>14.1 Withholding and Gross-Up</w:t>
      </w:r>
      <w:r>
        <w:rPr>
          <w:rFonts w:ascii="Times New Roman" w:cs="Times New Roman" w:eastAsia="Times New Roman" w:hAnsi="Times New Roman"/>
          <w:sz w:val="14"/>
          <w:szCs w:val="14"/>
          <w:color w:val="auto"/>
        </w:rPr>
        <w:t>. Notwithstanding anything to the contrary in this Agreement, if any Governmental Authority and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 of law requires any Obligor to deduct or withhold any amount from, or any Purchaser to pay any present or future Tax, assessment, or other governmental charge on, any payment to any Purchaser (“</w:t>
      </w:r>
      <w:r>
        <w:rPr>
          <w:rFonts w:ascii="Times New Roman" w:cs="Times New Roman" w:eastAsia="Times New Roman" w:hAnsi="Times New Roman"/>
          <w:sz w:val="14"/>
          <w:szCs w:val="14"/>
          <w:b w:val="1"/>
          <w:bCs w:val="1"/>
          <w:color w:val="auto"/>
        </w:rPr>
        <w:t>Withholding Payment</w:t>
      </w:r>
      <w:r>
        <w:rPr>
          <w:rFonts w:ascii="Times New Roman" w:cs="Times New Roman" w:eastAsia="Times New Roman" w:hAnsi="Times New Roman"/>
          <w:sz w:val="14"/>
          <w:szCs w:val="14"/>
          <w:color w:val="auto"/>
        </w:rPr>
        <w:t>”), the Obligors will, in addition to paying the applicable Purchaser such reduced payment, simultaneously pay such Purchaser such additional amounts such that such Purchaser receives the full contractual amount of the applicable payment from the Obligors as if no such Withholding Payment had occurred; provided that, the Obligors shall not be required to pay such additional amounts to a particular Purchaser with respect to any Withholding Payment that is attributable to any Excluded Taxes for the Purchaser. The parties to this Agreement shall discuss and cooperate regarding applicable mechanisms for minimizing such Taxes to the extent possible in compliance with all applicable requirements of law. The Obligors shall deliver to such Purchaser the original or a certified copy of a receipt issued by any Governmental Authority or other document reasonably evidencing the payment of any withholding Tax on such Purchaser’s behalf.</w:t>
      </w:r>
    </w:p>
    <w:p>
      <w:pPr>
        <w:spacing w:after="0" w:line="62" w:lineRule="exact"/>
        <w:rPr>
          <w:sz w:val="20"/>
          <w:szCs w:val="20"/>
          <w:color w:val="auto"/>
        </w:rPr>
      </w:pPr>
    </w:p>
    <w:p>
      <w:pPr>
        <w:ind w:left="220" w:right="359" w:firstLine="771"/>
        <w:spacing w:after="0" w:line="253" w:lineRule="auto"/>
        <w:rPr>
          <w:sz w:val="20"/>
          <w:szCs w:val="20"/>
          <w:color w:val="auto"/>
        </w:rPr>
      </w:pPr>
      <w:r>
        <w:rPr>
          <w:rFonts w:ascii="Times New Roman" w:cs="Times New Roman" w:eastAsia="Times New Roman" w:hAnsi="Times New Roman"/>
          <w:sz w:val="14"/>
          <w:szCs w:val="14"/>
          <w:b w:val="1"/>
          <w:bCs w:val="1"/>
          <w:color w:val="auto"/>
        </w:rPr>
        <w:t>14.2 Reporting and Documentation</w:t>
      </w:r>
      <w:r>
        <w:rPr>
          <w:rFonts w:ascii="Times New Roman" w:cs="Times New Roman" w:eastAsia="Times New Roman" w:hAnsi="Times New Roman"/>
          <w:sz w:val="14"/>
          <w:szCs w:val="14"/>
          <w:color w:val="auto"/>
        </w:rPr>
        <w:t>. If any Purchaser is entitled to an exemption from or reduction of a Withholding Payment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payments made under this Agreement, it shall deliver to Issuer, at the time or times reasonably requested by Issuer, such properly completed and executed documentation reasonably requested by Issuer as will permit such payments to be made without withholding or at a reduced rate of withholding. In addition, each Purchaser, if reasonably requested by Issuer, shall deliver such other documentation prescribed by applicable requirements of law as will enable the Obligors to determine whether or not such Purchaser is subject to backup withholding or information reporting requirements. Notwithstanding anything to the contrary in the preceding two sentences, the completion, execution and submission of such documentation shall not be required if in such Purchaser’s reasonable judgment such completion, execution or submission would subject the Purchaser to any material unreimbursed cost or expense or would materially prejudice the legal or commercial position of such Purchaser and, for clarity, such Purchaser shall be deemed to have complied with its obligations under this Section 14.2 if it has so exercised its reasonable judgment. Each Purchaser agrees that if any form or certification it previously delivered expires or becomes obsolete or inaccurate in any respect, it shall update such form or certification or notify Issuer in writing of its legal inability to do so, in either case within a reasonable amount of time following Issuer’s request for an update.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0" w:right="1440" w:bottom="1440" w:gutter="0" w:footer="0" w:header="0"/>
        </w:sectPr>
      </w:pPr>
    </w:p>
    <w:bookmarkStart w:id="584" w:name="page585"/>
    <w:bookmarkEnd w:id="584"/>
    <w:p>
      <w:pPr>
        <w:ind w:left="220" w:right="31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 SIGNING THIS DOCUMENT EACH PARTY REPRESENTS AND AGREES THAT: (A) THIS WRITTEN AGREEMENT REPRESENTS THE FINAL AGREEMENT BETWEEN THE PARTIES, (B) THERE ARE NO UNWRITTEN ORAL AGREEMENTS BETWEEN THE PARTIES, AND (C) THIS WRITTEN AGREEMENT MAY NOT BE CONTRADICTED BY EVIDENCE OF ANY PRIOR, CONTEMPORANEOUS, OR SUBSEQUENT ORAL AGREEMENTS OR UNDERSTANDINGS OF THE PARTIES.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[Balance of Page Intentionally Left Blank]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38" w:right="1440" w:bottom="1440" w:gutter="0" w:footer="0" w:header="0"/>
        </w:sectPr>
      </w:pPr>
    </w:p>
    <w:bookmarkStart w:id="585" w:name="page586"/>
    <w:bookmarkEnd w:id="585"/>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hereto have caused this Agreement to be executed as of the date first above written.</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15240</wp:posOffset>
            </wp:positionV>
            <wp:extent cx="199199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Oguzhan Atay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 Purchase Agreement</w:t>
      </w:r>
    </w:p>
    <w:p>
      <w:pPr>
        <w:sectPr>
          <w:pgSz w:w="11900" w:h="16838" w:orient="portrait"/>
          <w:cols w:equalWidth="0" w:num="1">
            <w:col w:w="9019"/>
          </w:cols>
          <w:pgMar w:left="1440" w:top="240" w:right="1440" w:bottom="1440" w:gutter="0" w:footer="0" w:header="0"/>
        </w:sectPr>
      </w:pPr>
    </w:p>
    <w:bookmarkStart w:id="586" w:name="page587"/>
    <w:bookmarkEnd w:id="586"/>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hereto have caused this Agreement to be executed as of the date first above written.</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PURCHASER AGENT:</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BWCB SA LLC</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15240</wp:posOffset>
            </wp:positionV>
            <wp:extent cx="1885950"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David Dubinsky</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PURCHASER: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TPC INVESTMENTS III LLC</w:t>
      </w:r>
    </w:p>
    <w:p>
      <w:pPr>
        <w:spacing w:after="0" w:line="175"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15240</wp:posOffset>
            </wp:positionV>
            <wp:extent cx="1885950"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David Dubinsky</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 Purchase Agreement</w:t>
      </w:r>
    </w:p>
    <w:p>
      <w:pPr>
        <w:sectPr>
          <w:pgSz w:w="11900" w:h="16838" w:orient="portrait"/>
          <w:cols w:equalWidth="0" w:num="1">
            <w:col w:w="9019"/>
          </w:cols>
          <w:pgMar w:left="1440" w:top="241" w:right="1440" w:bottom="1440" w:gutter="0" w:footer="0" w:header="0"/>
        </w:sectPr>
      </w:pPr>
    </w:p>
    <w:bookmarkStart w:id="587" w:name="page588"/>
    <w:bookmarkEnd w:id="5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SCHEDULE </w:t>
      </w:r>
      <w:r>
        <w:rPr>
          <w:rFonts w:ascii="Times New Roman" w:cs="Times New Roman" w:eastAsia="Times New Roman" w:hAnsi="Times New Roman"/>
          <w:sz w:val="14"/>
          <w:szCs w:val="14"/>
          <w:b w:val="1"/>
          <w:bCs w:val="1"/>
          <w:u w:val="single" w:color="auto"/>
          <w:color w:val="auto"/>
        </w:rPr>
        <w:t>1.1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Purchasers and Commitments</w:t>
      </w:r>
    </w:p>
    <w:p>
      <w:pPr>
        <w:sectPr>
          <w:pgSz w:w="11900" w:h="16838" w:orient="portrait"/>
          <w:cols w:equalWidth="0" w:num="1">
            <w:col w:w="9019"/>
          </w:cols>
          <w:pgMar w:left="1440" w:top="238" w:right="1440" w:bottom="1440" w:gutter="0" w:footer="0" w:header="0"/>
        </w:sectPr>
      </w:pPr>
    </w:p>
    <w:bookmarkStart w:id="588" w:name="page589"/>
    <w:bookmarkEnd w:id="58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4.1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Perfection Actions</w:t>
      </w:r>
    </w:p>
    <w:p>
      <w:pPr>
        <w:sectPr>
          <w:pgSz w:w="11900" w:h="16838" w:orient="portrait"/>
          <w:cols w:equalWidth="0" w:num="1">
            <w:col w:w="9019"/>
          </w:cols>
          <w:pgMar w:left="1440" w:top="238" w:right="1440" w:bottom="1440" w:gutter="0" w:footer="0" w:header="0"/>
        </w:sectPr>
      </w:pPr>
    </w:p>
    <w:bookmarkStart w:id="589" w:name="page590"/>
    <w:bookmarkEnd w:id="5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5.5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Intellectual Property</w:t>
      </w:r>
    </w:p>
    <w:p>
      <w:pPr>
        <w:sectPr>
          <w:pgSz w:w="11900" w:h="16838" w:orient="portrait"/>
          <w:cols w:equalWidth="0" w:num="1">
            <w:col w:w="9019"/>
          </w:cols>
          <w:pgMar w:left="1440" w:top="239" w:right="1440" w:bottom="1440" w:gutter="0" w:footer="0" w:header="0"/>
        </w:sectPr>
      </w:pPr>
    </w:p>
    <w:bookmarkStart w:id="590" w:name="page591"/>
    <w:bookmarkEnd w:id="59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5.10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Regulatory Compliance</w:t>
      </w:r>
    </w:p>
    <w:p>
      <w:pPr>
        <w:sectPr>
          <w:pgSz w:w="11900" w:h="16838" w:orient="portrait"/>
          <w:cols w:equalWidth="0" w:num="1">
            <w:col w:w="9019"/>
          </w:cols>
          <w:pgMar w:left="1440" w:top="238" w:right="1440" w:bottom="1440" w:gutter="0" w:footer="0" w:header="0"/>
        </w:sectPr>
      </w:pPr>
    </w:p>
    <w:bookmarkStart w:id="591" w:name="page592"/>
    <w:bookmarkEnd w:id="59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COLLATERAL</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Collateral consists of all of each Obligor’s right, title and interest in and to the following personal property:</w:t>
      </w:r>
    </w:p>
    <w:p>
      <w:pPr>
        <w:spacing w:after="0" w:line="91" w:lineRule="exact"/>
        <w:rPr>
          <w:sz w:val="20"/>
          <w:szCs w:val="20"/>
          <w:color w:val="auto"/>
        </w:rPr>
      </w:pPr>
    </w:p>
    <w:p>
      <w:pPr>
        <w:ind w:left="220" w:right="239" w:firstLine="345"/>
        <w:spacing w:after="0" w:line="258" w:lineRule="auto"/>
        <w:tabs>
          <w:tab w:leader="none" w:pos="753"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each Obligor’s goods, Accounts (including health-care receivables),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securities accounts and other Collateral Accounts, all certificates of deposit, fixtures, letters of credit rights (whether or not the letter of credit is evidenced by a writing), Shares, securities and all other investment property, supporting obligations, and financial assets, whether now owned or hereafter acquired, wherever located;</w:t>
      </w:r>
    </w:p>
    <w:p>
      <w:pPr>
        <w:spacing w:after="0" w:line="58"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commercial tort claim:</w:t>
      </w:r>
    </w:p>
    <w:p>
      <w:pPr>
        <w:spacing w:after="0" w:line="175" w:lineRule="exact"/>
        <w:rPr>
          <w:sz w:val="20"/>
          <w:szCs w:val="20"/>
          <w:color w:val="auto"/>
        </w:rPr>
      </w:pPr>
    </w:p>
    <w:p>
      <w:pPr>
        <w:ind w:left="220" w:right="359" w:firstLine="342"/>
        <w:spacing w:after="0" w:line="256" w:lineRule="auto"/>
        <w:rPr>
          <w:sz w:val="20"/>
          <w:szCs w:val="20"/>
          <w:color w:val="auto"/>
        </w:rPr>
      </w:pPr>
      <w:r>
        <w:rPr>
          <w:rFonts w:ascii="Times New Roman" w:cs="Times New Roman" w:eastAsia="Times New Roman" w:hAnsi="Times New Roman"/>
          <w:sz w:val="14"/>
          <w:szCs w:val="14"/>
          <w:color w:val="auto"/>
        </w:rPr>
        <w:t>Cigna has placed a hold on the processing of claims for reimbursement for testing services provided to its members since February 27, 2024, resulting in a claim by Issuer for overdue payments with respect to such insurance claims. Issuer reasonably estimates that, as of the date hereof, such claims could equal an amount in the range of approximately $1,250,000 to an amount in excess of $2,000,000. Cigna has placed such hold while it determines the amount of overpayment on past claims following completion of an audit conducted by Cigna in the first quarter of 2024, which amount of overpayment Issuer estimates to be no more than $475,000. Issuer believes that the hold on processing claims is in violation of Issuer’s agreement with Cigna and state law, has notified Cigna regarding such violation and continues to pursue resolution of the outstanding claims with Cigna; and</w:t>
      </w:r>
    </w:p>
    <w:p>
      <w:pPr>
        <w:spacing w:after="0" w:line="61" w:lineRule="exact"/>
        <w:rPr>
          <w:sz w:val="20"/>
          <w:szCs w:val="20"/>
          <w:color w:val="auto"/>
        </w:rPr>
      </w:pPr>
    </w:p>
    <w:p>
      <w:pPr>
        <w:jc w:val="both"/>
        <w:ind w:left="220" w:right="379" w:firstLine="345"/>
        <w:spacing w:after="0" w:line="266" w:lineRule="auto"/>
        <w:tabs>
          <w:tab w:leader="none" w:pos="76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each Obligor’s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36" w:lineRule="exact"/>
        <w:rPr>
          <w:sz w:val="20"/>
          <w:szCs w:val="20"/>
          <w:color w:val="auto"/>
        </w:rPr>
      </w:pPr>
    </w:p>
    <w:p>
      <w:pPr>
        <w:ind w:left="220" w:right="239" w:firstLine="342"/>
        <w:spacing w:after="0" w:line="252" w:lineRule="auto"/>
        <w:rPr>
          <w:sz w:val="20"/>
          <w:szCs w:val="20"/>
          <w:color w:val="auto"/>
        </w:rPr>
      </w:pPr>
      <w:r>
        <w:rPr>
          <w:rFonts w:ascii="Times New Roman" w:cs="Times New Roman" w:eastAsia="Times New Roman" w:hAnsi="Times New Roman"/>
          <w:sz w:val="14"/>
          <w:szCs w:val="14"/>
          <w:color w:val="auto"/>
        </w:rPr>
        <w:t>Notwithstanding the foregoing, the Collateral does not include (i) any Excluded Account, (ii) any rights or interest in any contract, lease, permit, license, or license agreement covering real or personal property if under the terms of such contract, lease, permit, license, or license agreement, or applicable law with respect thereto, the grant of a security interest or lien therein would result in the abandonment, invalidation, unlawfulness or unenforceability of any right or interest of any Obligor therein or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the foregoing exclusions of this clause (ii) shall in no way be construed to apply to the extent that any described prohibition or restriction is ineffective under Section 9-406, 9-407, 9-408, or 9-409 of the UCC or other applicable law, to apply to the extent that any consent or waiver has been obtained that would permit Purchaser Agent’s security interest or lien to attach notwithstanding the prohibition or restriction on the pledge of such contract, lease, permit, license, or license agreement, or to apply to any proceeds or receivables thereof);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an amendment to allege use pursuant to 15 U.S.C. Section 1060(a) (or any successor provision), such intent-to-use trademark application shall be considered Collateral; (iv) any Margin Stock; and (v) property (other than Intellectual Property) that is subject to Liens described in clause (c) of the definition of “Permitted Liens”, in each case solely to the extent the agreement(s) governing such Liens prohibit the granting of a Lien to Purchaser Agent and such prohibition has not been waived.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ectPr>
          <w:pgSz w:w="11900" w:h="16838" w:orient="portrait"/>
          <w:cols w:equalWidth="0" w:num="1">
            <w:col w:w="9019"/>
          </w:cols>
          <w:pgMar w:left="1440" w:top="238" w:right="1440" w:bottom="1440" w:gutter="0" w:footer="0" w:header="0"/>
        </w:sectPr>
      </w:pPr>
    </w:p>
    <w:bookmarkStart w:id="592" w:name="page593"/>
    <w:bookmarkEnd w:id="5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B</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PURCHASE NOTICE</w:t>
      </w:r>
    </w:p>
    <w:p>
      <w:pPr>
        <w:sectPr>
          <w:pgSz w:w="11900" w:h="16838" w:orient="portrait"/>
          <w:cols w:equalWidth="0" w:num="1">
            <w:col w:w="9019"/>
          </w:cols>
          <w:pgMar w:left="1440" w:top="239" w:right="1440" w:bottom="1440" w:gutter="0" w:footer="0" w:header="0"/>
        </w:sectPr>
      </w:pPr>
    </w:p>
    <w:bookmarkStart w:id="593" w:name="page594"/>
    <w:bookmarkEnd w:id="5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COMPLIANCE CERTIFICATE</w:t>
      </w:r>
    </w:p>
    <w:p>
      <w:pPr>
        <w:sectPr>
          <w:pgSz w:w="11900" w:h="16838" w:orient="portrait"/>
          <w:cols w:equalWidth="0" w:num="1">
            <w:col w:w="9019"/>
          </w:cols>
          <w:pgMar w:left="1440" w:top="239" w:right="1440" w:bottom="1440" w:gutter="0" w:footer="0" w:header="0"/>
        </w:sectPr>
      </w:pPr>
    </w:p>
    <w:bookmarkStart w:id="594" w:name="page595"/>
    <w:bookmarkEnd w:id="5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239" w:right="1440" w:bottom="1440" w:gutter="0" w:footer="0" w:header="0"/>
        </w:sectPr>
      </w:pPr>
    </w:p>
    <w:bookmarkStart w:id="595" w:name="page596"/>
    <w:bookmarkEnd w:id="595"/>
    <w:p>
      <w:pPr>
        <w:ind w:left="220" w:right="459"/>
        <w:spacing w:after="0" w:line="26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[THIS NOTE MAY BE ISSUED WITH ORIGINAL ISSUE DISCOUNT (“OID”) FOR U.S. FEDERAL INCOME TAX PURPOSES. THE ISSUE PRICE, AMOUNT OF OID, ISSUE DATE AND YIELD TO MATURITY WITH RESPECT TO THIS NOTE MAY BE OBTAINED BY WRITING TO ISSUER AT THE FOLLOWING ADDRESS: [__], ATTENTION: [__], FAX NUMBER: [__].]</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198" w:lineRule="exact"/>
        <w:rPr>
          <w:sz w:val="20"/>
          <w:szCs w:val="20"/>
          <w:color w:val="auto"/>
        </w:rPr>
      </w:pPr>
    </w:p>
    <w:p>
      <w:pPr>
        <w:ind w:left="220"/>
        <w:spacing w:after="0"/>
        <w:tabs>
          <w:tab w:leader="none" w:pos="7780" w:val="left"/>
        </w:tabs>
        <w:rPr>
          <w:sz w:val="20"/>
          <w:szCs w:val="20"/>
          <w:color w:val="auto"/>
        </w:rPr>
      </w:pPr>
      <w:r>
        <w:rPr>
          <w:rFonts w:ascii="Times New Roman" w:cs="Times New Roman" w:eastAsia="Times New Roman" w:hAnsi="Times New Roman"/>
          <w:sz w:val="14"/>
          <w:szCs w:val="14"/>
          <w:color w:val="auto"/>
        </w:rPr>
        <w:t>$[__]</w:t>
      </w:r>
      <w:r>
        <w:rPr>
          <w:sz w:val="20"/>
          <w:szCs w:val="20"/>
          <w:color w:val="auto"/>
        </w:rPr>
        <w:tab/>
      </w:r>
      <w:r>
        <w:rPr>
          <w:rFonts w:ascii="Times New Roman" w:cs="Times New Roman" w:eastAsia="Times New Roman" w:hAnsi="Times New Roman"/>
          <w:sz w:val="13"/>
          <w:szCs w:val="13"/>
          <w:color w:val="auto"/>
        </w:rPr>
        <w:t xml:space="preserve">Dated: [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202[_]</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FOR VALUE RECEIVED, </w:t>
      </w:r>
      <w:r>
        <w:rPr>
          <w:rFonts w:ascii="Times New Roman" w:cs="Times New Roman" w:eastAsia="Times New Roman" w:hAnsi="Times New Roman"/>
          <w:sz w:val="14"/>
          <w:szCs w:val="14"/>
          <w:b w:val="1"/>
          <w:bCs w:val="1"/>
          <w:color w:val="auto"/>
        </w:rPr>
        <w:t>BillionToOne, Inc.</w:t>
      </w:r>
      <w:r>
        <w:rPr>
          <w:rFonts w:ascii="Times New Roman" w:cs="Times New Roman" w:eastAsia="Times New Roman" w:hAnsi="Times New Roman"/>
          <w:sz w:val="14"/>
          <w:szCs w:val="14"/>
          <w:color w:val="auto"/>
        </w:rPr>
        <w:t>, a Delaware corporation (“</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hereby promises to pay to [__], a [__]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at its offices located at [__] (or at such other place or places as the Purchaser may designate), at the times and in the manner provided in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Note Purchase Agreement, dated as of August 2, 2024 (as amended, modified, restated or supplemented from time to time, the “</w:t>
      </w:r>
      <w:r>
        <w:rPr>
          <w:rFonts w:ascii="Times New Roman" w:cs="Times New Roman" w:eastAsia="Times New Roman" w:hAnsi="Times New Roman"/>
          <w:sz w:val="14"/>
          <w:szCs w:val="14"/>
          <w:b w:val="1"/>
          <w:bCs w:val="1"/>
          <w:color w:val="auto"/>
        </w:rPr>
        <w:t>Note Purchase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among Issuer, the other Obligors from time to time parties thereto, the Purchasers from time to time parties thereto, and BWCB SA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 Delaware limited liability company, as Purchaser Agent and a Purchaser, the Repayment Amount in respect of the principal sum of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under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terms and conditions of this senior secured note (this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and the Note Purchase Agreement. If not sooner paid, the entire principal amount under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Note shall be due and payable on the Maturity Date (as defined in the Note Purchase Agreement). The defined terms in the Note Purchase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Agreement are used herein with the same meaning. Issuer also promises to pay interest on the aggregate unpaid principal amount of this Note at the rates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applicable thereto and Revenue Participation Payments from time to time as provided in the Note Purchase Agreement.</w:t>
      </w:r>
    </w:p>
    <w:p>
      <w:pPr>
        <w:spacing w:after="0" w:line="160" w:lineRule="exact"/>
        <w:rPr>
          <w:sz w:val="20"/>
          <w:szCs w:val="20"/>
          <w:color w:val="auto"/>
        </w:rPr>
      </w:pPr>
    </w:p>
    <w:p>
      <w:pPr>
        <w:ind w:left="220" w:right="319" w:firstLine="771"/>
        <w:spacing w:after="0" w:line="258" w:lineRule="auto"/>
        <w:rPr>
          <w:sz w:val="20"/>
          <w:szCs w:val="20"/>
          <w:color w:val="auto"/>
        </w:rPr>
      </w:pPr>
      <w:r>
        <w:rPr>
          <w:rFonts w:ascii="Times New Roman" w:cs="Times New Roman" w:eastAsia="Times New Roman" w:hAnsi="Times New Roman"/>
          <w:sz w:val="14"/>
          <w:szCs w:val="14"/>
          <w:color w:val="auto"/>
        </w:rPr>
        <w:t>This Note is one of the Notes referred to in the Note Purchase Agreement and is issued to evidence the purchase thereof by the Purchaser pursuant to the Note Purchase Agreement. All of the terms, conditions and covenants of the Note Purchase Agreement are expressly made a part of this Note by reference in the same manner and with the same effect as if set forth herein at length, and any holder of this Note is entitled to the benefits of and remedies provided in the Note Purchase Agreement and the other Note Documents. Reference is made to the Note Purchase Agreement for provisions relating to transfer and assignments, the interest rate, maturity, payment, prepayment, redemption and acceleration of this Note.</w:t>
      </w:r>
    </w:p>
    <w:p>
      <w:pPr>
        <w:spacing w:after="0" w:line="142" w:lineRule="exact"/>
        <w:rPr>
          <w:sz w:val="20"/>
          <w:szCs w:val="20"/>
          <w:color w:val="auto"/>
        </w:rPr>
      </w:pPr>
    </w:p>
    <w:p>
      <w:pPr>
        <w:ind w:left="220" w:right="519" w:firstLine="771"/>
        <w:spacing w:after="0" w:line="261" w:lineRule="auto"/>
        <w:rPr>
          <w:sz w:val="20"/>
          <w:szCs w:val="20"/>
          <w:color w:val="auto"/>
        </w:rPr>
      </w:pPr>
      <w:r>
        <w:rPr>
          <w:rFonts w:ascii="Times New Roman" w:cs="Times New Roman" w:eastAsia="Times New Roman" w:hAnsi="Times New Roman"/>
          <w:sz w:val="14"/>
          <w:szCs w:val="14"/>
          <w:color w:val="auto"/>
        </w:rPr>
        <w:t>In the event of an acceleration of the maturity of this Note pursuant to the Note Purchase Agreement, this Note (and the Repayment Amount in respect thereof) shall become immediately due and payable, without presentation, demand, protest or notice of any kind, all of which are hereby waived by Issuer. In the event this Note is not paid when due at any stated or accelerated maturity, Issuer agrees to pay, in addition to the principal and interest, all costs of collection, including reasonable attorneys’ fees.</w:t>
      </w:r>
    </w:p>
    <w:p>
      <w:pPr>
        <w:spacing w:after="0" w:line="139" w:lineRule="exact"/>
        <w:rPr>
          <w:sz w:val="20"/>
          <w:szCs w:val="20"/>
          <w:color w:val="auto"/>
        </w:rPr>
      </w:pPr>
    </w:p>
    <w:p>
      <w:pPr>
        <w:ind w:left="220" w:right="339" w:firstLine="771"/>
        <w:spacing w:after="0" w:line="258" w:lineRule="auto"/>
        <w:rPr>
          <w:sz w:val="20"/>
          <w:szCs w:val="20"/>
          <w:color w:val="auto"/>
        </w:rPr>
      </w:pPr>
      <w:r>
        <w:rPr>
          <w:rFonts w:ascii="Times New Roman" w:cs="Times New Roman" w:eastAsia="Times New Roman" w:hAnsi="Times New Roman"/>
          <w:sz w:val="14"/>
          <w:szCs w:val="14"/>
          <w:color w:val="auto"/>
        </w:rPr>
        <w:t>This Note and any claims, controversy, dispute or cause of action (whether in contract or tort or otherwise) based upon, arising out of or relating to this Note shall be governed by, and construed in accordance with, the law of the State of New York. Issuer hereby submits to the nonexclusive jurisdiction and venue of the courts of the State of New York sitting in the City and County of New York and of the United States District Court of the Southern District of New York, and any appellate court from any thereof, although the Purchaser shall not be limited to bringing an action in such courts.</w:t>
      </w:r>
    </w:p>
    <w:p>
      <w:pPr>
        <w:spacing w:after="0" w:line="142" w:lineRule="exact"/>
        <w:rPr>
          <w:sz w:val="20"/>
          <w:szCs w:val="20"/>
          <w:color w:val="auto"/>
        </w:rPr>
      </w:pPr>
    </w:p>
    <w:p>
      <w:pPr>
        <w:ind w:left="220" w:right="379" w:firstLine="771"/>
        <w:spacing w:after="0" w:line="255" w:lineRule="auto"/>
        <w:rPr>
          <w:sz w:val="20"/>
          <w:szCs w:val="20"/>
          <w:color w:val="auto"/>
        </w:rPr>
      </w:pPr>
      <w:r>
        <w:rPr>
          <w:rFonts w:ascii="Times New Roman" w:cs="Times New Roman" w:eastAsia="Times New Roman" w:hAnsi="Times New Roman"/>
          <w:sz w:val="14"/>
          <w:szCs w:val="14"/>
          <w:color w:val="auto"/>
        </w:rPr>
        <w:t xml:space="preserve">The ownership of an interest in this Note shall be registered on a record of ownership maintained by Purchaser or its agent. Notwithstanding anything else in this Note to the contrary, the right to the principal of, and stated interest on, Repayment Amount and Revenue Participation Payments in respect of, this Note may be transferred only if the transfer is registered on such record of ownership and the transferee is identified as the owner of an interest in the obligation whereby such transfer shall only be registered if carried out pursuant to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of the Note Purchase Agreement. Issuer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[Balance of Page Intentionally Left Blank]</w:t>
      </w:r>
    </w:p>
    <w:p>
      <w:pPr>
        <w:sectPr>
          <w:pgSz w:w="11900" w:h="16838" w:orient="portrait"/>
          <w:cols w:equalWidth="0" w:num="1">
            <w:col w:w="9019"/>
          </w:cols>
          <w:pgMar w:left="1440" w:top="239" w:right="1440" w:bottom="1440" w:gutter="0" w:footer="0" w:header="0"/>
        </w:sectPr>
      </w:pPr>
    </w:p>
    <w:bookmarkStart w:id="596" w:name="page597"/>
    <w:bookmarkEnd w:id="596"/>
    <w:p>
      <w:pPr>
        <w:jc w:val="center"/>
        <w:ind w:right="-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89535</wp:posOffset>
            </wp:positionV>
            <wp:extent cx="7201535" cy="323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Issuer has caused this Note to be duly executed by one of its officers thereunto duly authorized on the date hereof.</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1885950"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41" w:right="1440" w:bottom="1440" w:gutter="0" w:footer="0" w:header="0"/>
        </w:sectPr>
      </w:pPr>
    </w:p>
    <w:bookmarkStart w:id="597" w:name="page598"/>
    <w:bookmarkEnd w:id="59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GUARANTEE ASSUMPTION AGREEMENT</w:t>
      </w:r>
    </w:p>
    <w:p>
      <w:pPr>
        <w:sectPr>
          <w:pgSz w:w="11900" w:h="16838" w:orient="portrait"/>
          <w:cols w:equalWidth="0" w:num="1">
            <w:col w:w="9019"/>
          </w:cols>
          <w:pgMar w:left="1440" w:top="239" w:right="1440" w:bottom="1440" w:gutter="0" w:footer="0" w:header="0"/>
        </w:sectPr>
      </w:pPr>
    </w:p>
    <w:bookmarkStart w:id="598" w:name="page599"/>
    <w:bookmarkEnd w:id="59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AMENDMENT TO NOTE PURCHASE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September 4, 2025</w:t>
      </w:r>
    </w:p>
    <w:p>
      <w:pPr>
        <w:spacing w:after="0" w:line="173" w:lineRule="exact"/>
        <w:rPr>
          <w:sz w:val="20"/>
          <w:szCs w:val="20"/>
          <w:color w:val="auto"/>
        </w:rPr>
      </w:pPr>
    </w:p>
    <w:p>
      <w:pPr>
        <w:ind w:left="220" w:right="259" w:firstLine="771"/>
        <w:spacing w:after="0" w:line="267" w:lineRule="auto"/>
        <w:rPr>
          <w:sz w:val="20"/>
          <w:szCs w:val="20"/>
          <w:color w:val="auto"/>
        </w:rPr>
      </w:pPr>
      <w:r>
        <w:rPr>
          <w:rFonts w:ascii="Times New Roman" w:cs="Times New Roman" w:eastAsia="Times New Roman" w:hAnsi="Times New Roman"/>
          <w:sz w:val="14"/>
          <w:szCs w:val="14"/>
          <w:color w:val="auto"/>
        </w:rPr>
        <w:t>This Amendment to Note Purchase Agreement (this “</w:t>
      </w:r>
      <w:r>
        <w:rPr>
          <w:rFonts w:ascii="Times New Roman" w:cs="Times New Roman" w:eastAsia="Times New Roman" w:hAnsi="Times New Roman"/>
          <w:sz w:val="14"/>
          <w:szCs w:val="14"/>
          <w:b w:val="1"/>
          <w:bCs w:val="1"/>
          <w:i w:val="1"/>
          <w:iCs w:val="1"/>
          <w:color w:val="auto"/>
        </w:rPr>
        <w:t>Amendment</w:t>
      </w:r>
      <w:r>
        <w:rPr>
          <w:rFonts w:ascii="Times New Roman" w:cs="Times New Roman" w:eastAsia="Times New Roman" w:hAnsi="Times New Roman"/>
          <w:sz w:val="14"/>
          <w:szCs w:val="14"/>
          <w:color w:val="auto"/>
        </w:rPr>
        <w:t>”), dated as of the date first set forth above, is entered into by and among BillionToOne, Inc., a Delaware corporation (“</w:t>
      </w:r>
      <w:r>
        <w:rPr>
          <w:rFonts w:ascii="Times New Roman" w:cs="Times New Roman" w:eastAsia="Times New Roman" w:hAnsi="Times New Roman"/>
          <w:sz w:val="14"/>
          <w:szCs w:val="14"/>
          <w:b w:val="1"/>
          <w:bCs w:val="1"/>
          <w:i w:val="1"/>
          <w:iCs w:val="1"/>
          <w:color w:val="auto"/>
        </w:rPr>
        <w:t>Issuer</w:t>
      </w:r>
      <w:r>
        <w:rPr>
          <w:rFonts w:ascii="Times New Roman" w:cs="Times New Roman" w:eastAsia="Times New Roman" w:hAnsi="Times New Roman"/>
          <w:sz w:val="14"/>
          <w:szCs w:val="14"/>
          <w:color w:val="auto"/>
        </w:rPr>
        <w:t>”), the Persons listed on the signature pages hereof under the heading “</w:t>
      </w:r>
      <w:r>
        <w:rPr>
          <w:rFonts w:ascii="Times New Roman" w:cs="Times New Roman" w:eastAsia="Times New Roman" w:hAnsi="Times New Roman"/>
          <w:sz w:val="14"/>
          <w:szCs w:val="14"/>
          <w:b w:val="1"/>
          <w:bCs w:val="1"/>
          <w:color w:val="auto"/>
        </w:rPr>
        <w:t>PURCHASERS</w:t>
      </w:r>
      <w:r>
        <w:rPr>
          <w:rFonts w:ascii="Times New Roman" w:cs="Times New Roman" w:eastAsia="Times New Roman" w:hAnsi="Times New Roman"/>
          <w:sz w:val="14"/>
          <w:szCs w:val="14"/>
          <w:color w:val="auto"/>
        </w:rPr>
        <w:t>” (each a “</w:t>
      </w:r>
      <w:r>
        <w:rPr>
          <w:rFonts w:ascii="Times New Roman" w:cs="Times New Roman" w:eastAsia="Times New Roman" w:hAnsi="Times New Roman"/>
          <w:sz w:val="14"/>
          <w:szCs w:val="14"/>
          <w:b w:val="1"/>
          <w:bCs w:val="1"/>
          <w:i w:val="1"/>
          <w:iCs w:val="1"/>
          <w:color w:val="auto"/>
        </w:rPr>
        <w:t>Purchaser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Purchasers</w:t>
      </w:r>
      <w:r>
        <w:rPr>
          <w:rFonts w:ascii="Times New Roman" w:cs="Times New Roman" w:eastAsia="Times New Roman" w:hAnsi="Times New Roman"/>
          <w:sz w:val="14"/>
          <w:szCs w:val="14"/>
          <w:color w:val="auto"/>
        </w:rPr>
        <w:t>”), and BWCB SA LLC, a Delaware limited liability company (“</w:t>
      </w:r>
      <w:r>
        <w:rPr>
          <w:rFonts w:ascii="Times New Roman" w:cs="Times New Roman" w:eastAsia="Times New Roman" w:hAnsi="Times New Roman"/>
          <w:sz w:val="14"/>
          <w:szCs w:val="14"/>
          <w:b w:val="1"/>
          <w:bCs w:val="1"/>
          <w:i w:val="1"/>
          <w:iCs w:val="1"/>
          <w:color w:val="auto"/>
        </w:rPr>
        <w:t>Purchaser Agent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479" w:firstLine="771"/>
        <w:spacing w:after="0" w:line="258" w:lineRule="auto"/>
        <w:rPr>
          <w:sz w:val="20"/>
          <w:szCs w:val="20"/>
          <w:color w:val="auto"/>
        </w:rPr>
      </w:pPr>
      <w:r>
        <w:rPr>
          <w:rFonts w:ascii="Times New Roman" w:cs="Times New Roman" w:eastAsia="Times New Roman" w:hAnsi="Times New Roman"/>
          <w:sz w:val="14"/>
          <w:szCs w:val="14"/>
          <w:color w:val="auto"/>
        </w:rPr>
        <w:t>Reference is hereby made to the Note Purchase Agreement, dated as of August 2, 2024 (as amended, restated, amended and restated, supplemented or otherwise modified prior to the date hereof, the “</w:t>
      </w:r>
      <w:r>
        <w:rPr>
          <w:rFonts w:ascii="Times New Roman" w:cs="Times New Roman" w:eastAsia="Times New Roman" w:hAnsi="Times New Roman"/>
          <w:sz w:val="14"/>
          <w:szCs w:val="14"/>
          <w:b w:val="1"/>
          <w:bCs w:val="1"/>
          <w:i w:val="1"/>
          <w:iCs w:val="1"/>
          <w:color w:val="auto"/>
        </w:rPr>
        <w:t>Existing Purchase Agreement</w:t>
      </w:r>
      <w:r>
        <w:rPr>
          <w:rFonts w:ascii="Times New Roman" w:cs="Times New Roman" w:eastAsia="Times New Roman" w:hAnsi="Times New Roman"/>
          <w:sz w:val="14"/>
          <w:szCs w:val="14"/>
          <w:color w:val="auto"/>
        </w:rPr>
        <w:t>”; and as amended pursuant to this Amendment, the “</w:t>
      </w:r>
      <w:r>
        <w:rPr>
          <w:rFonts w:ascii="Times New Roman" w:cs="Times New Roman" w:eastAsia="Times New Roman" w:hAnsi="Times New Roman"/>
          <w:sz w:val="14"/>
          <w:szCs w:val="14"/>
          <w:b w:val="1"/>
          <w:bCs w:val="1"/>
          <w:i w:val="1"/>
          <w:iCs w:val="1"/>
          <w:color w:val="auto"/>
        </w:rPr>
        <w:t>Purchase Agreement</w:t>
      </w:r>
      <w:r>
        <w:rPr>
          <w:rFonts w:ascii="Times New Roman" w:cs="Times New Roman" w:eastAsia="Times New Roman" w:hAnsi="Times New Roman"/>
          <w:sz w:val="14"/>
          <w:szCs w:val="14"/>
          <w:color w:val="auto"/>
        </w:rPr>
        <w:t>”), by and among Issuer, the Purchasers party thereto from time to time and Purchaser Agent. Capitalized terms not otherwise defined in this Amendment shall have the meanings set forth in the Purchase Agreement. Issuer, the Purchasers and Purchaser Agent are sometimes referred to herein individually as a “</w:t>
      </w:r>
      <w:r>
        <w:rPr>
          <w:rFonts w:ascii="Times New Roman" w:cs="Times New Roman" w:eastAsia="Times New Roman" w:hAnsi="Times New Roman"/>
          <w:sz w:val="14"/>
          <w:szCs w:val="14"/>
          <w:b w:val="1"/>
          <w:bCs w:val="1"/>
          <w:i w:val="1"/>
          <w:iCs w:val="1"/>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i w:val="1"/>
          <w:iCs w:val="1"/>
          <w:color w:val="auto"/>
        </w:rPr>
        <w:t>Parties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conditions precedent to the Third Purchase Date set forth in Section 3.3 of the Existing Purchase Agreement have been</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satisfied;</w:t>
      </w:r>
    </w:p>
    <w:p>
      <w:pPr>
        <w:spacing w:after="0" w:line="158" w:lineRule="exact"/>
        <w:rPr>
          <w:sz w:val="20"/>
          <w:szCs w:val="20"/>
          <w:color w:val="auto"/>
        </w:rPr>
      </w:pPr>
    </w:p>
    <w:p>
      <w:pPr>
        <w:ind w:left="220" w:right="39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Issuer has requested to defer the making of any Third Purchase until March 31, 2026, and, without waiving or altering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previously agreed conditions, requirements, or representations made in any prior agreement between the Parties, the Purchasers have agreed to amend the Existing Purchase Agreement to grant the Issuer’s request, all on the terms and subject to the conditions set forth herein;</w:t>
      </w:r>
    </w:p>
    <w:p>
      <w:pPr>
        <w:spacing w:after="0" w:line="134" w:lineRule="exact"/>
        <w:rPr>
          <w:sz w:val="20"/>
          <w:szCs w:val="20"/>
          <w:color w:val="auto"/>
        </w:rPr>
      </w:pPr>
    </w:p>
    <w:p>
      <w:pPr>
        <w:ind w:left="220" w:right="45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for good and valuable consideration, the sufficiency and receipt of which are hereby acknowledged,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intending to be legally bound do hereby agree as follows:</w:t>
      </w:r>
    </w:p>
    <w:p>
      <w:pPr>
        <w:spacing w:after="0" w:line="48" w:lineRule="exact"/>
        <w:rPr>
          <w:sz w:val="20"/>
          <w:szCs w:val="20"/>
          <w:color w:val="auto"/>
        </w:rPr>
      </w:pPr>
    </w:p>
    <w:p>
      <w:pPr>
        <w:ind w:left="980" w:hanging="421"/>
        <w:spacing w:after="0"/>
        <w:tabs>
          <w:tab w:leader="none" w:pos="980" w:val="left"/>
        </w:tabs>
        <w:numPr>
          <w:ilvl w:val="0"/>
          <w:numId w:val="3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Amendments. </w:t>
      </w:r>
      <w:r>
        <w:rPr>
          <w:rFonts w:ascii="Times New Roman" w:cs="Times New Roman" w:eastAsia="Times New Roman" w:hAnsi="Times New Roman"/>
          <w:sz w:val="14"/>
          <w:szCs w:val="14"/>
          <w:color w:val="auto"/>
        </w:rPr>
        <w:t>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this Amendment, the Existing Purchase Agreement is hereby amended as follows:</w:t>
      </w:r>
    </w:p>
    <w:p>
      <w:pPr>
        <w:spacing w:after="0" w:line="101" w:lineRule="exact"/>
        <w:rPr>
          <w:rFonts w:ascii="Times New Roman" w:cs="Times New Roman" w:eastAsia="Times New Roman" w:hAnsi="Times New Roman"/>
          <w:sz w:val="14"/>
          <w:szCs w:val="14"/>
          <w:b w:val="1"/>
          <w:bCs w:val="1"/>
          <w:color w:val="auto"/>
        </w:rPr>
      </w:pPr>
    </w:p>
    <w:p>
      <w:pPr>
        <w:ind w:left="1320" w:right="399" w:hanging="336"/>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1.1 </w:t>
      </w:r>
      <w:r>
        <w:rPr>
          <w:rFonts w:ascii="Times New Roman" w:cs="Times New Roman" w:eastAsia="Times New Roman" w:hAnsi="Times New Roman"/>
          <w:sz w:val="14"/>
          <w:szCs w:val="14"/>
          <w:color w:val="auto"/>
        </w:rPr>
        <w:t>Section 1.1 is hereby amended by adding a new definition of “First Amendment Effective Date”, in appropriate alphabetical order,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reads as follows:</w:t>
      </w:r>
    </w:p>
    <w:p>
      <w:pPr>
        <w:spacing w:after="0" w:line="39" w:lineRule="exact"/>
        <w:rPr>
          <w:rFonts w:ascii="Times New Roman" w:cs="Times New Roman" w:eastAsia="Times New Roman" w:hAnsi="Times New Roman"/>
          <w:sz w:val="14"/>
          <w:szCs w:val="14"/>
          <w:b w:val="1"/>
          <w:bCs w:val="1"/>
          <w:color w:val="auto"/>
        </w:rPr>
      </w:pPr>
    </w:p>
    <w:p>
      <w:pPr>
        <w:ind w:left="13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“First Amendment Effective Date” means September 4, 2025.”</w:t>
      </w:r>
    </w:p>
    <w:p>
      <w:pPr>
        <w:spacing w:after="0" w:line="99" w:lineRule="exact"/>
        <w:rPr>
          <w:sz w:val="20"/>
          <w:szCs w:val="20"/>
          <w:color w:val="auto"/>
        </w:rPr>
      </w:pPr>
    </w:p>
    <w:p>
      <w:pPr>
        <w:ind w:left="98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color w:val="auto"/>
        </w:rPr>
        <w:t>Section 2.1(c) is hereby amended and restated in its entirety as follows:</w:t>
      </w:r>
    </w:p>
    <w:p>
      <w:pPr>
        <w:spacing w:after="0" w:line="91" w:lineRule="exact"/>
        <w:rPr>
          <w:sz w:val="20"/>
          <w:szCs w:val="20"/>
          <w:color w:val="auto"/>
        </w:rPr>
      </w:pPr>
    </w:p>
    <w:p>
      <w:pPr>
        <w:ind w:left="1340" w:right="239"/>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13"/>
          <w:szCs w:val="13"/>
          <w:color w:val="auto"/>
        </w:rPr>
        <w:t xml:space="preserve"> Subject to the terms and conditions of this Agreement (including the conditions precedent set forth in </w:t>
      </w:r>
      <w:r>
        <w:rPr>
          <w:rFonts w:ascii="Times New Roman" w:cs="Times New Roman" w:eastAsia="Times New Roman" w:hAnsi="Times New Roman"/>
          <w:sz w:val="13"/>
          <w:szCs w:val="13"/>
          <w:u w:val="single" w:color="auto"/>
          <w:color w:val="auto"/>
        </w:rPr>
        <w:t>Sections 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3.5</w:t>
      </w:r>
      <w:r>
        <w:rPr>
          <w:rFonts w:ascii="Times New Roman" w:cs="Times New Roman" w:eastAsia="Times New Roman" w:hAnsi="Times New Roman"/>
          <w:sz w:val="13"/>
          <w:szCs w:val="13"/>
          <w:color w:val="auto"/>
        </w:rPr>
        <w:t>), on the Third Purchase Date, which shall be March 31, 2026 (or such earlier date to which the Purchasers and Issuer may agree), each Purchaser will, severally and not jointly, purchase Notes from Issuer, and Issuer agrees to issue and sell Notes to each Purchaser, in an aggregate principal amount of $30,000,000 in one (1) purchase according to each Purchaser’s Commitment as set forth on Schedule 1.1 hereto for a purchase price equal to 100% of the principal amount thereof (the “</w:t>
      </w:r>
      <w:r>
        <w:rPr>
          <w:rFonts w:ascii="Times New Roman" w:cs="Times New Roman" w:eastAsia="Times New Roman" w:hAnsi="Times New Roman"/>
          <w:sz w:val="13"/>
          <w:szCs w:val="13"/>
          <w:b w:val="1"/>
          <w:bCs w:val="1"/>
          <w:color w:val="auto"/>
        </w:rPr>
        <w:t>Third Purchase</w:t>
      </w:r>
      <w:r>
        <w:rPr>
          <w:rFonts w:ascii="Times New Roman" w:cs="Times New Roman" w:eastAsia="Times New Roman" w:hAnsi="Times New Roman"/>
          <w:sz w:val="13"/>
          <w:szCs w:val="13"/>
          <w:color w:val="auto"/>
        </w:rPr>
        <w:t>”); provided no Third Purchase shall occur or be required if a repurchase of the Notes occurs pursuant to Section 2.2(b) of the Purchase Agreement.”</w:t>
      </w:r>
    </w:p>
    <w:p>
      <w:pPr>
        <w:sectPr>
          <w:pgSz w:w="11900" w:h="16838" w:orient="portrait"/>
          <w:cols w:equalWidth="0" w:num="1">
            <w:col w:w="9019"/>
          </w:cols>
          <w:pgMar w:left="1440" w:top="123" w:right="1440" w:bottom="1440" w:gutter="0" w:footer="0" w:header="0"/>
        </w:sectPr>
      </w:pPr>
    </w:p>
    <w:bookmarkStart w:id="599" w:name="page600"/>
    <w:bookmarkEnd w:id="599"/>
    <w:p>
      <w:pPr>
        <w:ind w:left="98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3"/>
          <w:szCs w:val="13"/>
          <w:color w:val="auto"/>
        </w:rPr>
        <w:t>A new Section 2.6 is added, which reads as follows:</w:t>
      </w:r>
    </w:p>
    <w:p>
      <w:pPr>
        <w:spacing w:after="0" w:line="91" w:lineRule="exact"/>
        <w:rPr>
          <w:sz w:val="20"/>
          <w:szCs w:val="20"/>
          <w:color w:val="auto"/>
        </w:rPr>
      </w:pPr>
    </w:p>
    <w:p>
      <w:pPr>
        <w:ind w:left="1340" w:right="239"/>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“2.6 Additional Payment in Lieu of Third Purchase. </w:t>
      </w:r>
      <w:r>
        <w:rPr>
          <w:rFonts w:ascii="Times New Roman" w:cs="Times New Roman" w:eastAsia="Times New Roman" w:hAnsi="Times New Roman"/>
          <w:sz w:val="14"/>
          <w:szCs w:val="14"/>
          <w:color w:val="auto"/>
        </w:rPr>
        <w:t>Issuer shall make a one-time payment of $9,000,000 (the “</w:t>
      </w:r>
      <w:r>
        <w:rPr>
          <w:rFonts w:ascii="Times New Roman" w:cs="Times New Roman" w:eastAsia="Times New Roman" w:hAnsi="Times New Roman"/>
          <w:sz w:val="14"/>
          <w:szCs w:val="14"/>
          <w:b w:val="1"/>
          <w:bCs w:val="1"/>
          <w:color w:val="auto"/>
        </w:rPr>
        <w:t>Third Purchase Payment</w:t>
      </w:r>
      <w:r>
        <w:rPr>
          <w:rFonts w:ascii="Times New Roman" w:cs="Times New Roman" w:eastAsia="Times New Roman" w:hAnsi="Times New Roman"/>
          <w:sz w:val="14"/>
          <w:szCs w:val="14"/>
          <w:color w:val="auto"/>
        </w:rPr>
        <w:t>”) in immediately available funds to the Purchasers in accordance with each Purchaser’s Pro Rata Share upon the earliest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occur of the following, in each case solely to the extent the Third Purchase Date has not first occurred: (i) March 31, 2026 (unless the Third Purchase is consummated on such date), (ii) the occurrence of any Change of Control, (iii) the date that all Obligations are accelerated and become due and payable pursuant to Section 9.1 and (iv) any voluntary repurchase of Notes pursuant to</w:t>
      </w:r>
    </w:p>
    <w:p>
      <w:pPr>
        <w:spacing w:after="0" w:line="1" w:lineRule="exact"/>
        <w:rPr>
          <w:sz w:val="20"/>
          <w:szCs w:val="20"/>
          <w:color w:val="auto"/>
        </w:rPr>
      </w:pPr>
    </w:p>
    <w:p>
      <w:pPr>
        <w:ind w:left="980" w:right="2019" w:firstLine="347"/>
        <w:spacing w:after="0" w:line="378" w:lineRule="auto"/>
        <w:rPr>
          <w:sz w:val="20"/>
          <w:szCs w:val="20"/>
          <w:color w:val="auto"/>
        </w:rPr>
      </w:pPr>
      <w:r>
        <w:rPr>
          <w:rFonts w:ascii="Times New Roman" w:cs="Times New Roman" w:eastAsia="Times New Roman" w:hAnsi="Times New Roman"/>
          <w:sz w:val="14"/>
          <w:szCs w:val="14"/>
          <w:color w:val="auto"/>
        </w:rPr>
        <w:t xml:space="preserve">Section 2.2(b). The Third Purchase Payment is fully earned on the First Amendment Effective Date.” </w:t>
      </w:r>
      <w:r>
        <w:rPr>
          <w:rFonts w:ascii="Times New Roman" w:cs="Times New Roman" w:eastAsia="Times New Roman" w:hAnsi="Times New Roman"/>
          <w:sz w:val="14"/>
          <w:szCs w:val="14"/>
          <w:b w:val="1"/>
          <w:bCs w:val="1"/>
          <w:color w:val="auto"/>
        </w:rPr>
        <w:t xml:space="preserve">1.4 </w:t>
      </w:r>
      <w:r>
        <w:rPr>
          <w:rFonts w:ascii="Times New Roman" w:cs="Times New Roman" w:eastAsia="Times New Roman" w:hAnsi="Times New Roman"/>
          <w:sz w:val="14"/>
          <w:szCs w:val="14"/>
          <w:color w:val="auto"/>
        </w:rPr>
        <w:t>Section 3.8 is hereby amended by:</w:t>
      </w:r>
    </w:p>
    <w:p>
      <w:pPr>
        <w:spacing w:after="0" w:line="1" w:lineRule="exact"/>
        <w:rPr>
          <w:sz w:val="20"/>
          <w:szCs w:val="20"/>
          <w:color w:val="auto"/>
        </w:rPr>
      </w:pPr>
    </w:p>
    <w:p>
      <w:pPr>
        <w:ind w:left="13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1.4.1</w:t>
      </w:r>
      <w:r>
        <w:rPr>
          <w:sz w:val="20"/>
          <w:szCs w:val="20"/>
          <w:color w:val="auto"/>
        </w:rPr>
        <w:tab/>
      </w:r>
      <w:r>
        <w:rPr>
          <w:rFonts w:ascii="Times New Roman" w:cs="Times New Roman" w:eastAsia="Times New Roman" w:hAnsi="Times New Roman"/>
          <w:sz w:val="13"/>
          <w:szCs w:val="13"/>
          <w:color w:val="auto"/>
        </w:rPr>
        <w:t>adding an additional proviso at the end of the first sentence thereof which reads:</w:t>
      </w:r>
    </w:p>
    <w:p>
      <w:pPr>
        <w:spacing w:after="0" w:line="93" w:lineRule="exact"/>
        <w:rPr>
          <w:sz w:val="20"/>
          <w:szCs w:val="20"/>
          <w:color w:val="auto"/>
        </w:rPr>
      </w:pPr>
    </w:p>
    <w:p>
      <w:pPr>
        <w:ind w:left="1760" w:right="279"/>
        <w:spacing w:after="0" w:line="258"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with respect to the Third Purchase, Issuer will deliver an executed Purchase Notice 15 Business Days prior to March 31, 2026 (or such earlier Third Purchase Date to which the Purchasers and Issuer may agree pursuant to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 provided no notice shall be required to be delivered with respect to the Third Purchase if a notice of repayment of the Notes has been delivered or is being concurrently delivered pursuant to Section 2.2(b) of the Purchase Agreement.”</w:t>
      </w:r>
    </w:p>
    <w:p>
      <w:pPr>
        <w:spacing w:after="0" w:line="67" w:lineRule="exact"/>
        <w:rPr>
          <w:sz w:val="20"/>
          <w:szCs w:val="20"/>
          <w:color w:val="auto"/>
        </w:rPr>
      </w:pPr>
    </w:p>
    <w:p>
      <w:pPr>
        <w:ind w:left="13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1.4.2</w:t>
      </w:r>
      <w:r>
        <w:rPr>
          <w:sz w:val="20"/>
          <w:szCs w:val="20"/>
          <w:color w:val="auto"/>
        </w:rPr>
        <w:tab/>
      </w:r>
      <w:r>
        <w:rPr>
          <w:rFonts w:ascii="Times New Roman" w:cs="Times New Roman" w:eastAsia="Times New Roman" w:hAnsi="Times New Roman"/>
          <w:sz w:val="14"/>
          <w:szCs w:val="14"/>
          <w:color w:val="auto"/>
        </w:rPr>
        <w:t>adding a sentence at the end of such Section which reads:</w:t>
      </w:r>
    </w:p>
    <w:p>
      <w:pPr>
        <w:spacing w:after="0" w:line="93" w:lineRule="exact"/>
        <w:rPr>
          <w:sz w:val="20"/>
          <w:szCs w:val="20"/>
          <w:color w:val="auto"/>
        </w:rPr>
      </w:pPr>
    </w:p>
    <w:p>
      <w:pPr>
        <w:ind w:left="1760" w:right="699"/>
        <w:spacing w:after="0" w:line="282" w:lineRule="auto"/>
        <w:rPr>
          <w:sz w:val="20"/>
          <w:szCs w:val="20"/>
          <w:color w:val="auto"/>
        </w:rPr>
      </w:pPr>
      <w:r>
        <w:rPr>
          <w:rFonts w:ascii="Times New Roman" w:cs="Times New Roman" w:eastAsia="Times New Roman" w:hAnsi="Times New Roman"/>
          <w:sz w:val="14"/>
          <w:szCs w:val="14"/>
          <w:color w:val="auto"/>
        </w:rPr>
        <w:t xml:space="preserve">“On the Third Purchase Date, Issuer shall deliver a duly executed physical Note, substantially in the form attached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hereto, in the principal amount of $30,000,000.00 dated as of such date and issued to the Purchaser.”</w:t>
      </w:r>
    </w:p>
    <w:p>
      <w:pPr>
        <w:spacing w:after="0" w:line="50" w:lineRule="exact"/>
        <w:rPr>
          <w:sz w:val="20"/>
          <w:szCs w:val="20"/>
          <w:color w:val="auto"/>
        </w:rPr>
      </w:pPr>
    </w:p>
    <w:p>
      <w:pPr>
        <w:ind w:left="980" w:right="579" w:hanging="421"/>
        <w:spacing w:after="0" w:line="325" w:lineRule="auto"/>
        <w:tabs>
          <w:tab w:leader="none" w:pos="980" w:val="left"/>
        </w:tabs>
        <w:numPr>
          <w:ilvl w:val="0"/>
          <w:numId w:val="39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Condition Precedent to Effectiveness</w:t>
      </w:r>
      <w:r>
        <w:rPr>
          <w:rFonts w:ascii="Times New Roman" w:cs="Times New Roman" w:eastAsia="Times New Roman" w:hAnsi="Times New Roman"/>
          <w:sz w:val="13"/>
          <w:szCs w:val="13"/>
          <w:color w:val="auto"/>
        </w:rPr>
        <w:t>. The effectiveness of this Amendment shall be subject to Purchaser Agent’s receipt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Amendment, duly executed by Issuer, Purchaser Agent and the Purchasers as required by Section 13.6(a) of the Purchase Agreement.</w:t>
      </w:r>
    </w:p>
    <w:p>
      <w:pPr>
        <w:spacing w:after="0" w:line="25" w:lineRule="exact"/>
        <w:rPr>
          <w:rFonts w:ascii="Times New Roman" w:cs="Times New Roman" w:eastAsia="Times New Roman" w:hAnsi="Times New Roman"/>
          <w:sz w:val="13"/>
          <w:szCs w:val="13"/>
          <w:b w:val="1"/>
          <w:bCs w:val="1"/>
          <w:color w:val="auto"/>
        </w:rPr>
      </w:pPr>
    </w:p>
    <w:p>
      <w:pPr>
        <w:ind w:left="980" w:hanging="421"/>
        <w:spacing w:after="0"/>
        <w:tabs>
          <w:tab w:leader="none" w:pos="980" w:val="left"/>
        </w:tabs>
        <w:numPr>
          <w:ilvl w:val="0"/>
          <w:numId w:val="3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b w:val="1"/>
          <w:bCs w:val="1"/>
          <w:color w:val="auto"/>
        </w:rPr>
      </w:pPr>
    </w:p>
    <w:p>
      <w:pPr>
        <w:ind w:left="1320" w:right="259" w:hanging="336"/>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 execution, delivery and performance by Issuer of this Amendment have been duly authorized by all necessary corporate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organizational action. This Amendment and the Purchase Agreement constitute Issuer’s legal, valid and binding obligation, enforceable against it in accordance with its terms.</w:t>
      </w:r>
    </w:p>
    <w:p>
      <w:pPr>
        <w:spacing w:after="0" w:line="60" w:lineRule="exact"/>
        <w:rPr>
          <w:rFonts w:ascii="Times New Roman" w:cs="Times New Roman" w:eastAsia="Times New Roman" w:hAnsi="Times New Roman"/>
          <w:sz w:val="14"/>
          <w:szCs w:val="14"/>
          <w:b w:val="1"/>
          <w:bCs w:val="1"/>
          <w:color w:val="auto"/>
        </w:rPr>
      </w:pPr>
    </w:p>
    <w:p>
      <w:pPr>
        <w:ind w:left="1320" w:right="439" w:hanging="336"/>
        <w:spacing w:after="0" w:line="26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Each of the representations and warranties in Section 5 of the Purchase Agreement are true, accurate and complete in all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respects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those representations and warranties expressly referring to a specific date shall be true, accurate and complete in all material respects as of such date.</w:t>
      </w:r>
    </w:p>
    <w:p>
      <w:pPr>
        <w:spacing w:after="0" w:line="63"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3.3  </w:t>
      </w:r>
      <w:r>
        <w:rPr>
          <w:rFonts w:ascii="Times New Roman" w:cs="Times New Roman" w:eastAsia="Times New Roman" w:hAnsi="Times New Roman"/>
          <w:sz w:val="14"/>
          <w:szCs w:val="14"/>
          <w:color w:val="auto"/>
        </w:rPr>
        <w:t>No Event of Default or Default has occurred and is continuing as of the date 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600" w:name="page601"/>
    <w:bookmarkEnd w:id="600"/>
    <w:p>
      <w:pPr>
        <w:ind w:left="980" w:hanging="421"/>
        <w:spacing w:after="0"/>
        <w:tabs>
          <w:tab w:leader="none" w:pos="980" w:val="left"/>
        </w:tabs>
        <w:numPr>
          <w:ilvl w:val="0"/>
          <w:numId w:val="3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Release of Claims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b w:val="1"/>
          <w:bCs w:val="1"/>
          <w:color w:val="auto"/>
        </w:rPr>
      </w:pPr>
    </w:p>
    <w:p>
      <w:pPr>
        <w:ind w:left="1320" w:right="319" w:hanging="336"/>
        <w:spacing w:after="0" w:line="25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Issuer hereby absolutely and unconditionally releases and forever discharges Purchaser Agent and each Purchaser, and any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corporations, subsidiary corporations, affiliated corporations, successors and assigns thereof, together with all of the present and former directors, officers, agents, attorneys and employees of any of the foregoing (each, a “</w:t>
      </w:r>
      <w:r>
        <w:rPr>
          <w:rFonts w:ascii="Times New Roman" w:cs="Times New Roman" w:eastAsia="Times New Roman" w:hAnsi="Times New Roman"/>
          <w:sz w:val="14"/>
          <w:szCs w:val="14"/>
          <w:b w:val="1"/>
          <w:bCs w:val="1"/>
          <w:i w:val="1"/>
          <w:iCs w:val="1"/>
          <w:color w:val="auto"/>
        </w:rPr>
        <w:t>Releasee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Releasees</w:t>
      </w:r>
      <w:r>
        <w:rPr>
          <w:rFonts w:ascii="Times New Roman" w:cs="Times New Roman" w:eastAsia="Times New Roman" w:hAnsi="Times New Roman"/>
          <w:sz w:val="14"/>
          <w:szCs w:val="14"/>
          <w:color w:val="auto"/>
        </w:rPr>
        <w:t>”), from any and all claims, demands or causes of action of any kind, nature or description, whether arising in law or equity or upon contract or tort or under any state or federal law or otherwise arising under or with respect to the Note Documents (each, a “</w:t>
      </w:r>
      <w:r>
        <w:rPr>
          <w:rFonts w:ascii="Times New Roman" w:cs="Times New Roman" w:eastAsia="Times New Roman" w:hAnsi="Times New Roman"/>
          <w:sz w:val="14"/>
          <w:szCs w:val="14"/>
          <w:b w:val="1"/>
          <w:bCs w:val="1"/>
          <w:i w:val="1"/>
          <w:iCs w:val="1"/>
          <w:color w:val="auto"/>
        </w:rPr>
        <w:t>Claim</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Claims</w:t>
      </w:r>
      <w:r>
        <w:rPr>
          <w:rFonts w:ascii="Times New Roman" w:cs="Times New Roman" w:eastAsia="Times New Roman" w:hAnsi="Times New Roman"/>
          <w:sz w:val="14"/>
          <w:szCs w:val="14"/>
          <w:color w:val="auto"/>
        </w:rPr>
        <w:t>”), which Issuer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Issuer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Issuer agrees that no fact, event, circumstance, evidence or Note Document which could now be asserted or which may hereafter be discovered will affect in any manner the final, absolute and unconditional nature of the release set forth above.</w:t>
      </w:r>
    </w:p>
    <w:p>
      <w:pPr>
        <w:spacing w:after="0" w:line="70" w:lineRule="exact"/>
        <w:rPr>
          <w:rFonts w:ascii="Times New Roman" w:cs="Times New Roman" w:eastAsia="Times New Roman" w:hAnsi="Times New Roman"/>
          <w:sz w:val="14"/>
          <w:szCs w:val="14"/>
          <w:b w:val="1"/>
          <w:bCs w:val="1"/>
          <w:color w:val="auto"/>
        </w:rPr>
      </w:pPr>
    </w:p>
    <w:p>
      <w:pPr>
        <w:ind w:left="1320" w:right="259" w:hanging="336"/>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Issuer hereby absolutely, unconditionally and irrevocably covenants and agrees with and in favor of each Releasee that it will not sue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(at law, in equity, in any regulatory proceeding or otherwise) any Releasee on the basis of any Claim released, remised and discharged by Issuer pursuant to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above. If Issuer violates the foregoing covenant, Issuer for itself and its successors and assigns, agrees to pay, in addition to such other damages as any Releasee may sustain as a result of such violation, all Reimbursable Expenses incurred by any Releasee as a result of such violation.</w:t>
      </w:r>
    </w:p>
    <w:p>
      <w:pPr>
        <w:spacing w:after="0" w:line="65" w:lineRule="exact"/>
        <w:rPr>
          <w:rFonts w:ascii="Times New Roman" w:cs="Times New Roman" w:eastAsia="Times New Roman" w:hAnsi="Times New Roman"/>
          <w:sz w:val="14"/>
          <w:szCs w:val="14"/>
          <w:b w:val="1"/>
          <w:bCs w:val="1"/>
          <w:color w:val="auto"/>
        </w:rPr>
      </w:pPr>
    </w:p>
    <w:p>
      <w:pPr>
        <w:ind w:left="980" w:hanging="421"/>
        <w:spacing w:after="0"/>
        <w:tabs>
          <w:tab w:leader="none" w:pos="980" w:val="left"/>
        </w:tabs>
        <w:numPr>
          <w:ilvl w:val="0"/>
          <w:numId w:val="3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b w:val="1"/>
          <w:bCs w:val="1"/>
          <w:color w:val="auto"/>
        </w:rPr>
      </w:pPr>
    </w:p>
    <w:p>
      <w:pPr>
        <w:ind w:left="1320" w:right="259" w:hanging="336"/>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5.1 </w:t>
      </w:r>
      <w:r>
        <w:rPr>
          <w:rFonts w:ascii="Times New Roman" w:cs="Times New Roman" w:eastAsia="Times New Roman" w:hAnsi="Times New Roman"/>
          <w:sz w:val="14"/>
          <w:szCs w:val="14"/>
          <w:color w:val="auto"/>
        </w:rPr>
        <w:t>Issuer hereby (i) acknowledges and agrees that all of its obligations under the Purchase Agreement and each other Note Document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under any other document or instrument executed and delivered or furnished in connection with such Note Documents are reaffirmed and remain in full force and effect on a continuous basis, including, for the avoidance of doubt, after giving effect to this Amendment, (ii) acknowledges, agrees and reaffirms that each Lien granted by it to Purchaser Agent under the Note Documents for the ratable benefit of the Purchasers is and shall remain in full force and effect after giving effect to this Amendment, (iii) agrees that the Obligations secured by the Note Document to which it is a party shall include all Obligations arising after giving effect to this Amendment and (iv) agrees that the Guaranteed Obligations guaranteed by the Guaranty to which it is a party shall include all Obligations arising after giving effect to this Amendment.</w:t>
      </w:r>
    </w:p>
    <w:p>
      <w:pPr>
        <w:spacing w:after="0" w:line="69" w:lineRule="exact"/>
        <w:rPr>
          <w:rFonts w:ascii="Times New Roman" w:cs="Times New Roman" w:eastAsia="Times New Roman" w:hAnsi="Times New Roman"/>
          <w:sz w:val="14"/>
          <w:szCs w:val="14"/>
          <w:b w:val="1"/>
          <w:bCs w:val="1"/>
          <w:color w:val="auto"/>
        </w:rPr>
      </w:pPr>
    </w:p>
    <w:p>
      <w:pPr>
        <w:ind w:left="1320" w:right="259" w:hanging="336"/>
        <w:spacing w:after="0" w:line="25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5.2 </w:t>
      </w:r>
      <w:r>
        <w:rPr>
          <w:rFonts w:ascii="Times New Roman" w:cs="Times New Roman" w:eastAsia="Times New Roman" w:hAnsi="Times New Roman"/>
          <w:sz w:val="14"/>
          <w:szCs w:val="14"/>
          <w:color w:val="auto"/>
        </w:rPr>
        <w:t>(i) Except as expressly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the execution, delivery and effectiveness of this Amendment shall not operate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waiver of any rights, power or remedy of the Purchasers or Purchaser Agent under the Purchase Agreement or any other documents executed in connection with the Purchase Agreement or constitute a waiver of any provision of the Purchase Agreement or any other document executed in connection therewith including, without limitation, any Event of Default and (ii) this Amendment shall not by implication, course of dealing or otherwise limit, modify, amend or in any way affect any of the terms, conditions, obligations, covenants or agreements in the Note Documents, in each case, except to the extent limited, modified, amended or affected by this Amendment.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601" w:name="page602"/>
    <w:bookmarkEnd w:id="601"/>
    <w:p>
      <w:pPr>
        <w:ind w:left="1320" w:right="299" w:hanging="335"/>
        <w:spacing w:after="0" w:line="261" w:lineRule="auto"/>
        <w:tabs>
          <w:tab w:leader="none" w:pos="130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4"/>
          <w:szCs w:val="14"/>
          <w:color w:val="auto"/>
        </w:rPr>
        <w:t>Except as expressly modified by this Amendment, the terms and provisions of the Purchase Agreement shall remain unchanged and in full force and effect in accordance with its terms. In the event of any inconsistencies between the provisions of this Amendment and the provisions of Purchase Agreement or any other Note Document, the provisions of this Amendment shall govern and prevail. This Amendment is a Note Document.</w:t>
      </w:r>
    </w:p>
    <w:p>
      <w:pPr>
        <w:spacing w:after="0" w:line="66" w:lineRule="exact"/>
        <w:rPr>
          <w:sz w:val="20"/>
          <w:szCs w:val="20"/>
          <w:color w:val="auto"/>
        </w:rPr>
      </w:pPr>
    </w:p>
    <w:p>
      <w:pPr>
        <w:ind w:left="1320" w:right="519" w:hanging="335"/>
        <w:spacing w:after="0" w:line="282" w:lineRule="auto"/>
        <w:tabs>
          <w:tab w:leader="none" w:pos="1300" w:val="left"/>
        </w:tabs>
        <w:rPr>
          <w:sz w:val="20"/>
          <w:szCs w:val="20"/>
          <w:color w:val="auto"/>
        </w:rPr>
      </w:pPr>
      <w:r>
        <w:rPr>
          <w:rFonts w:ascii="Times New Roman" w:cs="Times New Roman" w:eastAsia="Times New Roman" w:hAnsi="Times New Roman"/>
          <w:sz w:val="14"/>
          <w:szCs w:val="14"/>
          <w:b w:val="1"/>
          <w:bCs w:val="1"/>
          <w:color w:val="auto"/>
        </w:rPr>
        <w:t>5.4</w:t>
      </w:r>
      <w:r>
        <w:rPr>
          <w:sz w:val="20"/>
          <w:szCs w:val="20"/>
          <w:color w:val="auto"/>
        </w:rPr>
        <w:tab/>
      </w:r>
      <w:r>
        <w:rPr>
          <w:rFonts w:ascii="Times New Roman" w:cs="Times New Roman" w:eastAsia="Times New Roman" w:hAnsi="Times New Roman"/>
          <w:sz w:val="14"/>
          <w:szCs w:val="14"/>
          <w:color w:val="auto"/>
        </w:rPr>
        <w:t>This Amendment shall be governed by, and construed, interpreted and enforced in accordance with, the laws of the state of New York, without giving effect to the principles of conflicts of law thereof.</w:t>
      </w:r>
    </w:p>
    <w:p>
      <w:pPr>
        <w:spacing w:after="0" w:line="52" w:lineRule="exact"/>
        <w:rPr>
          <w:sz w:val="20"/>
          <w:szCs w:val="20"/>
          <w:color w:val="auto"/>
        </w:rPr>
      </w:pPr>
    </w:p>
    <w:p>
      <w:pPr>
        <w:ind w:left="1320" w:right="259" w:hanging="335"/>
        <w:spacing w:after="0" w:line="266" w:lineRule="auto"/>
        <w:tabs>
          <w:tab w:leader="none" w:pos="1300" w:val="left"/>
        </w:tabs>
        <w:rPr>
          <w:sz w:val="20"/>
          <w:szCs w:val="20"/>
          <w:color w:val="auto"/>
        </w:rPr>
      </w:pPr>
      <w:r>
        <w:rPr>
          <w:rFonts w:ascii="Times New Roman" w:cs="Times New Roman" w:eastAsia="Times New Roman" w:hAnsi="Times New Roman"/>
          <w:sz w:val="14"/>
          <w:szCs w:val="14"/>
          <w:b w:val="1"/>
          <w:bCs w:val="1"/>
          <w:color w:val="auto"/>
        </w:rPr>
        <w:t>5.5</w:t>
      </w:r>
      <w:r>
        <w:rPr>
          <w:sz w:val="20"/>
          <w:szCs w:val="20"/>
          <w:color w:val="auto"/>
        </w:rPr>
        <w:tab/>
      </w:r>
      <w:r>
        <w:rPr>
          <w:rFonts w:ascii="Times New Roman" w:cs="Times New Roman" w:eastAsia="Times New Roman" w:hAnsi="Times New Roman"/>
          <w:sz w:val="14"/>
          <w:szCs w:val="14"/>
          <w:color w:val="auto"/>
        </w:rPr>
        <w:t xml:space="preserve">The provisions of Section 10 (Notices), Section 11 (Choice of Law and Venue; Jury Trial Waiver), Section 13.4 (Severability of Provisions), Section 13.6 (Amendments in Writing; Integration) and Section 13.7 (Counterparts; Effectiveness; Electronic Signature) of the Purchase Agreement are hereby incorporated by reference into this Amendment,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602" w:name="page603"/>
    <w:bookmarkEnd w:id="602"/>
    <w:p>
      <w:pPr>
        <w:ind w:left="220" w:right="37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caused this Amendment to be duly executed by their respective duly authorized officers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date first written above.</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Oguzhan Atay, PhD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to Note Purchase Agreement]</w:t>
      </w:r>
    </w:p>
    <w:p>
      <w:pPr>
        <w:sectPr>
          <w:pgSz w:w="11900" w:h="16838" w:orient="portrait"/>
          <w:cols w:equalWidth="0" w:num="1">
            <w:col w:w="9019"/>
          </w:cols>
          <w:pgMar w:left="1440" w:top="239" w:right="1440" w:bottom="1440" w:gutter="0" w:footer="0" w:header="0"/>
        </w:sectPr>
      </w:pPr>
    </w:p>
    <w:bookmarkStart w:id="603" w:name="page604"/>
    <w:bookmarkEnd w:id="603"/>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PURCHASER AGENT:</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BWCB SA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David Dubinsky</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PURCHASERS:</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TPC INVESTMENTS III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David Dubinsky</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to Note Purchase Agreement]</w:t>
      </w:r>
    </w:p>
    <w:p>
      <w:pPr>
        <w:sectPr>
          <w:pgSz w:w="11900" w:h="16838" w:orient="portrait"/>
          <w:cols w:equalWidth="0" w:num="1">
            <w:col w:w="9019"/>
          </w:cols>
          <w:pgMar w:left="1440" w:top="238" w:right="1440" w:bottom="1440" w:gutter="0" w:footer="0" w:header="0"/>
        </w:sectPr>
      </w:pPr>
    </w:p>
    <w:bookmarkStart w:id="604" w:name="page605"/>
    <w:bookmarkEnd w:id="604"/>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LEASE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WHIPPLE ROAD PORTFOLIO, LLC, LANDLORD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 TENANT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Union City Labs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3200 Whipple Road,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Union City, California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April 10, 2022</w:t>
      </w:r>
    </w:p>
    <w:p>
      <w:pPr>
        <w:sectPr>
          <w:pgSz w:w="11900" w:h="16838" w:orient="portrait"/>
          <w:cols w:equalWidth="0" w:num="1">
            <w:col w:w="9019"/>
          </w:cols>
          <w:pgMar w:left="1440" w:top="122" w:right="1440" w:bottom="1440" w:gutter="0" w:footer="0" w:header="0"/>
        </w:sectPr>
      </w:pPr>
    </w:p>
    <w:bookmarkStart w:id="605" w:name="page606"/>
    <w:bookmarkEnd w:id="605"/>
    <w:tbl>
      <w:tblPr>
        <w:tblLayout w:type="fixed"/>
        <w:tblInd w:w="22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640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5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Early Access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Monthly Base Rent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Rent; Operating Expenses and Taxes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Rent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Security Deposit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Hazardous Materials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on Tenant’s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Landlord Improvements; Tenant Improvements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Maintenance and Repairs; Alterations; Surrender and Restoration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Utilities and Services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Liens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17.</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Assignment and Subletting</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18.</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Holding Over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20.</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Damage or Destruction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Eminent Domain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Remedies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Tenant’s Personal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83"/>
        </w:trPr>
        <w:tc>
          <w:tcPr>
            <w:tcW w:w="300" w:type="dxa"/>
            <w:vAlign w:val="bottom"/>
          </w:tcPr>
          <w:p>
            <w:pPr>
              <w:spacing w:after="0"/>
              <w:rPr>
                <w:sz w:val="24"/>
                <w:szCs w:val="24"/>
                <w:color w:val="auto"/>
              </w:rPr>
            </w:pPr>
          </w:p>
        </w:tc>
        <w:tc>
          <w:tcPr>
            <w:tcW w:w="6400" w:type="dxa"/>
            <w:vAlign w:val="bottom"/>
          </w:tcPr>
          <w:p>
            <w:pPr>
              <w:ind w:left="3920"/>
              <w:spacing w:after="0"/>
              <w:rPr>
                <w:sz w:val="20"/>
                <w:szCs w:val="20"/>
                <w:color w:val="auto"/>
              </w:rPr>
            </w:pPr>
            <w:r>
              <w:rPr>
                <w:rFonts w:ascii="Times New Roman" w:cs="Times New Roman" w:eastAsia="Times New Roman" w:hAnsi="Times New Roman"/>
                <w:sz w:val="14"/>
                <w:szCs w:val="14"/>
                <w:color w:val="auto"/>
              </w:rPr>
              <w:t>-i-</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606" w:name="page607"/>
    <w:bookmarkEnd w:id="606"/>
    <w:tbl>
      <w:tblPr>
        <w:tblLayout w:type="fixed"/>
        <w:tblInd w:w="220" w:type="dxa"/>
        <w:tblCellMar>
          <w:top w:w="0" w:type="dxa"/>
          <w:left w:w="0" w:type="dxa"/>
          <w:bottom w:w="0" w:type="dxa"/>
          <w:right w:w="0" w:type="dxa"/>
        </w:tblCellMar>
      </w:tblPr>
      <w:tr>
        <w:trPr>
          <w:trHeight w:val="183"/>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25.</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Estoppel Certificate</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26.</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Signage</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27.</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 Estate Brokers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28.</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Parking</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29.</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Subordination; Attornment</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30.</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 Termination Right</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31.</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Landlord’s Entry</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32.</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Attorneys’ Fees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33.</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Quiet Enjoyment</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34.</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Information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35.</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SDN List</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36.</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Sustainable Practices for the Building</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37.</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Intentionally Deleted</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38.</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Intentionally Deleted</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39.</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Landlord’s Renovations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40.</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Provisions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41.</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Counterparts; Electronic Signatures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42.</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Amendments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2"/>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1"/>
              </w:rPr>
              <w:t>43.</w:t>
            </w:r>
          </w:p>
        </w:tc>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Satellite Dish</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u w:val="single" w:color="auto"/>
          <w:color w:val="auto"/>
        </w:rPr>
        <w:t>Exhibits</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Legal Description</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 Union City Labs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 Floor Plan of Premises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 Commencement Memorandum</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 Tenant’s Hazardous Materials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F-1. Description of Landlord Improvements/Warm-Shell Improvements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F-2. Preliminary Budget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F-3. Preliminary Schedule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G. Hazardous Materials Disclosure Certificate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324" w:right="1440" w:bottom="1440" w:gutter="0" w:footer="0" w:header="0"/>
        </w:sectPr>
      </w:pPr>
    </w:p>
    <w:bookmarkStart w:id="607" w:name="page608"/>
    <w:bookmarkEnd w:id="6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LEASE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Union City Labs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3200 Whipple Road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Union City, California</w:t>
      </w:r>
    </w:p>
    <w:p>
      <w:pPr>
        <w:spacing w:after="0" w:line="158" w:lineRule="exact"/>
        <w:rPr>
          <w:sz w:val="20"/>
          <w:szCs w:val="20"/>
          <w:color w:val="auto"/>
        </w:rPr>
      </w:pPr>
    </w:p>
    <w:p>
      <w:pPr>
        <w:ind w:left="220" w:right="919" w:firstLine="342"/>
        <w:spacing w:after="0" w:line="267" w:lineRule="auto"/>
        <w:rPr>
          <w:sz w:val="20"/>
          <w:szCs w:val="20"/>
          <w:color w:val="auto"/>
        </w:rPr>
      </w:pPr>
      <w:r>
        <w:rPr>
          <w:rFonts w:ascii="Times New Roman" w:cs="Times New Roman" w:eastAsia="Times New Roman" w:hAnsi="Times New Roman"/>
          <w:sz w:val="14"/>
          <w:szCs w:val="14"/>
          <w:color w:val="auto"/>
        </w:rPr>
        <w:t>THIS LEASE, referred to herein as this “</w:t>
      </w: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 xml:space="preserve">,” is made and entered into as of April 10, 2022, by and between </w:t>
      </w:r>
      <w:r>
        <w:rPr>
          <w:rFonts w:ascii="Times New Roman" w:cs="Times New Roman" w:eastAsia="Times New Roman" w:hAnsi="Times New Roman"/>
          <w:sz w:val="14"/>
          <w:szCs w:val="14"/>
          <w:b w:val="1"/>
          <w:bCs w:val="1"/>
          <w:color w:val="auto"/>
        </w:rPr>
        <w:t>WHIPPLE ROAD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PORTFOLIO, LLC</w:t>
      </w:r>
      <w:r>
        <w:rPr>
          <w:rFonts w:ascii="Times New Roman" w:cs="Times New Roman" w:eastAsia="Times New Roman" w:hAnsi="Times New Roman"/>
          <w:sz w:val="14"/>
          <w:szCs w:val="14"/>
          <w:color w:val="auto"/>
        </w:rPr>
        <w:t>, a Delaware limited liability company, hereafter referred to as “</w:t>
      </w:r>
      <w:r>
        <w:rPr>
          <w:rFonts w:ascii="Times New Roman" w:cs="Times New Roman" w:eastAsia="Times New Roman" w:hAnsi="Times New Roman"/>
          <w:sz w:val="14"/>
          <w:szCs w:val="14"/>
          <w:b w:val="1"/>
          <w:bCs w:val="1"/>
          <w:color w:val="auto"/>
        </w:rPr>
        <w:t>Landlord</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BILLIONTOONE, INC</w:t>
      </w:r>
      <w:r>
        <w:rPr>
          <w:rFonts w:ascii="Times New Roman" w:cs="Times New Roman" w:eastAsia="Times New Roman" w:hAnsi="Times New Roman"/>
          <w:sz w:val="14"/>
          <w:szCs w:val="14"/>
          <w:color w:val="auto"/>
        </w:rPr>
        <w:t>., a Delaware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hereafter referred to as “</w:t>
      </w:r>
      <w:r>
        <w:rPr>
          <w:rFonts w:ascii="Times New Roman" w:cs="Times New Roman" w:eastAsia="Times New Roman" w:hAnsi="Times New Roman"/>
          <w:sz w:val="14"/>
          <w:szCs w:val="14"/>
          <w:b w:val="1"/>
          <w:bCs w:val="1"/>
          <w:color w:val="auto"/>
        </w:rPr>
        <w:t>Tenant</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220" w:right="319" w:firstLine="342"/>
        <w:spacing w:after="0" w:line="254" w:lineRule="auto"/>
        <w:rPr>
          <w:sz w:val="20"/>
          <w:szCs w:val="20"/>
          <w:color w:val="auto"/>
        </w:rPr>
      </w:pPr>
      <w:r>
        <w:rPr>
          <w:rFonts w:ascii="Times New Roman" w:cs="Times New Roman" w:eastAsia="Times New Roman" w:hAnsi="Times New Roman"/>
          <w:sz w:val="14"/>
          <w:szCs w:val="14"/>
          <w:color w:val="auto"/>
        </w:rPr>
        <w:t xml:space="preserve">A. Landlord is the owner of the real property located at 3180, 3200, 3240, 3242, 3250 and 3260, 3280 and 3292 Whipple Road, Union City, California, commonly referred to as Union City Labs, more particularly described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and incorporated by reference herein, together with all easements and appurtenances thereto (collectively, the “</w:t>
      </w:r>
      <w:r>
        <w:rPr>
          <w:rFonts w:ascii="Times New Roman" w:cs="Times New Roman" w:eastAsia="Times New Roman" w:hAnsi="Times New Roman"/>
          <w:sz w:val="14"/>
          <w:szCs w:val="14"/>
          <w:b w:val="1"/>
          <w:bCs w:val="1"/>
          <w:color w:val="auto"/>
        </w:rPr>
        <w:t>Land</w:t>
      </w:r>
      <w:r>
        <w:rPr>
          <w:rFonts w:ascii="Times New Roman" w:cs="Times New Roman" w:eastAsia="Times New Roman" w:hAnsi="Times New Roman"/>
          <w:sz w:val="14"/>
          <w:szCs w:val="14"/>
          <w:color w:val="auto"/>
        </w:rPr>
        <w:t>”) and the existing buildings thereon, containing approximately 336,632 square feet and all other improvements located thereon (collectively, the “</w:t>
      </w:r>
      <w:r>
        <w:rPr>
          <w:rFonts w:ascii="Times New Roman" w:cs="Times New Roman" w:eastAsia="Times New Roman" w:hAnsi="Times New Roman"/>
          <w:sz w:val="14"/>
          <w:szCs w:val="14"/>
          <w:b w:val="1"/>
          <w:bCs w:val="1"/>
          <w:color w:val="auto"/>
        </w:rPr>
        <w:t>Improvements</w:t>
      </w:r>
      <w:r>
        <w:rPr>
          <w:rFonts w:ascii="Times New Roman" w:cs="Times New Roman" w:eastAsia="Times New Roman" w:hAnsi="Times New Roman"/>
          <w:sz w:val="14"/>
          <w:szCs w:val="14"/>
          <w:color w:val="auto"/>
        </w:rPr>
        <w:t>”). The Land and Improvements are referred to herein collectively as the “</w:t>
      </w: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14"/>
          <w:szCs w:val="14"/>
          <w:color w:val="auto"/>
        </w:rPr>
        <w:t xml:space="preserve">.” The Union City Labs description is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incorporated by reference herein, and identifies the properties that comprise Union City Labs (the “</w:t>
      </w:r>
      <w:r>
        <w:rPr>
          <w:rFonts w:ascii="Times New Roman" w:cs="Times New Roman" w:eastAsia="Times New Roman" w:hAnsi="Times New Roman"/>
          <w:sz w:val="14"/>
          <w:szCs w:val="14"/>
          <w:b w:val="1"/>
          <w:bCs w:val="1"/>
          <w:color w:val="auto"/>
        </w:rPr>
        <w:t>Park</w:t>
      </w:r>
      <w:r>
        <w:rPr>
          <w:rFonts w:ascii="Times New Roman" w:cs="Times New Roman" w:eastAsia="Times New Roman" w:hAnsi="Times New Roman"/>
          <w:sz w:val="14"/>
          <w:szCs w:val="14"/>
          <w:color w:val="auto"/>
        </w:rPr>
        <w:t>”). The building at 3200 Whipple Road is referred to herein as the “</w:t>
      </w:r>
      <w:r>
        <w:rPr>
          <w:rFonts w:ascii="Times New Roman" w:cs="Times New Roman" w:eastAsia="Times New Roman" w:hAnsi="Times New Roman"/>
          <w:sz w:val="14"/>
          <w:szCs w:val="14"/>
          <w:b w:val="1"/>
          <w:bCs w:val="1"/>
          <w:color w:val="auto"/>
        </w:rPr>
        <w:t>Building</w:t>
      </w:r>
      <w:r>
        <w:rPr>
          <w:rFonts w:ascii="Times New Roman" w:cs="Times New Roman" w:eastAsia="Times New Roman" w:hAnsi="Times New Roman"/>
          <w:sz w:val="14"/>
          <w:szCs w:val="14"/>
          <w:color w:val="auto"/>
        </w:rPr>
        <w:t>.” Those areas and facilities of the Park (excluding any portion of the Building) which is for the common use of tenant or other occupants of the Property is referred to herein as the “</w:t>
      </w:r>
      <w:r>
        <w:rPr>
          <w:rFonts w:ascii="Times New Roman" w:cs="Times New Roman" w:eastAsia="Times New Roman" w:hAnsi="Times New Roman"/>
          <w:sz w:val="14"/>
          <w:szCs w:val="14"/>
          <w:b w:val="1"/>
          <w:bCs w:val="1"/>
          <w:color w:val="auto"/>
        </w:rPr>
        <w:t>Common Area</w:t>
      </w:r>
      <w:r>
        <w:rPr>
          <w:rFonts w:ascii="Times New Roman" w:cs="Times New Roman" w:eastAsia="Times New Roman" w:hAnsi="Times New Roman"/>
          <w:sz w:val="14"/>
          <w:szCs w:val="14"/>
          <w:color w:val="auto"/>
        </w:rPr>
        <w:t xml:space="preserve">.” The floor plan of the Building is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and incorporated by reference herein.</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B. Landlord and Tenant wish to enter into this Lease of the Premises defined in </w:t>
      </w:r>
      <w:r>
        <w:rPr>
          <w:rFonts w:ascii="Times New Roman" w:cs="Times New Roman" w:eastAsia="Times New Roman" w:hAnsi="Times New Roman"/>
          <w:sz w:val="14"/>
          <w:szCs w:val="14"/>
          <w:u w:val="single" w:color="auto"/>
          <w:color w:val="auto"/>
        </w:rPr>
        <w:t>Paragraph 1</w:t>
      </w:r>
      <w:r>
        <w:rPr>
          <w:rFonts w:ascii="Times New Roman" w:cs="Times New Roman" w:eastAsia="Times New Roman" w:hAnsi="Times New Roman"/>
          <w:sz w:val="14"/>
          <w:szCs w:val="14"/>
          <w:color w:val="auto"/>
        </w:rPr>
        <w:t xml:space="preserve"> upon the terms and conditions set forth herein.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NOW, THEREFORE, the parties agree as follows:</w:t>
      </w:r>
    </w:p>
    <w:p>
      <w:pPr>
        <w:spacing w:after="0" w:line="91" w:lineRule="exact"/>
        <w:rPr>
          <w:sz w:val="20"/>
          <w:szCs w:val="20"/>
          <w:color w:val="auto"/>
        </w:rPr>
      </w:pPr>
    </w:p>
    <w:p>
      <w:pPr>
        <w:ind w:left="360" w:hanging="137"/>
        <w:spacing w:after="0"/>
        <w:tabs>
          <w:tab w:leader="none" w:pos="36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Lease</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39" w:firstLine="345"/>
        <w:spacing w:after="0" w:line="256" w:lineRule="auto"/>
        <w:tabs>
          <w:tab w:leader="none" w:pos="753" w:val="left"/>
        </w:tabs>
        <w:numPr>
          <w:ilvl w:val="1"/>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Beginning on the Commencement Date (as defined in </w:t>
      </w:r>
      <w:r>
        <w:rPr>
          <w:rFonts w:ascii="Times New Roman" w:cs="Times New Roman" w:eastAsia="Times New Roman" w:hAnsi="Times New Roman"/>
          <w:sz w:val="14"/>
          <w:szCs w:val="14"/>
          <w:u w:val="single" w:color="auto"/>
          <w:color w:val="auto"/>
        </w:rPr>
        <w:t>Paragraph 2(a)</w:t>
      </w:r>
      <w:r>
        <w:rPr>
          <w:rFonts w:ascii="Times New Roman" w:cs="Times New Roman" w:eastAsia="Times New Roman" w:hAnsi="Times New Roman"/>
          <w:sz w:val="14"/>
          <w:szCs w:val="14"/>
          <w:color w:val="auto"/>
        </w:rPr>
        <w:t xml:space="preserve">), Landlord hereby leases to Tenant, and Tenant leases from Landlord, at the rental rate and upon the terms and conditions set forth herein, the portion of the Property consisting of approximately Eighty-Nine Thousand Nine Hundred Sixty-Nine (89,969) rentable square feet, as shown on the floor plan of the Building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Premises</w:t>
      </w:r>
      <w:r>
        <w:rPr>
          <w:rFonts w:ascii="Times New Roman" w:cs="Times New Roman" w:eastAsia="Times New Roman" w:hAnsi="Times New Roman"/>
          <w:sz w:val="14"/>
          <w:szCs w:val="14"/>
          <w:color w:val="auto"/>
        </w:rPr>
        <w:t xml:space="preserve">”), together with the right to use Tenant’s share of the on-site parking spaces pursuant to </w:t>
      </w:r>
      <w:r>
        <w:rPr>
          <w:rFonts w:ascii="Times New Roman" w:cs="Times New Roman" w:eastAsia="Times New Roman" w:hAnsi="Times New Roman"/>
          <w:sz w:val="14"/>
          <w:szCs w:val="14"/>
          <w:u w:val="single" w:color="auto"/>
          <w:color w:val="auto"/>
        </w:rPr>
        <w:t>Paragraph 28</w:t>
      </w:r>
      <w:r>
        <w:rPr>
          <w:rFonts w:ascii="Times New Roman" w:cs="Times New Roman" w:eastAsia="Times New Roman" w:hAnsi="Times New Roman"/>
          <w:sz w:val="14"/>
          <w:szCs w:val="14"/>
          <w:color w:val="auto"/>
        </w:rPr>
        <w:t>, and the non-exclusive right to use the common areas of the Property and the other Improvements on the Property intended for use in common by the tenants of the Property. Tenant’s Pro Rata Share of the Building shall mean 100% (89,969/89,969).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-557530</wp:posOffset>
            </wp:positionV>
            <wp:extent cx="22225"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608" w:name="page609"/>
    <w:bookmarkEnd w:id="608"/>
    <w:p>
      <w:pPr>
        <w:ind w:left="220" w:right="259" w:firstLine="345"/>
        <w:spacing w:after="0" w:line="255" w:lineRule="auto"/>
        <w:tabs>
          <w:tab w:leader="none" w:pos="76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Except hereinafter provided, Landlord shall retain absolute dominion and control over the Common Area and shall operate and maintain the Common Area in good order and condition; provided, however, such exclusive right shall not materially adversely affect Tenant’s access to the Premises nor shall it operate to materially adversely affect Tenant’s benefit and enjoyment of the Premises for Tenant’s permitted Use. Notwithstanding anything to the contrary herein, Landlord grants Tenant, its employees, invitees, licensees, and other visitors a non-exclusive license to use the Common Area for the Term hereof. Tenant acknowledges that, without advance notice to Tenant, and without any liability to Tenant in any respect, Landlord shall have the right to (provided, such right shall not materially adversely affect Tenant’s access to the Premises nor shall it operate to materially adversely affect Tenant’s use of the Premises for Tenant’s permitted Use):</w:t>
      </w:r>
    </w:p>
    <w:p>
      <w:pPr>
        <w:spacing w:after="0" w:line="61" w:lineRule="exact"/>
        <w:rPr>
          <w:rFonts w:ascii="Times New Roman" w:cs="Times New Roman" w:eastAsia="Times New Roman" w:hAnsi="Times New Roman"/>
          <w:sz w:val="14"/>
          <w:szCs w:val="14"/>
          <w:color w:val="auto"/>
        </w:rPr>
      </w:pPr>
    </w:p>
    <w:p>
      <w:pPr>
        <w:ind w:left="220" w:right="239" w:firstLine="773"/>
        <w:spacing w:after="0" w:line="266" w:lineRule="auto"/>
        <w:tabs>
          <w:tab w:leader="none" w:pos="1158"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 off any of the Common Area to whatever extent required, in the opinion of Landlord, to prevent a dedication of any of the Common Area or the accrual of any rights by any person or the public to the Common Area, provided such closure does not materially deprive Tenant of the benefit and enjoyment of the Premises for its Permitted Use;</w:t>
      </w:r>
    </w:p>
    <w:p>
      <w:pPr>
        <w:spacing w:after="0" w:line="52"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Temporarily close any of the Common Area for maintenance, alteration or improvement purposes;</w:t>
      </w:r>
    </w:p>
    <w:p>
      <w:pPr>
        <w:spacing w:after="0" w:line="90" w:lineRule="exact"/>
        <w:rPr>
          <w:rFonts w:ascii="Times New Roman" w:cs="Times New Roman" w:eastAsia="Times New Roman" w:hAnsi="Times New Roman"/>
          <w:sz w:val="14"/>
          <w:szCs w:val="14"/>
          <w:color w:val="auto"/>
        </w:rPr>
      </w:pPr>
    </w:p>
    <w:p>
      <w:pPr>
        <w:ind w:left="220" w:right="699" w:firstLine="773"/>
        <w:spacing w:after="0" w:line="282" w:lineRule="auto"/>
        <w:tabs>
          <w:tab w:leader="none" w:pos="1235"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 appoint or contract with any person for the purpose of operating and maintaining the Common Area, on such terms and conditions as Landlord deems reasonable;</w:t>
      </w:r>
    </w:p>
    <w:p>
      <w:pPr>
        <w:spacing w:after="0" w:line="41" w:lineRule="exact"/>
        <w:rPr>
          <w:rFonts w:ascii="Times New Roman" w:cs="Times New Roman" w:eastAsia="Times New Roman" w:hAnsi="Times New Roman"/>
          <w:sz w:val="14"/>
          <w:szCs w:val="14"/>
          <w:color w:val="auto"/>
        </w:rPr>
      </w:pPr>
    </w:p>
    <w:p>
      <w:pPr>
        <w:ind w:left="220" w:right="299" w:firstLine="773"/>
        <w:spacing w:after="0" w:line="282" w:lineRule="auto"/>
        <w:tabs>
          <w:tab w:leader="none" w:pos="1227"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size, use, shape or nature of any portion of the Common Area, without incurring any liability to Tenant or entitling Tenant to any abatement of Rent;</w:t>
      </w:r>
    </w:p>
    <w:p>
      <w:pPr>
        <w:spacing w:after="0" w:line="41" w:lineRule="exact"/>
        <w:rPr>
          <w:rFonts w:ascii="Times New Roman" w:cs="Times New Roman" w:eastAsia="Times New Roman" w:hAnsi="Times New Roman"/>
          <w:sz w:val="14"/>
          <w:szCs w:val="14"/>
          <w:color w:val="auto"/>
        </w:rPr>
      </w:pPr>
    </w:p>
    <w:p>
      <w:pPr>
        <w:jc w:val="both"/>
        <w:ind w:left="220" w:right="279" w:firstLine="773"/>
        <w:spacing w:after="0" w:line="261" w:lineRule="auto"/>
        <w:tabs>
          <w:tab w:leader="none" w:pos="1189"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any buildings (other than the Building) within the Property to cover a portion of the Common Area, convert the Common Area to a portion of other buildings within the Property, or convert any portion of any other buildings within the Property to Common Area. Upon erection of any buildings or change in Common Area, the portion of the other buildings upon which such structures have been erected will no longer be deemed to be a part of the Common Area; and</w:t>
      </w:r>
    </w:p>
    <w:p>
      <w:pPr>
        <w:spacing w:after="0" w:line="55" w:lineRule="exact"/>
        <w:rPr>
          <w:rFonts w:ascii="Times New Roman" w:cs="Times New Roman" w:eastAsia="Times New Roman" w:hAnsi="Times New Roman"/>
          <w:sz w:val="14"/>
          <w:szCs w:val="14"/>
          <w:color w:val="auto"/>
        </w:rPr>
      </w:pPr>
    </w:p>
    <w:p>
      <w:pPr>
        <w:ind w:left="220" w:right="259" w:firstLine="773"/>
        <w:spacing w:after="0" w:line="254" w:lineRule="auto"/>
        <w:tabs>
          <w:tab w:leader="none" w:pos="1227"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other rights of Landlord under this Lease, Landlord reserves to itself and its respective successors and assigns the right to: (i) change the street address and/or name of the Building and/or Property; (ii) grant to anyone the exclusive right to conduct any particular business or undertaking in the Property; (iii) grant to anyone the exclusive use of portions of any storage areas to tenants; (iv) control the use of the roof and exterior walls of the Building or other buildings in the Property; provided, however, if such proposed use of the roof would materially adversely affect Tenant’s use of the Premises for Tenant’s permitted Use, then Landlord shall be required to obtain Tenant’s prior approval of such use; (v) change the boundary lines of the lot on which the Building stands and/or Property is located and to make other reasonable changes therein and grant other rights thereto, including, without limitation, the granting of easements, servitudes, rights of way and rights of ingress and egress and similar rights to users of adjacent parcels, utility companies, governmental agencies or other tenants; and</w:t>
      </w:r>
    </w:p>
    <w:p>
      <w:pPr>
        <w:spacing w:after="0" w:line="64" w:lineRule="exact"/>
        <w:rPr>
          <w:rFonts w:ascii="Times New Roman" w:cs="Times New Roman" w:eastAsia="Times New Roman" w:hAnsi="Times New Roman"/>
          <w:sz w:val="14"/>
          <w:szCs w:val="14"/>
          <w:color w:val="auto"/>
        </w:rPr>
      </w:pPr>
    </w:p>
    <w:p>
      <w:pPr>
        <w:ind w:left="220" w:right="259" w:firstLine="773"/>
        <w:spacing w:after="0" w:line="266" w:lineRule="auto"/>
        <w:tabs>
          <w:tab w:leader="none" w:pos="1266"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alterations, repairs or replacements within other premises within the Property. Landlord may exercise any or all of the foregoing rights without being deemed to be guilty of an eviction or disturbance or interruption of the business of Tenant or Tenant’s use or occupancy of the Premises.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609" w:name="page610"/>
    <w:bookmarkEnd w:id="609"/>
    <w:p>
      <w:pPr>
        <w:ind w:left="360" w:hanging="137"/>
        <w:spacing w:after="0"/>
        <w:tabs>
          <w:tab w:leader="none" w:pos="360"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20" w:right="239" w:firstLine="345"/>
        <w:spacing w:after="0" w:line="252" w:lineRule="auto"/>
        <w:tabs>
          <w:tab w:leader="none" w:pos="753"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this Lease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xml:space="preserve">”) shall commence on the earlier of (i) the date that Landlord delivers the Premises to Tenant with the Landlord Improvements summarized on </w:t>
      </w:r>
      <w:r>
        <w:rPr>
          <w:rFonts w:ascii="Times New Roman" w:cs="Times New Roman" w:eastAsia="Times New Roman" w:hAnsi="Times New Roman"/>
          <w:sz w:val="14"/>
          <w:szCs w:val="14"/>
          <w:u w:val="single" w:color="auto"/>
          <w:color w:val="auto"/>
        </w:rPr>
        <w:t>Exhibit “F-1</w:t>
      </w:r>
      <w:r>
        <w:rPr>
          <w:rFonts w:ascii="Times New Roman" w:cs="Times New Roman" w:eastAsia="Times New Roman" w:hAnsi="Times New Roman"/>
          <w:sz w:val="14"/>
          <w:szCs w:val="14"/>
          <w:color w:val="auto"/>
        </w:rPr>
        <w:t xml:space="preserve">” and the Tenant Improvements (exclusive of the Excluded Work) Substantially Completed (as both terms are defined in the Work Letter attached hereto as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Commencement Date</w:t>
      </w:r>
      <w:r>
        <w:rPr>
          <w:rFonts w:ascii="Times New Roman" w:cs="Times New Roman" w:eastAsia="Times New Roman" w:hAnsi="Times New Roman"/>
          <w:sz w:val="14"/>
          <w:szCs w:val="14"/>
          <w:color w:val="auto"/>
        </w:rPr>
        <w:t xml:space="preserve">”), and (ii) the date such work would have been Substantially Completed but for the occurrence of Tenant Delays (as defined in the Work Letter). Upon the Commencement Date, the Premises shall be in good condition with the existing Building systems serving the Premises in good working condition, including the roof in watertight condition, HVAC, mechanical, electrical, plumbing in good working condition and operable. Tenant hereby agrees that the Premises is in satisfactory operating order, condition and repair, subject to Landlord’s obligations relating to the Tenant Improvements, and that, except as otherwise expressly set forth in this Lease, there are no representations or warranties of any kind, express or implied, by Landlord regarding the Premises, the Building or the Park. The Commencement Date shall be confirmed in writing by Landlord and Tenant by the execution and delivery of the Commencement Memorandum in the form attached hereto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Notwithstanding anything to the contrary, if the Commencement Date does not occur on or before December 31,</w:t>
      </w:r>
    </w:p>
    <w:p>
      <w:pPr>
        <w:spacing w:after="0" w:line="5" w:lineRule="exact"/>
        <w:rPr>
          <w:rFonts w:ascii="Times New Roman" w:cs="Times New Roman" w:eastAsia="Times New Roman" w:hAnsi="Times New Roman"/>
          <w:sz w:val="14"/>
          <w:szCs w:val="14"/>
          <w:color w:val="auto"/>
        </w:rPr>
      </w:pPr>
    </w:p>
    <w:p>
      <w:pPr>
        <w:ind w:left="220" w:right="2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with respect to the Tenant Improvements exclusive of the Excluded Work (as hereinafter defined) (the “</w:t>
      </w:r>
      <w:r>
        <w:rPr>
          <w:rFonts w:ascii="Times New Roman" w:cs="Times New Roman" w:eastAsia="Times New Roman" w:hAnsi="Times New Roman"/>
          <w:sz w:val="14"/>
          <w:szCs w:val="14"/>
          <w:b w:val="1"/>
          <w:bCs w:val="1"/>
          <w:color w:val="auto"/>
        </w:rPr>
        <w:t>Outside Delivery Date</w:t>
      </w:r>
      <w:r>
        <w:rPr>
          <w:rFonts w:ascii="Times New Roman" w:cs="Times New Roman" w:eastAsia="Times New Roman" w:hAnsi="Times New Roman"/>
          <w:sz w:val="14"/>
          <w:szCs w:val="14"/>
          <w:color w:val="auto"/>
        </w:rPr>
        <w:t>”), the Monthly Base Rent shall abate one day for every day between the Outside Delivery Date and the Commencement Date to the extent not caused by any Tenant’s Delays or force majeure. Tenant shall not be entitled to the Monthly Base Rent abatement set forth in the immediately preceding sentence if the Tenant Improvements (other than the Excluded Work) are delivered Substantially Completed prior to the Outside Delivery Date. The parties anticipate the Excluded Work will be Substantially Completed by March 15, 2023. The term “</w:t>
      </w:r>
      <w:r>
        <w:rPr>
          <w:rFonts w:ascii="Times New Roman" w:cs="Times New Roman" w:eastAsia="Times New Roman" w:hAnsi="Times New Roman"/>
          <w:sz w:val="14"/>
          <w:szCs w:val="14"/>
          <w:b w:val="1"/>
          <w:bCs w:val="1"/>
          <w:color w:val="auto"/>
        </w:rPr>
        <w:t>Excluded Work</w:t>
      </w:r>
      <w:r>
        <w:rPr>
          <w:rFonts w:ascii="Times New Roman" w:cs="Times New Roman" w:eastAsia="Times New Roman" w:hAnsi="Times New Roman"/>
          <w:sz w:val="14"/>
          <w:szCs w:val="14"/>
          <w:color w:val="auto"/>
        </w:rPr>
        <w:t>” shall mean the portion of the Tenant Improvements consisting of (a) work exterior to the Premises; (b) power upgrades to the extent such power upgrades work does not require the shutdown of electricity or interfere with Tenant’s use of the Premises; (c) the portion of the office space not part of the approximately 10,000 rentable square foot portion of the office space delivered to Tenant on the Commencement Date; (d) permanently installed casework in the lab area; and (e) work to the lobby beyond the “vanilla-shell” condition of the lobby that was delivered by the Outside Delivery Date. Notwithstanding anything to the contrary, if the Excluded Work is not Substantially Completed on or before March 15, 2023 with respect to the Excluded Work (the “</w:t>
      </w:r>
      <w:r>
        <w:rPr>
          <w:rFonts w:ascii="Times New Roman" w:cs="Times New Roman" w:eastAsia="Times New Roman" w:hAnsi="Times New Roman"/>
          <w:sz w:val="14"/>
          <w:szCs w:val="14"/>
          <w:b w:val="1"/>
          <w:bCs w:val="1"/>
          <w:color w:val="auto"/>
        </w:rPr>
        <w:t>Outside Excluded Work Completion Date</w:t>
      </w:r>
      <w:r>
        <w:rPr>
          <w:rFonts w:ascii="Times New Roman" w:cs="Times New Roman" w:eastAsia="Times New Roman" w:hAnsi="Times New Roman"/>
          <w:sz w:val="14"/>
          <w:szCs w:val="14"/>
          <w:color w:val="auto"/>
        </w:rPr>
        <w:t>”), the Monthly Base Rent shall abate one day for every day between the Outside Excluded Work Completion Date and the date the Excluded Work is Substantially Completed to the extent not caused by any Tenant’s Delays or force majeure.</w:t>
      </w:r>
    </w:p>
    <w:p>
      <w:pPr>
        <w:spacing w:after="0" w:line="63"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60"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this Lease shall expire, unless sooner terminated in accordance with the provisions hereof or as permitted by law, on the last day of the one hundred twenty-six (126) full calendar month after the Commencement Date</w:t>
      </w:r>
      <w:r>
        <w:rPr>
          <w:rFonts w:ascii="Times New Roman" w:cs="Times New Roman" w:eastAsia="Times New Roman" w:hAnsi="Times New Roman"/>
          <w:sz w:val="14"/>
          <w:szCs w:val="14"/>
          <w:i w:val="1"/>
          <w:iCs w:val="1"/>
          <w:color w:val="auto"/>
        </w:rPr>
        <w:t>.</w:t>
      </w:r>
    </w:p>
    <w:p>
      <w:pPr>
        <w:spacing w:after="0" w:line="39"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Option</w:t>
      </w:r>
      <w:r>
        <w:rPr>
          <w:rFonts w:ascii="Times New Roman" w:cs="Times New Roman" w:eastAsia="Times New Roman" w:hAnsi="Times New Roman"/>
          <w:sz w:val="14"/>
          <w:szCs w:val="14"/>
          <w:color w:val="auto"/>
        </w:rPr>
        <w:t>. Tenant shall have one (1) option to extend the Term of this Lease (“</w:t>
      </w:r>
      <w:r>
        <w:rPr>
          <w:rFonts w:ascii="Times New Roman" w:cs="Times New Roman" w:eastAsia="Times New Roman" w:hAnsi="Times New Roman"/>
          <w:sz w:val="14"/>
          <w:szCs w:val="14"/>
          <w:b w:val="1"/>
          <w:bCs w:val="1"/>
          <w:color w:val="auto"/>
        </w:rPr>
        <w:t>Extension Option</w:t>
      </w:r>
      <w:r>
        <w:rPr>
          <w:rFonts w:ascii="Times New Roman" w:cs="Times New Roman" w:eastAsia="Times New Roman" w:hAnsi="Times New Roman"/>
          <w:sz w:val="14"/>
          <w:szCs w:val="14"/>
          <w:color w:val="auto"/>
        </w:rPr>
        <w:t>”) for an additional period of five</w:t>
      </w:r>
    </w:p>
    <w:p>
      <w:pPr>
        <w:spacing w:after="0" w:line="24" w:lineRule="exact"/>
        <w:rPr>
          <w:sz w:val="20"/>
          <w:szCs w:val="20"/>
          <w:color w:val="auto"/>
        </w:rPr>
      </w:pPr>
    </w:p>
    <w:p>
      <w:pPr>
        <w:ind w:left="220" w:right="439" w:firstLine="3"/>
        <w:spacing w:after="0" w:line="255" w:lineRule="auto"/>
        <w:tabs>
          <w:tab w:leader="none" w:pos="418"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w:t>
      </w:r>
      <w:r>
        <w:rPr>
          <w:rFonts w:ascii="Times New Roman" w:cs="Times New Roman" w:eastAsia="Times New Roman" w:hAnsi="Times New Roman"/>
          <w:sz w:val="14"/>
          <w:szCs w:val="14"/>
          <w:b w:val="1"/>
          <w:bCs w:val="1"/>
          <w:color w:val="auto"/>
        </w:rPr>
        <w:t>Extended Term</w:t>
      </w:r>
      <w:r>
        <w:rPr>
          <w:rFonts w:ascii="Times New Roman" w:cs="Times New Roman" w:eastAsia="Times New Roman" w:hAnsi="Times New Roman"/>
          <w:sz w:val="14"/>
          <w:szCs w:val="14"/>
          <w:color w:val="auto"/>
        </w:rPr>
        <w:t>”) by giving Landlord written notice of such election (“</w:t>
      </w:r>
      <w:r>
        <w:rPr>
          <w:rFonts w:ascii="Times New Roman" w:cs="Times New Roman" w:eastAsia="Times New Roman" w:hAnsi="Times New Roman"/>
          <w:sz w:val="14"/>
          <w:szCs w:val="14"/>
          <w:b w:val="1"/>
          <w:bCs w:val="1"/>
          <w:color w:val="auto"/>
        </w:rPr>
        <w:t>Option Exercise Notice</w:t>
      </w:r>
      <w:r>
        <w:rPr>
          <w:rFonts w:ascii="Times New Roman" w:cs="Times New Roman" w:eastAsia="Times New Roman" w:hAnsi="Times New Roman"/>
          <w:sz w:val="14"/>
          <w:szCs w:val="14"/>
          <w:color w:val="auto"/>
        </w:rPr>
        <w:t>”) not earlier than twelve (12) months nor later than nine (9) months prior to the Expiration Date. If Tenant does not timely deliver the Option Exercise Notice, Tenant’s right to exercise the Extension Option shall terminate. Tenant shall have no right to exercise the Extension Option notwithstanding any provision in the grant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610" w:name="page611"/>
    <w:bookmarkEnd w:id="610"/>
    <w:p>
      <w:pPr>
        <w:ind w:left="220" w:right="2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contrary if Tenant does not occupy at least fifty percent (50%) of the Premises or is in default of this Lease after expiration of any applicable notice and cure period. The Extension Option may be exercised by the originally-named tenant or a Permitted Transferee that has taken an assignment of this Lease and may not be exercised or assigned, voluntarily or involuntarily, by or to any person or entity or exercised for the occupancy of any other person or entity. The Extended Term shall be on the same terms and conditions as contained in this Lease except that (i) there shall be no further right to extend the Lease beyond the Extended Term, (ii) there shall be no obligation to pre-pay monthly base rent, initial rent concessions or abatements or obligation of Landlord to construct tenant improvements or pay a tenant improvement allowance, and (iii) Monthly Base Rent during the Extended Term shall equal to the Fair Market Rental Rate determined in accordance with this Paragraph.</w:t>
      </w:r>
    </w:p>
    <w:p>
      <w:pPr>
        <w:spacing w:after="0" w:line="144" w:lineRule="exact"/>
        <w:rPr>
          <w:sz w:val="20"/>
          <w:szCs w:val="20"/>
          <w:color w:val="auto"/>
        </w:rPr>
      </w:pPr>
    </w:p>
    <w:p>
      <w:pPr>
        <w:jc w:val="both"/>
        <w:ind w:left="220" w:right="459" w:firstLine="342"/>
        <w:spacing w:after="0" w:line="267" w:lineRule="auto"/>
        <w:rPr>
          <w:sz w:val="20"/>
          <w:szCs w:val="20"/>
          <w:color w:val="auto"/>
        </w:rPr>
      </w:pPr>
      <w:r>
        <w:rPr>
          <w:rFonts w:ascii="Times New Roman" w:cs="Times New Roman" w:eastAsia="Times New Roman" w:hAnsi="Times New Roman"/>
          <w:sz w:val="14"/>
          <w:szCs w:val="14"/>
          <w:color w:val="auto"/>
        </w:rPr>
        <w:t>As used herein, the term “</w:t>
      </w:r>
      <w:r>
        <w:rPr>
          <w:rFonts w:ascii="Times New Roman" w:cs="Times New Roman" w:eastAsia="Times New Roman" w:hAnsi="Times New Roman"/>
          <w:sz w:val="14"/>
          <w:szCs w:val="14"/>
          <w:b w:val="1"/>
          <w:bCs w:val="1"/>
          <w:color w:val="auto"/>
        </w:rPr>
        <w:t>Fair Market Rental Rate</w:t>
      </w:r>
      <w:r>
        <w:rPr>
          <w:rFonts w:ascii="Times New Roman" w:cs="Times New Roman" w:eastAsia="Times New Roman" w:hAnsi="Times New Roman"/>
          <w:sz w:val="14"/>
          <w:szCs w:val="14"/>
          <w:color w:val="auto"/>
        </w:rPr>
        <w:t>” means the rental rate that Landlord could obtain during the Extended Term from a third party desiring to lease the Premises, based upon the permitted Use, by rents then being obtained for new leases of space comparable in age, build-out and quality to the Premises in the locality of the Premises.</w:t>
      </w:r>
    </w:p>
    <w:p>
      <w:pPr>
        <w:spacing w:after="0" w:line="136" w:lineRule="exact"/>
        <w:rPr>
          <w:sz w:val="20"/>
          <w:szCs w:val="20"/>
          <w:color w:val="auto"/>
        </w:rPr>
      </w:pPr>
    </w:p>
    <w:p>
      <w:pPr>
        <w:ind w:left="220" w:right="239" w:firstLine="342"/>
        <w:spacing w:after="0" w:line="253" w:lineRule="auto"/>
        <w:rPr>
          <w:sz w:val="20"/>
          <w:szCs w:val="20"/>
          <w:color w:val="auto"/>
        </w:rPr>
      </w:pPr>
      <w:r>
        <w:rPr>
          <w:rFonts w:ascii="Times New Roman" w:cs="Times New Roman" w:eastAsia="Times New Roman" w:hAnsi="Times New Roman"/>
          <w:sz w:val="14"/>
          <w:szCs w:val="14"/>
          <w:color w:val="auto"/>
        </w:rPr>
        <w:t>If Tenant delivers the Option Exercise Notice, Landlord shall, within thirty (30) days of receipt thereof, send Tenant a written notice setting forth the Fair Market Rental Rate for the Extended Term. If Tenant disputes Landlord’s determination, Tenant shall, within thirty (30) days of Landlord’s notice setting forth Landlord’s determination of the Fair Market Rental Rate, send to Landlord a notice stating that Tenant disagrees with Landlord’s determination and elects to resolve the disagreement as set forth herein. If Tenant does not send Landlord a notice as provided in the previous sentence, Landlord’s determination of Fair Market Rental Rate shall be the Monthly Base Rent payable by Tenant during the Extended Term. If Tenant elects to resolve the disagreement as provided below and such procedures are not concluded prior to the commencement date of the Extended Term, Tenant shall pay to Landlord as Monthly Base Rent the Fair Market Rental Rate set forth in Landlord’s notice. If the Fair Market Rental Rate as finally determined pursuant to the provisions set forth below is greater than Landlord’s determination, Tenant shall pay Landlord the difference between the amount paid by Tenant and the Fair Market Rental Rate as so determined within thirty (30) days after said determination. If the Fair Market Rental Rate as finally determined is less than Landlord’s determination, the difference between the amount paid by Tenant and the Fair Market Rental Rate as so determined shall be credited against the next installments of Monthly Base Rent due from Tenant to Landlord hereunder.</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Any disagreement regarding the Fair Market Rental Rate shall be resolved as follows:</w:t>
      </w:r>
    </w:p>
    <w:p>
      <w:pPr>
        <w:spacing w:after="0" w:line="91" w:lineRule="exact"/>
        <w:rPr>
          <w:sz w:val="20"/>
          <w:szCs w:val="20"/>
          <w:color w:val="auto"/>
        </w:rPr>
      </w:pPr>
    </w:p>
    <w:p>
      <w:pPr>
        <w:ind w:left="220" w:right="239" w:firstLine="773"/>
        <w:spacing w:after="0" w:line="261" w:lineRule="auto"/>
        <w:tabs>
          <w:tab w:leader="none" w:pos="1158"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If within thirty (30) days of Tenant’s notice of disagreement with Landlord’s determination of Fair Market Rental Rate, Landlord and Tenant cannot reach agreement as to Fair Market Rental Rate, Landlord and Tenant shall each select one appraiser to determine the Fair Market Rental Rate. Each such appraiser shall arrive at a determination of the Fair Market Rental Rate and submit their conclusions to Landlord and Tenant within sixty (60) days of Tenant’s notice of disagreement of Landlord’s determination of the Fair Market Rental Rate.</w:t>
      </w:r>
    </w:p>
    <w:p>
      <w:pPr>
        <w:spacing w:after="0" w:line="55" w:lineRule="exact"/>
        <w:rPr>
          <w:rFonts w:ascii="Times New Roman" w:cs="Times New Roman" w:eastAsia="Times New Roman" w:hAnsi="Times New Roman"/>
          <w:sz w:val="14"/>
          <w:szCs w:val="14"/>
          <w:color w:val="auto"/>
        </w:rPr>
      </w:pPr>
    </w:p>
    <w:p>
      <w:pPr>
        <w:jc w:val="both"/>
        <w:ind w:left="220" w:right="279" w:firstLine="773"/>
        <w:spacing w:after="0" w:line="261" w:lineRule="auto"/>
        <w:tabs>
          <w:tab w:leader="none" w:pos="1196"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only one appraisal is submitted within the requisite time period, it shall be deemed as the Fair Market Rental Rate. If both appraisals are submitted within such time period and the two appraisals so submitted differ by less than ten percent (10%), the average of the two shall be deemed as the Fair Market Rental Rate. If the two appraisals differ by more than ten percent (10%), the appraisers shall immediately select a third appraiser who shall, within fifteen (15) days after his/her selection, determine which of the two appraisals most closely represents the Fair Market Rental Rate.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611" w:name="page612"/>
    <w:bookmarkEnd w:id="611"/>
    <w:p>
      <w:pPr>
        <w:ind w:left="220" w:right="279" w:firstLine="773"/>
        <w:spacing w:after="0" w:line="261" w:lineRule="auto"/>
        <w:tabs>
          <w:tab w:leader="none" w:pos="1235" w:val="left"/>
        </w:tabs>
        <w:numPr>
          <w:ilvl w:val="2"/>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All appraisers specified pursuant to this Paragraph shall be either members of the American Institute of Real Estate Appraisers or a licensed California Real Estate Broker with not less than ten (10) years’ experience appraising office properties in the immediate geographic area of the Building. Each party shall pay the cost of the appraiser selected by such party and one-half of the cost of the third appraiser. The “immediate geographic area of the Building” shall mean the city of Union City.</w:t>
      </w:r>
    </w:p>
    <w:p>
      <w:pPr>
        <w:spacing w:after="0" w:line="53" w:lineRule="exact"/>
        <w:rPr>
          <w:rFonts w:ascii="Times New Roman" w:cs="Times New Roman" w:eastAsia="Times New Roman" w:hAnsi="Times New Roman"/>
          <w:sz w:val="14"/>
          <w:szCs w:val="14"/>
          <w:color w:val="auto"/>
        </w:rPr>
      </w:pPr>
    </w:p>
    <w:p>
      <w:pPr>
        <w:ind w:left="220" w:right="279" w:firstLine="3"/>
        <w:spacing w:after="0" w:line="253" w:lineRule="auto"/>
        <w:tabs>
          <w:tab w:leader="none" w:pos="360"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Early Access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Landlord shall permit Tenant may enter the Premises on the date Landlord reasonably determines to be approximately ninety (90) days prior to the Commencement Date (the “</w:t>
      </w:r>
      <w:r>
        <w:rPr>
          <w:rFonts w:ascii="Times New Roman" w:cs="Times New Roman" w:eastAsia="Times New Roman" w:hAnsi="Times New Roman"/>
          <w:sz w:val="14"/>
          <w:szCs w:val="14"/>
          <w:b w:val="1"/>
          <w:bCs w:val="1"/>
          <w:color w:val="auto"/>
        </w:rPr>
        <w:t>Early Access Period</w:t>
      </w:r>
      <w:r>
        <w:rPr>
          <w:rFonts w:ascii="Times New Roman" w:cs="Times New Roman" w:eastAsia="Times New Roman" w:hAnsi="Times New Roman"/>
          <w:sz w:val="14"/>
          <w:szCs w:val="14"/>
          <w:color w:val="auto"/>
        </w:rPr>
        <w:t>”) for the sole purpose of inspecting the Premises and installing wiring, cabling, furniture, fixture, equipment (including IT infrastructure), tenant art, and acoustic treatments (“</w:t>
      </w:r>
      <w:r>
        <w:rPr>
          <w:rFonts w:ascii="Times New Roman" w:cs="Times New Roman" w:eastAsia="Times New Roman" w:hAnsi="Times New Roman"/>
          <w:sz w:val="14"/>
          <w:szCs w:val="14"/>
          <w:b w:val="1"/>
          <w:bCs w:val="1"/>
          <w:color w:val="auto"/>
        </w:rPr>
        <w:t>Early Entry</w:t>
      </w:r>
      <w:r>
        <w:rPr>
          <w:rFonts w:ascii="Times New Roman" w:cs="Times New Roman" w:eastAsia="Times New Roman" w:hAnsi="Times New Roman"/>
          <w:sz w:val="14"/>
          <w:szCs w:val="14"/>
          <w:color w:val="auto"/>
        </w:rPr>
        <w:t xml:space="preserve">”); provided that such Early Entry is conducted in a manner as to not interfere with Landlord’s Substantial Completion of the Tenant Improvements (as defined in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Work Letter</w:t>
      </w:r>
      <w:r>
        <w:rPr>
          <w:rFonts w:ascii="Times New Roman" w:cs="Times New Roman" w:eastAsia="Times New Roman" w:hAnsi="Times New Roman"/>
          <w:sz w:val="14"/>
          <w:szCs w:val="14"/>
          <w:color w:val="auto"/>
        </w:rPr>
        <w:t xml:space="preserve">”) or the Landlord Improvements (defined in </w:t>
      </w:r>
      <w:r>
        <w:rPr>
          <w:rFonts w:ascii="Times New Roman" w:cs="Times New Roman" w:eastAsia="Times New Roman" w:hAnsi="Times New Roman"/>
          <w:sz w:val="14"/>
          <w:szCs w:val="14"/>
          <w:u w:val="single" w:color="auto"/>
          <w:color w:val="auto"/>
        </w:rPr>
        <w:t>Paragraph 13(a)</w:t>
      </w:r>
      <w:r>
        <w:rPr>
          <w:rFonts w:ascii="Times New Roman" w:cs="Times New Roman" w:eastAsia="Times New Roman" w:hAnsi="Times New Roman"/>
          <w:sz w:val="14"/>
          <w:szCs w:val="14"/>
          <w:color w:val="auto"/>
        </w:rPr>
        <w:t xml:space="preserve"> below). If Tenant’s Early Entry interferes with Landlord’s Substantial Completion of the Tenant Improvements or the Landlord Improvements, it shall be a Tenant’s Delay and Landlord may terminate Tenant’s Early Entry. Such Early Entry shall at Tenant’s sole risk and subject to all of the terms and conditions contained in this Lease (other than the payment of Monthly Base Rent and Tenant’s Pro Rata Share of the Operating Expenses), including without limitation, Tenant’s prior delivery to Landlord of insurance certificates evidencing that Tenant has obtained the insurance required pursuant to this Lease. Tenant shall not conduct its business in the Premises at any time during the Early Access Period. In addition to the foregoing, Landlord shall have the right to impose such reasonable additional conditions on Tenant’s Early Entry as Landlord shall reasonably deem appropriate.</w:t>
      </w:r>
    </w:p>
    <w:p>
      <w:pPr>
        <w:spacing w:after="0" w:line="65" w:lineRule="exact"/>
        <w:rPr>
          <w:rFonts w:ascii="Times New Roman" w:cs="Times New Roman" w:eastAsia="Times New Roman" w:hAnsi="Times New Roman"/>
          <w:sz w:val="14"/>
          <w:szCs w:val="14"/>
          <w:color w:val="auto"/>
        </w:rPr>
      </w:pPr>
    </w:p>
    <w:p>
      <w:pPr>
        <w:ind w:left="360" w:hanging="137"/>
        <w:spacing w:after="0"/>
        <w:tabs>
          <w:tab w:leader="none" w:pos="360"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Monthly Base Rent</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59" w:firstLine="345"/>
        <w:spacing w:after="0" w:line="322" w:lineRule="auto"/>
        <w:tabs>
          <w:tab w:leader="none" w:pos="753" w:val="left"/>
        </w:tabs>
        <w:numPr>
          <w:ilvl w:val="1"/>
          <w:numId w:val="4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Commencement Date and continuing on the first day of each calendar month thereafter until the end of the Term, Tenant shall pay to Landlord in monthly installments in advance the Monthly Base Rent for the Premises in lawful money of the United States as follows:</w:t>
      </w:r>
    </w:p>
    <w:p>
      <w:pPr>
        <w:spacing w:after="0" w:line="119"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2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Months</w:t>
            </w:r>
          </w:p>
        </w:tc>
        <w:tc>
          <w:tcPr>
            <w:tcW w:w="22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8"/>
              </w:rPr>
              <w:t>Square Feet</w:t>
            </w:r>
          </w:p>
        </w:tc>
        <w:tc>
          <w:tcPr>
            <w:tcW w:w="1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/SF/Mo./NNN</w:t>
            </w:r>
          </w:p>
        </w:tc>
        <w:tc>
          <w:tcPr>
            <w:tcW w:w="9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Monthly Base Rent</w:t>
            </w:r>
          </w:p>
        </w:tc>
      </w:tr>
      <w:tr>
        <w:trPr>
          <w:trHeight w:val="149"/>
        </w:trPr>
        <w:tc>
          <w:tcPr>
            <w:tcW w:w="3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4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111,375.00</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9-12*</w:t>
            </w:r>
          </w:p>
        </w:tc>
        <w:tc>
          <w:tcPr>
            <w:tcW w:w="1640" w:type="dxa"/>
            <w:vAlign w:val="bottom"/>
          </w:tcPr>
          <w:p>
            <w:pPr>
              <w:spacing w:after="0"/>
              <w:rPr>
                <w:sz w:val="14"/>
                <w:szCs w:val="14"/>
                <w:color w:val="auto"/>
              </w:rPr>
            </w:pP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45,000</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4.95</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222,750.00</w:t>
            </w:r>
          </w:p>
        </w:tc>
      </w:tr>
      <w:tr>
        <w:trPr>
          <w:trHeight w:val="16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13-24</w:t>
            </w:r>
          </w:p>
        </w:tc>
        <w:tc>
          <w:tcPr>
            <w:tcW w:w="1640" w:type="dxa"/>
            <w:vAlign w:val="bottom"/>
            <w:shd w:val="clear" w:color="auto" w:fill="CCEEFF"/>
          </w:tcPr>
          <w:p>
            <w:pPr>
              <w:spacing w:after="0"/>
              <w:rPr>
                <w:sz w:val="14"/>
                <w:szCs w:val="14"/>
                <w:color w:val="auto"/>
              </w:rPr>
            </w:pPr>
          </w:p>
        </w:tc>
        <w:tc>
          <w:tcPr>
            <w:tcW w:w="2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460,933.68</w:t>
            </w:r>
          </w:p>
        </w:tc>
      </w:tr>
      <w:tr>
        <w:trPr>
          <w:trHeight w:val="16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25-36</w:t>
            </w:r>
          </w:p>
        </w:tc>
        <w:tc>
          <w:tcPr>
            <w:tcW w:w="1640" w:type="dxa"/>
            <w:vAlign w:val="bottom"/>
          </w:tcPr>
          <w:p>
            <w:pPr>
              <w:spacing w:after="0"/>
              <w:rPr>
                <w:sz w:val="14"/>
                <w:szCs w:val="14"/>
                <w:color w:val="auto"/>
              </w:rPr>
            </w:pP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477,066.36</w:t>
            </w:r>
          </w:p>
        </w:tc>
      </w:tr>
      <w:tr>
        <w:trPr>
          <w:trHeight w:val="16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37-48</w:t>
            </w:r>
          </w:p>
        </w:tc>
        <w:tc>
          <w:tcPr>
            <w:tcW w:w="1640" w:type="dxa"/>
            <w:vAlign w:val="bottom"/>
            <w:shd w:val="clear" w:color="auto" w:fill="CCEEFF"/>
          </w:tcPr>
          <w:p>
            <w:pPr>
              <w:spacing w:after="0"/>
              <w:rPr>
                <w:sz w:val="14"/>
                <w:szCs w:val="14"/>
                <w:color w:val="auto"/>
              </w:rPr>
            </w:pPr>
          </w:p>
        </w:tc>
        <w:tc>
          <w:tcPr>
            <w:tcW w:w="2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5.49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493,763.68</w:t>
            </w:r>
          </w:p>
        </w:tc>
      </w:tr>
      <w:tr>
        <w:trPr>
          <w:trHeight w:val="16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49-60</w:t>
            </w:r>
          </w:p>
        </w:tc>
        <w:tc>
          <w:tcPr>
            <w:tcW w:w="1640" w:type="dxa"/>
            <w:vAlign w:val="bottom"/>
          </w:tcPr>
          <w:p>
            <w:pPr>
              <w:spacing w:after="0"/>
              <w:rPr>
                <w:sz w:val="14"/>
                <w:szCs w:val="14"/>
                <w:color w:val="auto"/>
              </w:rPr>
            </w:pP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5.68</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511,045.41</w:t>
            </w:r>
          </w:p>
        </w:tc>
      </w:tr>
      <w:tr>
        <w:trPr>
          <w:trHeight w:val="16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61-72</w:t>
            </w:r>
          </w:p>
        </w:tc>
        <w:tc>
          <w:tcPr>
            <w:tcW w:w="1640" w:type="dxa"/>
            <w:vAlign w:val="bottom"/>
            <w:shd w:val="clear" w:color="auto" w:fill="CCEEFF"/>
          </w:tcPr>
          <w:p>
            <w:pPr>
              <w:spacing w:after="0"/>
              <w:rPr>
                <w:sz w:val="14"/>
                <w:szCs w:val="14"/>
                <w:color w:val="auto"/>
              </w:rPr>
            </w:pPr>
          </w:p>
        </w:tc>
        <w:tc>
          <w:tcPr>
            <w:tcW w:w="2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528,932.00</w:t>
            </w:r>
          </w:p>
        </w:tc>
      </w:tr>
      <w:tr>
        <w:trPr>
          <w:trHeight w:val="16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73-84</w:t>
            </w:r>
          </w:p>
        </w:tc>
        <w:tc>
          <w:tcPr>
            <w:tcW w:w="1640" w:type="dxa"/>
            <w:vAlign w:val="bottom"/>
          </w:tcPr>
          <w:p>
            <w:pPr>
              <w:spacing w:after="0"/>
              <w:rPr>
                <w:sz w:val="14"/>
                <w:szCs w:val="14"/>
                <w:color w:val="auto"/>
              </w:rPr>
            </w:pP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6.08</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547,444.62</w:t>
            </w:r>
          </w:p>
        </w:tc>
      </w:tr>
      <w:tr>
        <w:trPr>
          <w:trHeight w:val="16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85-96</w:t>
            </w:r>
          </w:p>
        </w:tc>
        <w:tc>
          <w:tcPr>
            <w:tcW w:w="1640" w:type="dxa"/>
            <w:vAlign w:val="bottom"/>
            <w:shd w:val="clear" w:color="auto" w:fill="CCEEFF"/>
          </w:tcPr>
          <w:p>
            <w:pPr>
              <w:spacing w:after="0"/>
              <w:rPr>
                <w:sz w:val="14"/>
                <w:szCs w:val="14"/>
                <w:color w:val="auto"/>
              </w:rPr>
            </w:pPr>
          </w:p>
        </w:tc>
        <w:tc>
          <w:tcPr>
            <w:tcW w:w="2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566,605.18</w:t>
            </w:r>
          </w:p>
        </w:tc>
      </w:tr>
      <w:tr>
        <w:trPr>
          <w:trHeight w:val="168"/>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97-108</w:t>
            </w: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6.52</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586,436.36</w:t>
            </w:r>
          </w:p>
        </w:tc>
      </w:tr>
      <w:tr>
        <w:trPr>
          <w:trHeight w:val="168"/>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109-120</w:t>
            </w:r>
          </w:p>
        </w:tc>
        <w:tc>
          <w:tcPr>
            <w:tcW w:w="2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606,961.63</w:t>
            </w:r>
          </w:p>
        </w:tc>
      </w:tr>
      <w:tr>
        <w:trPr>
          <w:trHeight w:val="183"/>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121-126</w:t>
            </w:r>
          </w:p>
        </w:tc>
        <w:tc>
          <w:tcPr>
            <w:tcW w:w="2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89,969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6.98</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628,205.29</w:t>
            </w:r>
          </w:p>
        </w:tc>
      </w:tr>
      <w:tr>
        <w:trPr>
          <w:trHeight w:val="269"/>
        </w:trPr>
        <w:tc>
          <w:tcPr>
            <w:tcW w:w="3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20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9019"/>
          </w:cols>
          <w:pgMar w:left="1440" w:top="242" w:right="1440" w:bottom="1440" w:gutter="0" w:footer="0" w:header="0"/>
        </w:sectPr>
      </w:pPr>
    </w:p>
    <w:bookmarkStart w:id="612" w:name="page613"/>
    <w:bookmarkEnd w:id="612"/>
    <w:p>
      <w:pPr>
        <w:ind w:left="220" w:right="279" w:firstLine="342"/>
        <w:spacing w:after="0" w:line="23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Subject to </w:t>
      </w:r>
      <w:r>
        <w:rPr>
          <w:rFonts w:ascii="Times New Roman" w:cs="Times New Roman" w:eastAsia="Times New Roman" w:hAnsi="Times New Roman"/>
          <w:sz w:val="14"/>
          <w:szCs w:val="14"/>
          <w:u w:val="single" w:color="auto"/>
          <w:color w:val="auto"/>
        </w:rPr>
        <w:t>Paragraph 22(d)</w:t>
      </w:r>
      <w:r>
        <w:rPr>
          <w:rFonts w:ascii="Times New Roman" w:cs="Times New Roman" w:eastAsia="Times New Roman" w:hAnsi="Times New Roman"/>
          <w:sz w:val="14"/>
          <w:szCs w:val="14"/>
          <w:color w:val="auto"/>
        </w:rPr>
        <w:t xml:space="preserve"> of this Lease, Landlord shall abate a portion of Tenant’s obligation to pay Monthly Base Rent with respect to the entire Premises for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4"/>
          <w:szCs w:val="14"/>
          <w:color w:val="auto"/>
        </w:rPr>
        <w:t>) month through and including the twelve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month following the Commencement Date in accordance with the schedule set forth above. During such reduced Monthly Base Rent period, Tenant shall still be responsible for the payment of all of its other monetary obligations under the Lease, relative to Tenant’s use and occupancy of the Premises, including Tenant’s Pro Rata Share of the Building and the Park as set forth in the Lease.</w:t>
      </w:r>
    </w:p>
    <w:p>
      <w:pPr>
        <w:spacing w:after="0" w:line="155" w:lineRule="exact"/>
        <w:rPr>
          <w:sz w:val="20"/>
          <w:szCs w:val="20"/>
          <w:color w:val="auto"/>
        </w:rPr>
      </w:pPr>
    </w:p>
    <w:p>
      <w:pPr>
        <w:ind w:left="220" w:right="279" w:firstLine="342"/>
        <w:spacing w:after="0" w:line="254" w:lineRule="auto"/>
        <w:rPr>
          <w:sz w:val="20"/>
          <w:szCs w:val="20"/>
          <w:color w:val="auto"/>
        </w:rPr>
      </w:pPr>
      <w:r>
        <w:rPr>
          <w:rFonts w:ascii="Times New Roman" w:cs="Times New Roman" w:eastAsia="Times New Roman" w:hAnsi="Times New Roman"/>
          <w:sz w:val="14"/>
          <w:szCs w:val="14"/>
          <w:color w:val="auto"/>
        </w:rPr>
        <w:t xml:space="preserve">Upon the execution and delivery of this Lease by Tenant, Tenant shall pay to Landlord (1) the cash sum of One Hundred Eleven Thousand Three Hundred Seventy-Five and 00/100 Dollars ($111,375.00) representing the installment of Monthly Base Rent due for the first month following the Commencement Date. If the Commencement Date falls on any date other than the first day of a calendar month, then the pre-paid rent shall be credited to the partial first calendar month of the term and partially to the following month’s rent. Thereafter, Monthly Base Rent shall be paid monthly in advance on the first day of each calendar month. Tenant shall also pay to Landlord upon execution and delivery of this Lease, the amount of Seventeen Thousand Seven Hundred Seventy-Nine and 00/100 Dollars ($17,779.00), which amount shall be applied to the Additional Rent (as hereinafter defined) for the first calendar month of the Term. Tenant shall also pay to Landlord upon the execution and delivery of this Lease the additional amount Two Million Dollars ($2,000,000.00) representing the Security Deposit (as defined in </w:t>
      </w:r>
      <w:r>
        <w:rPr>
          <w:rFonts w:ascii="Times New Roman" w:cs="Times New Roman" w:eastAsia="Times New Roman" w:hAnsi="Times New Roman"/>
          <w:sz w:val="14"/>
          <w:szCs w:val="14"/>
          <w:u w:val="single" w:color="auto"/>
          <w:color w:val="auto"/>
        </w:rPr>
        <w:t>Paragraph 7</w:t>
      </w:r>
      <w:r>
        <w:rPr>
          <w:rFonts w:ascii="Times New Roman" w:cs="Times New Roman" w:eastAsia="Times New Roman" w:hAnsi="Times New Roman"/>
          <w:sz w:val="14"/>
          <w:szCs w:val="14"/>
          <w:color w:val="auto"/>
        </w:rPr>
        <w:t xml:space="preserve"> below).</w:t>
      </w:r>
    </w:p>
    <w:p>
      <w:pPr>
        <w:spacing w:after="0" w:line="64" w:lineRule="exact"/>
        <w:rPr>
          <w:sz w:val="20"/>
          <w:szCs w:val="20"/>
          <w:color w:val="auto"/>
        </w:rPr>
      </w:pPr>
    </w:p>
    <w:p>
      <w:pPr>
        <w:ind w:left="360" w:hanging="137"/>
        <w:spacing w:after="0"/>
        <w:tabs>
          <w:tab w:leader="none" w:pos="360"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Rent; Operating Expenses and Taxes</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39" w:firstLine="345"/>
        <w:spacing w:after="0" w:line="254" w:lineRule="auto"/>
        <w:tabs>
          <w:tab w:leader="none" w:pos="753" w:val="left"/>
        </w:tabs>
        <w:numPr>
          <w:ilvl w:val="1"/>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Monthly Base Rent payable by Tenant pursuant to </w:t>
      </w:r>
      <w:r>
        <w:rPr>
          <w:rFonts w:ascii="Times New Roman" w:cs="Times New Roman" w:eastAsia="Times New Roman" w:hAnsi="Times New Roman"/>
          <w:sz w:val="14"/>
          <w:szCs w:val="14"/>
          <w:u w:val="single" w:color="auto"/>
          <w:color w:val="auto"/>
        </w:rPr>
        <w:t>Paragraph</w:t>
      </w:r>
      <w:r>
        <w:rPr>
          <w:rFonts w:ascii="Times New Roman" w:cs="Times New Roman" w:eastAsia="Times New Roman" w:hAnsi="Times New Roman"/>
          <w:sz w:val="14"/>
          <w:szCs w:val="14"/>
          <w:color w:val="auto"/>
        </w:rPr>
        <w:t xml:space="preserve"> 4, commencing on the Commencement Date Tenant shall pay to Landlord, as “</w:t>
      </w:r>
      <w:r>
        <w:rPr>
          <w:rFonts w:ascii="Times New Roman" w:cs="Times New Roman" w:eastAsia="Times New Roman" w:hAnsi="Times New Roman"/>
          <w:sz w:val="14"/>
          <w:szCs w:val="14"/>
          <w:b w:val="1"/>
          <w:bCs w:val="1"/>
          <w:color w:val="auto"/>
        </w:rPr>
        <w:t>Additional Rent</w:t>
      </w:r>
      <w:r>
        <w:rPr>
          <w:rFonts w:ascii="Times New Roman" w:cs="Times New Roman" w:eastAsia="Times New Roman" w:hAnsi="Times New Roman"/>
          <w:sz w:val="14"/>
          <w:szCs w:val="14"/>
          <w:color w:val="auto"/>
        </w:rPr>
        <w:t>,” (1) Tenant’s Pro Rata Share of the Operating Expenses of the Property, (2) Tenant’s pro rata share of the operating expenses for Union City Labs of which the Property is a part (the “</w:t>
      </w:r>
      <w:r>
        <w:rPr>
          <w:rFonts w:ascii="Times New Roman" w:cs="Times New Roman" w:eastAsia="Times New Roman" w:hAnsi="Times New Roman"/>
          <w:sz w:val="14"/>
          <w:szCs w:val="14"/>
          <w:b w:val="1"/>
          <w:bCs w:val="1"/>
          <w:color w:val="auto"/>
        </w:rPr>
        <w:t>Park Expenses</w:t>
      </w:r>
      <w:r>
        <w:rPr>
          <w:rFonts w:ascii="Times New Roman" w:cs="Times New Roman" w:eastAsia="Times New Roman" w:hAnsi="Times New Roman"/>
          <w:sz w:val="14"/>
          <w:szCs w:val="14"/>
          <w:color w:val="auto"/>
        </w:rPr>
        <w:t>”), and (3) Tenant’s Pro Rata Share of the Taxes (as defined in Paragraph 5(c) below). Tenant’s pro rata share of the operating expenses of Park Expenses is 27.83% based upon the ratio of the number of square feet of the Land allocable to the Property to the total number of square feet of land in Union City Labs. The Park Expenses, of which the Property is a part, currently include, but is not limited to, maintenance of the common areas of Union City Labs, parking lot lighting (cost of electricity and maintenance of the fixtures), maintenance of the network conduit, all landscape maintenance and irrigation of the Union City Labs, Landlord’s insurance coverages of Union City Labs, and security patrol. The Park Expenses may include other commercially reasonable and customary items from time to time during the term of this Lease. Monthly Base Rent and Additional Rent are referred to herein collectively as “rent.”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613" w:name="page614"/>
    <w:bookmarkEnd w:id="613"/>
    <w:p>
      <w:pPr>
        <w:ind w:left="220" w:right="319" w:firstLine="345"/>
        <w:spacing w:after="0" w:line="266" w:lineRule="auto"/>
        <w:tabs>
          <w:tab w:leader="none" w:pos="76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“Operating Expenses,” as used herein, shall include all costs incurred by Landlord in the ownership, management, operation, administration (including concierge services) maintenance, repair and replacement of the Property, including the cost of all maintenance, repairs, and restoration of the Property performed by Landlord pursuant to </w:t>
      </w:r>
      <w:r>
        <w:rPr>
          <w:rFonts w:ascii="Times New Roman" w:cs="Times New Roman" w:eastAsia="Times New Roman" w:hAnsi="Times New Roman"/>
          <w:sz w:val="14"/>
          <w:szCs w:val="14"/>
          <w:u w:val="single" w:color="auto"/>
          <w:color w:val="auto"/>
        </w:rPr>
        <w:t>Paragraphs 14(b)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14(c)</w:t>
      </w:r>
      <w:r>
        <w:rPr>
          <w:rFonts w:ascii="Times New Roman" w:cs="Times New Roman" w:eastAsia="Times New Roman" w:hAnsi="Times New Roman"/>
          <w:sz w:val="14"/>
          <w:szCs w:val="14"/>
          <w:color w:val="auto"/>
        </w:rPr>
        <w:t xml:space="preserve"> hereof, including, but not limited to:</w:t>
      </w:r>
    </w:p>
    <w:p>
      <w:pPr>
        <w:spacing w:after="0" w:line="136" w:lineRule="exact"/>
        <w:rPr>
          <w:sz w:val="20"/>
          <w:szCs w:val="20"/>
          <w:color w:val="auto"/>
        </w:rPr>
      </w:pPr>
    </w:p>
    <w:p>
      <w:pPr>
        <w:ind w:left="220" w:right="299" w:firstLine="342"/>
        <w:spacing w:after="0" w:line="251" w:lineRule="auto"/>
        <w:rPr>
          <w:sz w:val="20"/>
          <w:szCs w:val="20"/>
          <w:color w:val="auto"/>
        </w:rPr>
      </w:pPr>
      <w:r>
        <w:rPr>
          <w:rFonts w:ascii="Times New Roman" w:cs="Times New Roman" w:eastAsia="Times New Roman" w:hAnsi="Times New Roman"/>
          <w:sz w:val="14"/>
          <w:szCs w:val="14"/>
          <w:color w:val="auto"/>
        </w:rPr>
        <w:t>Personal property taxes related to the Premises; any parking taxes or parking levies imposed on the Premises in the future by any governmental agency; a management fee (including administration fees) charged for the management and operation of Union City Labs, in an amount equal to three percent (3%) of the total gross income received by Landlord from the Tenant (including Monthly Base Rent and Additional Rent)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not just Tenant’s Pro Rata Share of this fee; water and sewer charges; waste disposal; insurance premiums for insurance coverages maintained by Landlord pursuant to </w:t>
      </w:r>
      <w:r>
        <w:rPr>
          <w:rFonts w:ascii="Times New Roman" w:cs="Times New Roman" w:eastAsia="Times New Roman" w:hAnsi="Times New Roman"/>
          <w:sz w:val="14"/>
          <w:szCs w:val="14"/>
          <w:u w:val="single" w:color="auto"/>
          <w:color w:val="auto"/>
        </w:rPr>
        <w:t>Paragraph 11(b)</w:t>
      </w:r>
      <w:r>
        <w:rPr>
          <w:rFonts w:ascii="Times New Roman" w:cs="Times New Roman" w:eastAsia="Times New Roman" w:hAnsi="Times New Roman"/>
          <w:sz w:val="14"/>
          <w:szCs w:val="14"/>
          <w:color w:val="auto"/>
        </w:rPr>
        <w:t xml:space="preserve"> hereof; license, permit, and inspection fees; charges for electricity, heating, air conditioning, gas, and any other utilities (including, without limitation, any temporary or permanent utility surcharge or other exaction); security; maintenance, repair, and replacement of the roof membrane; painting and repairing, interior and exterior; maintenance and replacement of floor and window coverings; repair, maintenance, and replacement of air-conditioning, heating, mechanical and electrical systems, elevators, plumbing and sewage systems; janitorial service; landscaping, gardening, and tree trimming; glazing; repair, maintenance, cleaning, sweeping, striping, and resurfacing of the parking area; exterior Building lighting and parking lot lighting; supplies, materials, equipment and tools in the maintenance of the Property; costs for accounting services incurred in the calculation of Operating Expenses and Taxes; and the cost of any capital expenditures for any (a) new improvements or changes to the Building, Common Area, and Park which are (i) required by laws, ordinances, or other governmental regulations adopted or effective after the Commencement Date, (ii) for costs to construct or install any amenities for all tenants (including, without limitation, a café) or (iii) for any items or capital expenditures voluntarily made by Landlord which are intended to reduce Operating Expenses (including, without limitation, utility costs) or (iv) for life/safety reasons; and (b) capital repairs and replacements required to maintain the Property in good condition (collectively, the “</w:t>
      </w:r>
      <w:r>
        <w:rPr>
          <w:rFonts w:ascii="Times New Roman" w:cs="Times New Roman" w:eastAsia="Times New Roman" w:hAnsi="Times New Roman"/>
          <w:sz w:val="14"/>
          <w:szCs w:val="14"/>
          <w:b w:val="1"/>
          <w:bCs w:val="1"/>
          <w:color w:val="auto"/>
        </w:rPr>
        <w:t>Permitted Capital Costs</w:t>
      </w:r>
      <w:r>
        <w:rPr>
          <w:rFonts w:ascii="Times New Roman" w:cs="Times New Roman" w:eastAsia="Times New Roman" w:hAnsi="Times New Roman"/>
          <w:sz w:val="14"/>
          <w:szCs w:val="14"/>
          <w:color w:val="auto"/>
        </w:rPr>
        <w:t>”), provided, except for capital expenses required because of Tenant’s specific use of the Property, if Landlord is required to or voluntarily incurs any capital expenses, Landlord shall amortize such expenses over the useful life of the capital repairs, replacements or improvements as reasonably determined by Landlord (together with interest on the unamortized balance at the rate equal to the effective rate of interest on Landlord’s bank line of credit at the time of completion of said repairs, replacements or improvements) as an Operating Expense, except that with respect to item (a)(iii) of the Permitted Capital Costs made to save Operating Expenses such amortization shall not be at a rate greater than the actual savings in Operating Expenses. Operating Expenses shall also include any other expense or charge, whether or not described herein but which is not specifically excluded by other provisions of this Lease, which would be considered an expense of managing, operating, maintaining, and repairing the Property. Notwithstanding anything to the contrary, any earthquake insurance deductible in excess of One Hundred Thousand Dollars ($100,000) shall be amortized over the remainder of the Term.</w:t>
      </w:r>
    </w:p>
    <w:p>
      <w:pPr>
        <w:spacing w:after="0" w:line="73" w:lineRule="exact"/>
        <w:rPr>
          <w:sz w:val="20"/>
          <w:szCs w:val="20"/>
          <w:color w:val="auto"/>
        </w:rPr>
      </w:pPr>
    </w:p>
    <w:p>
      <w:pPr>
        <w:ind w:left="220" w:right="279" w:firstLine="345"/>
        <w:spacing w:after="0" w:line="282" w:lineRule="auto"/>
        <w:tabs>
          <w:tab w:leader="none" w:pos="753"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taxes and assessments upon the Property, during each lease year or partial lease year during the term of this Lease are referred to herein as “</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614" w:name="page615"/>
    <w:bookmarkEnd w:id="61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 used herein, Taxes shall mean:</w:t>
      </w:r>
    </w:p>
    <w:p>
      <w:pPr>
        <w:spacing w:after="0" w:line="91" w:lineRule="exact"/>
        <w:rPr>
          <w:sz w:val="20"/>
          <w:szCs w:val="20"/>
          <w:color w:val="auto"/>
        </w:rPr>
      </w:pPr>
    </w:p>
    <w:p>
      <w:pPr>
        <w:ind w:left="220" w:right="299" w:firstLine="773"/>
        <w:spacing w:after="0" w:line="261" w:lineRule="auto"/>
        <w:tabs>
          <w:tab w:leader="none" w:pos="1189"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real estate taxes, assessments, charges and any other taxes which are levied or assessed against the Property including the Land, the Building, and all improvements located thereon, including any increase in Taxes resulting from a reassessment following any transfer of ownership of the Property or any interest therein or following any improvements to the Property or improvements to Union City Labs which are for the benefit of all occupants of Union City Labs; and</w:t>
      </w:r>
    </w:p>
    <w:p>
      <w:pPr>
        <w:spacing w:after="0" w:line="55" w:lineRule="exact"/>
        <w:rPr>
          <w:rFonts w:ascii="Times New Roman" w:cs="Times New Roman" w:eastAsia="Times New Roman" w:hAnsi="Times New Roman"/>
          <w:sz w:val="14"/>
          <w:szCs w:val="14"/>
          <w:color w:val="auto"/>
        </w:rPr>
      </w:pPr>
    </w:p>
    <w:p>
      <w:pPr>
        <w:ind w:left="220" w:right="319" w:firstLine="773"/>
        <w:spacing w:after="0" w:line="255" w:lineRule="auto"/>
        <w:tabs>
          <w:tab w:leader="none" w:pos="1189"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 district or division thereof, for public improvements, services, or benefits which are assessed, levied, confirmed, imposed, or become a lien (1) upon the Property, and/or any legal or equitable interest of Landlord in any part thereof; or (2) upon this transaction or any document to which Tenant is a party creating or transferring any interest in the Property; and (3) any tax or excise, however described, imposed in addition to, or in substitution partially or totally of, any tax previously included within the definition of Taxes or any tax the nature of which was previously included in the definition Taxes.</w:t>
      </w:r>
    </w:p>
    <w:p>
      <w:pPr>
        <w:spacing w:after="0" w:line="146" w:lineRule="exact"/>
        <w:rPr>
          <w:sz w:val="20"/>
          <w:szCs w:val="20"/>
          <w:color w:val="auto"/>
        </w:rPr>
      </w:pPr>
    </w:p>
    <w:p>
      <w:pPr>
        <w:jc w:val="both"/>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Not included within the definition of Taxes are any net income, profits, transfer, franchise, estate, gift, rental income, inheritance taxes imposed by any governmental authority, or any taxes paid by Tenant under Paragraph 10 below. Taxes also shall not include penalties or interest charges assessed on delinquent Taxes as a result of Landlord’s failure to pay Taxes when due.</w:t>
      </w:r>
    </w:p>
    <w:p>
      <w:pPr>
        <w:spacing w:after="0" w:line="136" w:lineRule="exact"/>
        <w:rPr>
          <w:sz w:val="20"/>
          <w:szCs w:val="20"/>
          <w:color w:val="auto"/>
        </w:rPr>
      </w:pPr>
    </w:p>
    <w:p>
      <w:pPr>
        <w:jc w:val="both"/>
        <w:ind w:left="220" w:right="619" w:firstLine="342"/>
        <w:spacing w:after="0" w:line="266" w:lineRule="auto"/>
        <w:rPr>
          <w:sz w:val="20"/>
          <w:szCs w:val="20"/>
          <w:color w:val="auto"/>
        </w:rPr>
      </w:pPr>
      <w:r>
        <w:rPr>
          <w:rFonts w:ascii="Times New Roman" w:cs="Times New Roman" w:eastAsia="Times New Roman" w:hAnsi="Times New Roman"/>
          <w:sz w:val="14"/>
          <w:szCs w:val="14"/>
          <w:color w:val="auto"/>
        </w:rPr>
        <w:t>With respect to any assessments which may be levied against or upon the Property, which under the laws then in force may be evidenced by improvement or other bonds, or may be paid in annual installments, only the amount of such annual installment (with appropriate proration of any partial year) and statutory interest shall be included within the computation of the annual Taxes levied against the Property.</w:t>
      </w:r>
    </w:p>
    <w:p>
      <w:pPr>
        <w:spacing w:after="0" w:line="50" w:lineRule="exact"/>
        <w:rPr>
          <w:sz w:val="20"/>
          <w:szCs w:val="20"/>
          <w:color w:val="auto"/>
        </w:rPr>
      </w:pPr>
    </w:p>
    <w:p>
      <w:pPr>
        <w:ind w:left="760" w:hanging="195"/>
        <w:spacing w:after="0"/>
        <w:tabs>
          <w:tab w:leader="none" w:pos="760"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costs (“</w:t>
      </w: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14"/>
          <w:szCs w:val="14"/>
          <w:color w:val="auto"/>
        </w:rPr>
        <w:t>”) shall be excluded from the definition of Operating Expenses:</w:t>
      </w:r>
    </w:p>
    <w:p>
      <w:pPr>
        <w:spacing w:after="0" w:line="92"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for which Landlord receives reimbursement from others, including reimbursement from insurance;</w:t>
      </w:r>
    </w:p>
    <w:p>
      <w:pPr>
        <w:spacing w:after="0" w:line="90"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charges and fees incurred on debt or payments on any deed of trust or ground lease on the Property or Union City Labs;</w:t>
      </w:r>
    </w:p>
    <w:p>
      <w:pPr>
        <w:spacing w:after="0" w:line="90" w:lineRule="exact"/>
        <w:rPr>
          <w:rFonts w:ascii="Times New Roman" w:cs="Times New Roman" w:eastAsia="Times New Roman" w:hAnsi="Times New Roman"/>
          <w:sz w:val="14"/>
          <w:szCs w:val="14"/>
          <w:color w:val="auto"/>
        </w:rPr>
      </w:pPr>
    </w:p>
    <w:p>
      <w:pPr>
        <w:ind w:left="220" w:right="239" w:firstLine="773"/>
        <w:spacing w:after="0" w:line="282" w:lineRule="auto"/>
        <w:tabs>
          <w:tab w:leader="none" w:pos="1189"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Costs incurred in repairing, maintaining or replacing any structural elements of the Building for which Landlord is responsible pursuant to </w:t>
      </w:r>
      <w:r>
        <w:rPr>
          <w:rFonts w:ascii="Times New Roman" w:cs="Times New Roman" w:eastAsia="Times New Roman" w:hAnsi="Times New Roman"/>
          <w:sz w:val="14"/>
          <w:szCs w:val="14"/>
          <w:u w:val="single" w:color="auto"/>
          <w:color w:val="auto"/>
        </w:rPr>
        <w:t>Paragraph 14(a)</w:t>
      </w:r>
      <w:r>
        <w:rPr>
          <w:rFonts w:ascii="Times New Roman" w:cs="Times New Roman" w:eastAsia="Times New Roman" w:hAnsi="Times New Roman"/>
          <w:sz w:val="14"/>
          <w:szCs w:val="14"/>
          <w:color w:val="auto"/>
        </w:rPr>
        <w:t xml:space="preserve"> hereof and for any other buildings in the Property;</w:t>
      </w:r>
    </w:p>
    <w:p>
      <w:pPr>
        <w:spacing w:after="0" w:line="41" w:lineRule="exact"/>
        <w:rPr>
          <w:rFonts w:ascii="Times New Roman" w:cs="Times New Roman" w:eastAsia="Times New Roman" w:hAnsi="Times New Roman"/>
          <w:sz w:val="14"/>
          <w:szCs w:val="14"/>
          <w:color w:val="auto"/>
        </w:rPr>
      </w:pPr>
    </w:p>
    <w:p>
      <w:pPr>
        <w:ind w:left="220" w:right="279" w:firstLine="773"/>
        <w:spacing w:after="0" w:line="261" w:lineRule="auto"/>
        <w:tabs>
          <w:tab w:leader="none" w:pos="1189"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wages, bonuses or other compensation of employees above the grade of building manager and any executive salary of any officer or employee of Landlord and any employees performing services not in connection with the management, operation, repair or maintenance of the Property or Union City Labs, or any fee, profit or compensation retained by Landlord or its affiliates for management and administration of the Property in excess of the management fee referred to in </w:t>
      </w:r>
      <w:r>
        <w:rPr>
          <w:rFonts w:ascii="Times New Roman" w:cs="Times New Roman" w:eastAsia="Times New Roman" w:hAnsi="Times New Roman"/>
          <w:sz w:val="14"/>
          <w:szCs w:val="14"/>
          <w:u w:val="single" w:color="auto"/>
          <w:color w:val="auto"/>
        </w:rPr>
        <w:t>Paragraph 5(b)</w:t>
      </w:r>
      <w:r>
        <w:rPr>
          <w:rFonts w:ascii="Times New Roman" w:cs="Times New Roman" w:eastAsia="Times New Roman" w:hAnsi="Times New Roman"/>
          <w:sz w:val="14"/>
          <w:szCs w:val="14"/>
          <w:color w:val="auto"/>
        </w:rPr>
        <w:t xml:space="preserve"> of this Lease;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615" w:name="page616"/>
    <w:bookmarkEnd w:id="615"/>
    <w:p>
      <w:pPr>
        <w:ind w:left="1200" w:hanging="207"/>
        <w:spacing w:after="0"/>
        <w:tabs>
          <w:tab w:leader="none" w:pos="12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General office overhead and general and administrative expenses of Landlord except as specifically provided herein;</w:t>
      </w:r>
    </w:p>
    <w:p>
      <w:pPr>
        <w:spacing w:after="0" w:line="90" w:lineRule="exact"/>
        <w:rPr>
          <w:rFonts w:ascii="Times New Roman" w:cs="Times New Roman" w:eastAsia="Times New Roman" w:hAnsi="Times New Roman"/>
          <w:sz w:val="14"/>
          <w:szCs w:val="14"/>
          <w:color w:val="auto"/>
        </w:rPr>
      </w:pPr>
    </w:p>
    <w:p>
      <w:pPr>
        <w:ind w:left="220" w:right="339" w:firstLine="773"/>
        <w:spacing w:after="0" w:line="282" w:lineRule="auto"/>
        <w:tabs>
          <w:tab w:leader="none" w:pos="118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Leasing expenses, legal fees, advertising costs, tenant improvement costs and broker commissions payable by Landlord in connection with the leasing of space to tenants of the Property;</w:t>
      </w:r>
    </w:p>
    <w:p>
      <w:pPr>
        <w:spacing w:after="0" w:line="41"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expenses which would be capitalized under generally accepted accounting principles, except for Permitted Capital Costs;</w:t>
      </w:r>
    </w:p>
    <w:p>
      <w:pPr>
        <w:spacing w:after="0" w:line="90"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special services, goods, or material provided to any other tenant of the Property and not provided to Tenant;</w:t>
      </w:r>
    </w:p>
    <w:p>
      <w:pPr>
        <w:spacing w:after="0" w:line="90" w:lineRule="exact"/>
        <w:rPr>
          <w:rFonts w:ascii="Times New Roman" w:cs="Times New Roman" w:eastAsia="Times New Roman" w:hAnsi="Times New Roman"/>
          <w:sz w:val="14"/>
          <w:szCs w:val="14"/>
          <w:color w:val="auto"/>
        </w:rPr>
      </w:pPr>
    </w:p>
    <w:p>
      <w:pPr>
        <w:ind w:left="220" w:right="679" w:firstLine="773"/>
        <w:spacing w:after="0" w:line="282" w:lineRule="auto"/>
        <w:tabs>
          <w:tab w:leader="none" w:pos="118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Repairs for which Landlord is reimbursed by proceeds of insurance or from funds provided by Tenant or any other tenant of the Property (or where any other tenant of the Property is obligated to make such repairs or pay the cost of same);</w:t>
      </w:r>
    </w:p>
    <w:p>
      <w:pPr>
        <w:spacing w:after="0" w:line="41" w:lineRule="exact"/>
        <w:rPr>
          <w:rFonts w:ascii="Times New Roman" w:cs="Times New Roman" w:eastAsia="Times New Roman" w:hAnsi="Times New Roman"/>
          <w:sz w:val="14"/>
          <w:szCs w:val="14"/>
          <w:color w:val="auto"/>
        </w:rPr>
      </w:pPr>
    </w:p>
    <w:p>
      <w:pPr>
        <w:ind w:left="220" w:right="359" w:firstLine="773"/>
        <w:spacing w:after="0" w:line="282" w:lineRule="auto"/>
        <w:tabs>
          <w:tab w:leader="none" w:pos="125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Repairs, alterations, additions, improvements, or replacements needed to rectify or correct any defects in the Building or Property or common areas existing on the Commencement Date;</w:t>
      </w:r>
    </w:p>
    <w:p>
      <w:pPr>
        <w:spacing w:after="0" w:line="41" w:lineRule="exact"/>
        <w:rPr>
          <w:rFonts w:ascii="Times New Roman" w:cs="Times New Roman" w:eastAsia="Times New Roman" w:hAnsi="Times New Roman"/>
          <w:sz w:val="14"/>
          <w:szCs w:val="14"/>
          <w:color w:val="auto"/>
        </w:rPr>
      </w:pPr>
    </w:p>
    <w:p>
      <w:pPr>
        <w:ind w:left="1260" w:hanging="267"/>
        <w:spacing w:after="0"/>
        <w:tabs>
          <w:tab w:leader="none" w:pos="126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or repairs necessitated by the negligence or willful misconduct of Landlord, Landlord’s employees, contractors, or agents;</w:t>
      </w:r>
    </w:p>
    <w:p>
      <w:pPr>
        <w:spacing w:after="0" w:line="90" w:lineRule="exact"/>
        <w:rPr>
          <w:rFonts w:ascii="Times New Roman" w:cs="Times New Roman" w:eastAsia="Times New Roman" w:hAnsi="Times New Roman"/>
          <w:sz w:val="14"/>
          <w:szCs w:val="14"/>
          <w:color w:val="auto"/>
        </w:rPr>
      </w:pPr>
    </w:p>
    <w:p>
      <w:pPr>
        <w:jc w:val="both"/>
        <w:ind w:left="220" w:right="239" w:firstLine="773"/>
        <w:spacing w:after="0" w:line="322" w:lineRule="auto"/>
        <w:tabs>
          <w:tab w:leader="none" w:pos="1259" w:val="left"/>
        </w:tabs>
        <w:numPr>
          <w:ilvl w:val="0"/>
          <w:numId w:val="4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fees, accountants’ fees, and other expenses incurred in connection with disputes of tenants or other occupants of the Property or associated with the enforcement of the terms of any leases with tenants or the defense of Landlord’s title to or interest in the Property or any part thereof;</w:t>
      </w:r>
    </w:p>
    <w:p>
      <w:pPr>
        <w:spacing w:after="0" w:line="18" w:lineRule="exact"/>
        <w:rPr>
          <w:rFonts w:ascii="Times New Roman" w:cs="Times New Roman" w:eastAsia="Times New Roman" w:hAnsi="Times New Roman"/>
          <w:sz w:val="13"/>
          <w:szCs w:val="13"/>
          <w:color w:val="auto"/>
        </w:rPr>
      </w:pPr>
    </w:p>
    <w:p>
      <w:pPr>
        <w:ind w:left="1260" w:hanging="267"/>
        <w:spacing w:after="0"/>
        <w:tabs>
          <w:tab w:leader="none" w:pos="126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incurred due to a violation by Landlord or any other tenant of the Property of the terms and conditions of a lease;</w:t>
      </w:r>
    </w:p>
    <w:p>
      <w:pPr>
        <w:spacing w:after="0" w:line="90" w:lineRule="exact"/>
        <w:rPr>
          <w:rFonts w:ascii="Times New Roman" w:cs="Times New Roman" w:eastAsia="Times New Roman" w:hAnsi="Times New Roman"/>
          <w:sz w:val="14"/>
          <w:szCs w:val="14"/>
          <w:color w:val="auto"/>
        </w:rPr>
      </w:pPr>
    </w:p>
    <w:p>
      <w:pPr>
        <w:ind w:left="220" w:right="339" w:firstLine="773"/>
        <w:spacing w:after="0" w:line="282" w:lineRule="auto"/>
        <w:tabs>
          <w:tab w:leader="none" w:pos="125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any renovation, improvement, painting or redecorating of any portion of the Property or the Union City Labs not part of the Common Area or made available for Tenant’s use and/or benefit;</w:t>
      </w:r>
    </w:p>
    <w:p>
      <w:pPr>
        <w:spacing w:after="0" w:line="41" w:lineRule="exact"/>
        <w:rPr>
          <w:rFonts w:ascii="Times New Roman" w:cs="Times New Roman" w:eastAsia="Times New Roman" w:hAnsi="Times New Roman"/>
          <w:sz w:val="14"/>
          <w:szCs w:val="14"/>
          <w:color w:val="auto"/>
        </w:rPr>
      </w:pPr>
    </w:p>
    <w:p>
      <w:pPr>
        <w:ind w:left="220" w:right="499" w:firstLine="773"/>
        <w:spacing w:after="0" w:line="282" w:lineRule="auto"/>
        <w:tabs>
          <w:tab w:leader="none" w:pos="125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in connection with the presence of any Hazardous Materials on the Property or on other property in the Union City Labs that do not arise from or are not related to the intentional or negligent act or omission of Tenant or Tenant’s representatives;</w:t>
      </w:r>
    </w:p>
    <w:p>
      <w:pPr>
        <w:spacing w:after="0" w:line="41" w:lineRule="exact"/>
        <w:rPr>
          <w:rFonts w:ascii="Times New Roman" w:cs="Times New Roman" w:eastAsia="Times New Roman" w:hAnsi="Times New Roman"/>
          <w:sz w:val="14"/>
          <w:szCs w:val="14"/>
          <w:color w:val="auto"/>
        </w:rPr>
      </w:pPr>
    </w:p>
    <w:p>
      <w:pPr>
        <w:ind w:left="1260" w:hanging="267"/>
        <w:spacing w:after="0"/>
        <w:tabs>
          <w:tab w:leader="none" w:pos="126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reserves;</w:t>
      </w:r>
    </w:p>
    <w:p>
      <w:pPr>
        <w:spacing w:after="0" w:line="90" w:lineRule="exact"/>
        <w:rPr>
          <w:rFonts w:ascii="Times New Roman" w:cs="Times New Roman" w:eastAsia="Times New Roman" w:hAnsi="Times New Roman"/>
          <w:sz w:val="14"/>
          <w:szCs w:val="14"/>
          <w:color w:val="auto"/>
        </w:rPr>
      </w:pPr>
    </w:p>
    <w:p>
      <w:pPr>
        <w:ind w:left="220" w:right="279" w:firstLine="773"/>
        <w:spacing w:after="0" w:line="266" w:lineRule="auto"/>
        <w:tabs>
          <w:tab w:leader="none" w:pos="125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expenses relating solely to another building or to the interior portions of any other building or other structures except the Building (excluding, however, such costs and expenses relating to interior portions of such other building or structures that are used as Common Areas);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616" w:name="page617"/>
    <w:bookmarkEnd w:id="616"/>
    <w:p>
      <w:pPr>
        <w:ind w:left="1260" w:hanging="267"/>
        <w:spacing w:after="0"/>
        <w:tabs>
          <w:tab w:leader="none" w:pos="1260"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Repairs or maintenance of areas of the Union City Labs leasable exclusively to other tenants;</w:t>
      </w:r>
    </w:p>
    <w:p>
      <w:pPr>
        <w:spacing w:after="0" w:line="90" w:lineRule="exact"/>
        <w:rPr>
          <w:rFonts w:ascii="Times New Roman" w:cs="Times New Roman" w:eastAsia="Times New Roman" w:hAnsi="Times New Roman"/>
          <w:sz w:val="14"/>
          <w:szCs w:val="14"/>
          <w:color w:val="auto"/>
        </w:rPr>
      </w:pPr>
    </w:p>
    <w:p>
      <w:pPr>
        <w:ind w:left="220" w:right="679" w:firstLine="773"/>
        <w:spacing w:after="0" w:line="282" w:lineRule="auto"/>
        <w:tabs>
          <w:tab w:leader="none" w:pos="1259"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Costs associated with any Green Energy Programs (as defined below) except to the extent considered a Permitted Capital Cost pursuant to </w:t>
      </w:r>
      <w:r>
        <w:rPr>
          <w:rFonts w:ascii="Times New Roman" w:cs="Times New Roman" w:eastAsia="Times New Roman" w:hAnsi="Times New Roman"/>
          <w:sz w:val="14"/>
          <w:szCs w:val="14"/>
          <w:u w:val="single" w:color="auto"/>
          <w:color w:val="auto"/>
        </w:rPr>
        <w:t>Paragraph 5(b)</w:t>
      </w:r>
      <w:r>
        <w:rPr>
          <w:rFonts w:ascii="Times New Roman" w:cs="Times New Roman" w:eastAsia="Times New Roman" w:hAnsi="Times New Roman"/>
          <w:sz w:val="14"/>
          <w:szCs w:val="14"/>
          <w:color w:val="auto"/>
        </w:rPr>
        <w:t xml:space="preserve"> above; and</w:t>
      </w:r>
    </w:p>
    <w:p>
      <w:pPr>
        <w:spacing w:after="0" w:line="41" w:lineRule="exact"/>
        <w:rPr>
          <w:rFonts w:ascii="Times New Roman" w:cs="Times New Roman" w:eastAsia="Times New Roman" w:hAnsi="Times New Roman"/>
          <w:sz w:val="14"/>
          <w:szCs w:val="14"/>
          <w:color w:val="auto"/>
        </w:rPr>
      </w:pPr>
    </w:p>
    <w:p>
      <w:pPr>
        <w:ind w:left="220" w:right="319" w:firstLine="773"/>
        <w:spacing w:after="0" w:line="266" w:lineRule="auto"/>
        <w:tabs>
          <w:tab w:leader="none" w:pos="1259"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costs incurred to make any alterations or improvements to the Property necessary for any certification as “green” or sustainable, or other similar certifications, and any costs for such certification except the extent resulting in a reduction in Operating Expenses or Park Expenses or considered a Permitted Capital Cost pursuant to </w:t>
      </w:r>
      <w:r>
        <w:rPr>
          <w:rFonts w:ascii="Times New Roman" w:cs="Times New Roman" w:eastAsia="Times New Roman" w:hAnsi="Times New Roman"/>
          <w:sz w:val="14"/>
          <w:szCs w:val="14"/>
          <w:u w:val="single" w:color="auto"/>
          <w:color w:val="auto"/>
        </w:rPr>
        <w:t>Paragraph 5(b)</w:t>
      </w:r>
      <w:r>
        <w:rPr>
          <w:rFonts w:ascii="Times New Roman" w:cs="Times New Roman" w:eastAsia="Times New Roman" w:hAnsi="Times New Roman"/>
          <w:sz w:val="14"/>
          <w:szCs w:val="14"/>
          <w:color w:val="auto"/>
        </w:rPr>
        <w:t xml:space="preserve"> above.</w:t>
      </w:r>
    </w:p>
    <w:p>
      <w:pPr>
        <w:spacing w:after="0" w:line="136"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Landlord shall at all times use its best efforts to operate the Property in an economically reasonable manner at costs not disproportionately higher than those experienced by other comparable premises in the market area in which the Property is located.</w:t>
      </w:r>
    </w:p>
    <w:p>
      <w:pPr>
        <w:spacing w:after="0" w:line="41" w:lineRule="exact"/>
        <w:rPr>
          <w:sz w:val="20"/>
          <w:szCs w:val="20"/>
          <w:color w:val="auto"/>
        </w:rPr>
      </w:pPr>
    </w:p>
    <w:p>
      <w:pPr>
        <w:ind w:left="220" w:right="239" w:firstLine="345"/>
        <w:spacing w:after="0" w:line="237" w:lineRule="auto"/>
        <w:tabs>
          <w:tab w:leader="none" w:pos="753"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execution of this Lease, Landlord has delivered to Tenant Landlord’s estimate of 2022 Operating Expenses, Taxes and Park Expenses. Throughout the term of this Lease, as close as reasonably possible after the end of each calendar year thereafter but no later than April 1 of the following year, Landlord shall notify Tenant of the Operating Expenses, Taxes and Park Expenses estimated by Landlord for each following calendar year. Concurrently with such notice, Landlord shall provide a description of such Operating Expenses, Taxes and Park Expenses. Commencing on the Commencement Date, and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4"/>
          <w:szCs w:val="14"/>
          <w:color w:val="auto"/>
        </w:rPr>
        <w:t>) day of each calendar month thereafter, Tenant shall pay to Landlord, as Additional Rent, one-twelfth (1/12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of the estimated Operating Expenses, Taxes and Park Expenses; provided, that the pre-paid Additional Rent (see </w:t>
      </w:r>
      <w:r>
        <w:rPr>
          <w:rFonts w:ascii="Times New Roman" w:cs="Times New Roman" w:eastAsia="Times New Roman" w:hAnsi="Times New Roman"/>
          <w:sz w:val="14"/>
          <w:szCs w:val="14"/>
          <w:u w:val="single" w:color="auto"/>
          <w:color w:val="auto"/>
        </w:rPr>
        <w:t>Paragraph 4</w:t>
      </w:r>
      <w:r>
        <w:rPr>
          <w:rFonts w:ascii="Times New Roman" w:cs="Times New Roman" w:eastAsia="Times New Roman" w:hAnsi="Times New Roman"/>
          <w:sz w:val="14"/>
          <w:szCs w:val="14"/>
          <w:color w:val="auto"/>
        </w:rPr>
        <w:t>) shall be credited toward the payment due on the Commencement Date, and if the Commencement Date falls on any date other than the first day of a calendar month, then the pre-paid Additional Rent shall be credited to the partial first calendar month of the term and partially to the following month’s Additional Rent payment. If at any time during any such calendar year, it appears to Landlord that the Operating Expenses, Taxes and Park Expenses for such year will vary from Landlord’s estimate, Landlord may, by written notice to Tenant, revise Landlord’s estimate for such year and the Additional Rent payments by Tenant for such year shall thereafter be based upon such revised estimate. Landlord shall furnish to Tenant with such revised estimate written verification showing that the actual Operating Expenses, Taxes and Park Expenses are greater than or equal to Landlord’s estimate. The increase in the monthly installments of Additional Rent resulting from Landlord’s revised estimate shall not be retroactive, but the Additional Rent for each calendar year shall be subject to adjustment between Landlord and Tenant after the close of the calendar year, as provided below.</w:t>
      </w:r>
    </w:p>
    <w:p>
      <w:pPr>
        <w:spacing w:after="0" w:line="156" w:lineRule="exact"/>
        <w:rPr>
          <w:sz w:val="20"/>
          <w:szCs w:val="20"/>
          <w:color w:val="auto"/>
        </w:rPr>
      </w:pPr>
    </w:p>
    <w:p>
      <w:pPr>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t>Within approximately one hundred twenty (120) days after the expiration of each calendar year of the term, Landlord shall furnish Tenant a statement certified by a responsible employee or agent of Landlord (the “</w:t>
      </w:r>
      <w:r>
        <w:rPr>
          <w:rFonts w:ascii="Times New Roman" w:cs="Times New Roman" w:eastAsia="Times New Roman" w:hAnsi="Times New Roman"/>
          <w:sz w:val="14"/>
          <w:szCs w:val="14"/>
          <w:b w:val="1"/>
          <w:bCs w:val="1"/>
          <w:color w:val="auto"/>
        </w:rPr>
        <w:t>Operating Statement</w:t>
      </w:r>
      <w:r>
        <w:rPr>
          <w:rFonts w:ascii="Times New Roman" w:cs="Times New Roman" w:eastAsia="Times New Roman" w:hAnsi="Times New Roman"/>
          <w:sz w:val="14"/>
          <w:szCs w:val="14"/>
          <w:color w:val="auto"/>
        </w:rPr>
        <w:t>”) with respect to such year, prepared by an employee or agent of Landlord, showing the actual Operating Expenses, Taxes and Park Expenses for such year broken down by component expenses, and the total payments made by Tenant for such year on the basis of any previous estimate of such Operating Expenses, Taxes and Park</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617" w:name="page618"/>
    <w:bookmarkEnd w:id="617"/>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Expenses, all in sufficient detail for verification by Tenant. Unless Tenant raises any objections to the Operating Statement within ninety (90) days after receipt of the same, such statement shall conclusively be deemed correct and Tenant shall have no right thereafter to dispute such statement or any item therein or the computation of Operating Expenses and/or Taxes and/or Park Expenses. Upon giving Landlord five (5) days advance written notice, Tenant’s certified public accountant shall have the right to inspect and audit Landlord’s books and records with respect to the Operating Statement in an office of Landlord, or Landlord’s agent, during normal business hours, once each calendar year to verify actual Operating Expenses and Taxes. Tenant’s accountant or accounting firm shall be one of national standing and retained on an hourly rate basis or based upon a fixed fee and shall not be paid on a contingency basis. Landlord’s books and records shall be kept in accord with generally accepted accounting principles. If Tenant’s audit of the Operating Expenses, Taxes and Park Expenses for any year reveals a net overcharge of more than five percent (5%), Landlord shall promptly reimburse Tenant for the cost of the audit; otherwise, Tenant shall bear the cost of Tenant’s audit. If Tenant reasonably objects to Landlord’s Operating Statement, Tenant shall nonetheless continue to pay on a monthly basis the Operating Expenses, Taxes and Operating Expenses based upon the Landlord’s most current estimate until such dispute is resolved.</w:t>
      </w:r>
    </w:p>
    <w:p>
      <w:pPr>
        <w:spacing w:after="0" w:line="148" w:lineRule="exact"/>
        <w:rPr>
          <w:sz w:val="20"/>
          <w:szCs w:val="20"/>
          <w:color w:val="auto"/>
        </w:rPr>
      </w:pPr>
    </w:p>
    <w:p>
      <w:pPr>
        <w:ind w:left="220" w:right="399" w:firstLine="342"/>
        <w:spacing w:after="0" w:line="281" w:lineRule="auto"/>
        <w:rPr>
          <w:sz w:val="20"/>
          <w:szCs w:val="20"/>
          <w:color w:val="auto"/>
        </w:rPr>
      </w:pPr>
      <w:r>
        <w:rPr>
          <w:rFonts w:ascii="Times New Roman" w:cs="Times New Roman" w:eastAsia="Times New Roman" w:hAnsi="Times New Roman"/>
          <w:sz w:val="13"/>
          <w:szCs w:val="13"/>
          <w:color w:val="auto"/>
        </w:rPr>
        <w:t>If Tenant’s Pro Rata Share of the Operating Expenses and Taxes and Tenant’s pro rata share of Park Expenses for any year as finally determined exceed the total payments made by Tenant for such year based on Landlord’s estimates, Tenant shall pay to Landlord the deficiency, within thirty</w:t>
      </w:r>
    </w:p>
    <w:p>
      <w:pPr>
        <w:ind w:left="220" w:right="299" w:firstLine="3"/>
        <w:spacing w:after="0" w:line="252" w:lineRule="auto"/>
        <w:tabs>
          <w:tab w:leader="none" w:pos="488"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receipt of Landlord’s Operating Statement. If the total payments made by Tenant based on Landlord’s estimate of the Operating Expenses and/or Taxes and/or Park Expenses exceed the Tenant’s Pro Rata Share of Operating Expenses and/or Taxes and/or Tenant’s pro rata share of Park Expenses, Tenant’s extra payment, plus the cost of an audit which is the responsibility of Landlord as set forth herein, if any, shall be credited against payments of Monthly Base Rent and Additional Rent next due hereunder or returned within thirty (30) days if the term has expired or this Lease has been terminated.</w:t>
      </w:r>
    </w:p>
    <w:p>
      <w:pPr>
        <w:spacing w:after="0" w:line="147"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Notwithstanding the expiration or termination of this Lease, within thirty (30) days after Tenant’s receipt of Landlord’s Operating Statement or the completion of Tenant’s audit regarding the Operating Expenses and/or Taxes and/or Park Expenses for the calendar year in which this Lease terminates, Tenant shall pay to Landlord or shall receive from Landlord, as the case may be, an amount equal to the difference between the Operating Expenses and/or Taxes and/or Park Expenses, as finally determined, and the amount previously paid by Tenant on account thereof (prorated to the expiration date or the termination date of this Lease).</w:t>
      </w:r>
    </w:p>
    <w:p>
      <w:pPr>
        <w:spacing w:after="0" w:line="58" w:lineRule="exact"/>
        <w:rPr>
          <w:sz w:val="20"/>
          <w:szCs w:val="20"/>
          <w:color w:val="auto"/>
        </w:rPr>
      </w:pPr>
    </w:p>
    <w:p>
      <w:pPr>
        <w:ind w:left="360" w:hanging="137"/>
        <w:spacing w:after="0"/>
        <w:tabs>
          <w:tab w:leader="none" w:pos="36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Rent</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39" w:firstLine="345"/>
        <w:spacing w:after="0" w:line="256" w:lineRule="auto"/>
        <w:tabs>
          <w:tab w:leader="none" w:pos="753"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rent shall be due and payable in lawful money of the United States of America at the address of Landlord set forth below Landlord’s signature without deduction or offset and without prior demand or notice, unless otherwise specified herein. Monthly Base Rent and Additional Rent shall be payable monthly, in advance, on the first day of each month. Additional Rent shall be payable monthly, in advance, on the first day of each month for the entire Premises for the entire term of his Lease. Tenant’s obligation to pay rent for any partial month at the commencement of the term, for any partial month immediately prior to a rental adjustment date (if the rental adjustment date is other than the first day of the calendar month), and for any partial month at the expiration or termination of the term shall be based upon the number of days in such month.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618" w:name="page619"/>
    <w:bookmarkEnd w:id="618"/>
    <w:p>
      <w:pPr>
        <w:ind w:left="220" w:right="379" w:firstLine="345"/>
        <w:spacing w:after="0" w:line="275" w:lineRule="auto"/>
        <w:tabs>
          <w:tab w:leader="none" w:pos="760" w:val="left"/>
        </w:tabs>
        <w:numPr>
          <w:ilvl w:val="1"/>
          <w:numId w:val="4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any installment of Monthly Base Rent, Additional Rent or any other sum due from Tenant is not received by Landlord within five (5) days after the same is due, Tenant shall pay to Landlord an additional sum equal to five percent (5%) of the amount overdue as a late charge. The parties agree that this late charge represents a fair and reasonable estimate of the costs that Landlord will incur by reason of the late payment by Tenant. Acceptance of any late charge shall not constitute a waiver of Tenant’s default with respect to the overdue amount. Any amount not paid within ten</w:t>
      </w:r>
    </w:p>
    <w:p>
      <w:pPr>
        <w:spacing w:after="0" w:line="1" w:lineRule="exact"/>
        <w:rPr>
          <w:rFonts w:ascii="Times New Roman" w:cs="Times New Roman" w:eastAsia="Times New Roman" w:hAnsi="Times New Roman"/>
          <w:sz w:val="13"/>
          <w:szCs w:val="13"/>
          <w:color w:val="auto"/>
        </w:rPr>
      </w:pPr>
    </w:p>
    <w:p>
      <w:pPr>
        <w:jc w:val="both"/>
        <w:ind w:left="220" w:right="239" w:firstLine="3"/>
        <w:spacing w:after="0" w:line="255" w:lineRule="auto"/>
        <w:tabs>
          <w:tab w:leader="none" w:pos="488"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Tenant’s receipt of written notice that such amount is due shall bear interest from the date due until paid at the lesser rate of (1) the prime rate of interest as published in the “Wall Street Journal,” plus two percent (2%) or (2) the maximum rate allowed by law (the “Interest Rate”), in addition to the late payment charge.</w:t>
      </w:r>
    </w:p>
    <w:p>
      <w:pPr>
        <w:spacing w:after="0" w:line="165" w:lineRule="exact"/>
        <w:rPr>
          <w:sz w:val="20"/>
          <w:szCs w:val="20"/>
          <w:color w:val="auto"/>
        </w:rPr>
      </w:pPr>
    </w:p>
    <w:p>
      <w:pPr>
        <w:ind w:left="220"/>
        <w:spacing w:after="0"/>
        <w:tabs>
          <w:tab w:leader="none" w:pos="820" w:val="left"/>
          <w:tab w:leader="none" w:pos="2000" w:val="left"/>
        </w:tabs>
        <w:rPr>
          <w:sz w:val="20"/>
          <w:szCs w:val="20"/>
          <w:color w:val="auto"/>
        </w:rPr>
      </w:pPr>
      <w:r>
        <w:rPr>
          <w:rFonts w:ascii="Times New Roman" w:cs="Times New Roman" w:eastAsia="Times New Roman" w:hAnsi="Times New Roman"/>
          <w:sz w:val="14"/>
          <w:szCs w:val="14"/>
          <w:color w:val="auto"/>
        </w:rPr>
        <w:t>Initials:</w:t>
        <w:tab/>
        <w:t>Landlord _____</w:t>
      </w:r>
      <w:r>
        <w:rPr>
          <w:sz w:val="20"/>
          <w:szCs w:val="20"/>
          <w:color w:val="auto"/>
        </w:rPr>
        <w:tab/>
      </w:r>
      <w:r>
        <w:rPr>
          <w:rFonts w:ascii="Times New Roman" w:cs="Times New Roman" w:eastAsia="Times New Roman" w:hAnsi="Times New Roman"/>
          <w:sz w:val="14"/>
          <w:szCs w:val="14"/>
          <w:color w:val="auto"/>
        </w:rPr>
        <w:t>Tenant __OA___</w:t>
      </w:r>
    </w:p>
    <w:p>
      <w:pPr>
        <w:spacing w:after="0" w:line="91" w:lineRule="exact"/>
        <w:rPr>
          <w:sz w:val="20"/>
          <w:szCs w:val="20"/>
          <w:color w:val="auto"/>
        </w:rPr>
      </w:pPr>
    </w:p>
    <w:p>
      <w:pPr>
        <w:ind w:left="360" w:hanging="137"/>
        <w:spacing w:after="0"/>
        <w:tabs>
          <w:tab w:leader="none" w:pos="36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 Deposit</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20" w:right="239" w:firstLine="345"/>
        <w:spacing w:after="0" w:line="252" w:lineRule="auto"/>
        <w:tabs>
          <w:tab w:leader="none" w:pos="753" w:val="left"/>
        </w:tabs>
        <w:numPr>
          <w:ilvl w:val="1"/>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deposit with Landlord upon execution hereof the sum of Two Million Dollars ($2,000,000.00) (the “</w:t>
      </w:r>
      <w:r>
        <w:rPr>
          <w:rFonts w:ascii="Times New Roman" w:cs="Times New Roman" w:eastAsia="Times New Roman" w:hAnsi="Times New Roman"/>
          <w:sz w:val="14"/>
          <w:szCs w:val="14"/>
          <w:b w:val="1"/>
          <w:bCs w:val="1"/>
          <w:color w:val="auto"/>
        </w:rPr>
        <w:t>Security Deposit</w:t>
      </w:r>
      <w:r>
        <w:rPr>
          <w:rFonts w:ascii="Times New Roman" w:cs="Times New Roman" w:eastAsia="Times New Roman" w:hAnsi="Times New Roman"/>
          <w:sz w:val="14"/>
          <w:szCs w:val="14"/>
          <w:color w:val="auto"/>
        </w:rPr>
        <w:t xml:space="preserve">”), as security for Tenant’s faithful performance of Tenant’s obligations under this Lease. If Tenant fails to pay Monthly Base Rent or Additional Rent or charges due hereunder within applicable notice and cure periods, or otherwise defaults under this Lease (as defined in </w:t>
      </w:r>
      <w:r>
        <w:rPr>
          <w:rFonts w:ascii="Times New Roman" w:cs="Times New Roman" w:eastAsia="Times New Roman" w:hAnsi="Times New Roman"/>
          <w:sz w:val="14"/>
          <w:szCs w:val="14"/>
          <w:u w:val="single" w:color="auto"/>
          <w:color w:val="auto"/>
        </w:rPr>
        <w:t>Paragraph 22</w:t>
      </w:r>
      <w:r>
        <w:rPr>
          <w:rFonts w:ascii="Times New Roman" w:cs="Times New Roman" w:eastAsia="Times New Roman" w:hAnsi="Times New Roman"/>
          <w:sz w:val="14"/>
          <w:szCs w:val="14"/>
          <w:color w:val="auto"/>
        </w:rPr>
        <w:t>), Landlord may use, apply or retain all or any portion of said Security Deposit to the extent reasonably necessary to cure the default, for the payment of any amount due Landlord, and to reimburse or compensate Landlord for any liability, cost, expense, loss or damage (including reasonable attorneys’ fees) which Landlord may suffer or incur by reason thereof. If Landlord uses or applies all or any portion of the Security Deposit, Tenant shall within ten (10) days after written request therefor deposit with Landlord the amount sufficient to restore the Security Deposit to the original amount required by this Lease. Landlord shall not be required to keep all or any part of the Security Deposit separate from its general accounts. In no event or circumstance shall Tenant have the right to any use of the Security Deposit and, specifically, Tenant may not use the Security Deposit as a credit or to otherwise offset any payments required hereunder, including, but not limited to, rent or any portion thereof. Tenant waives (i) California Civil Code Section 1950.7 and any and all other laws, rules and regulations applicable to security deposits in the commercial context (“</w:t>
      </w:r>
      <w:r>
        <w:rPr>
          <w:rFonts w:ascii="Times New Roman" w:cs="Times New Roman" w:eastAsia="Times New Roman" w:hAnsi="Times New Roman"/>
          <w:sz w:val="14"/>
          <w:szCs w:val="14"/>
          <w:b w:val="1"/>
          <w:bCs w:val="1"/>
          <w:color w:val="auto"/>
        </w:rPr>
        <w:t>Security Deposit Laws</w:t>
      </w:r>
      <w:r>
        <w:rPr>
          <w:rFonts w:ascii="Times New Roman" w:cs="Times New Roman" w:eastAsia="Times New Roman" w:hAnsi="Times New Roman"/>
          <w:sz w:val="14"/>
          <w:szCs w:val="14"/>
          <w:color w:val="auto"/>
        </w:rPr>
        <w:t>”), and (ii) any and all rights, duties and obligations either party may now has,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 No part of the Security Deposit shall be considered to be held in trust, to bear interest or other increment for its use, or to be prepayment for any moneys to be paid by Tenant under this Lease.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619" w:name="page620"/>
    <w:bookmarkEnd w:id="619"/>
    <w:p>
      <w:pPr>
        <w:ind w:left="220" w:right="239" w:firstLine="345"/>
        <w:spacing w:after="0" w:line="232" w:lineRule="auto"/>
        <w:tabs>
          <w:tab w:leader="none" w:pos="760" w:val="left"/>
        </w:tabs>
        <w:numPr>
          <w:ilvl w:val="1"/>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Subject to the remaining terms of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and provided that (i) Tenant has not been in default of this Lease beyond the applicable notice and cure period and (ii) no amount of Security Deposit has previously been applied to cure any default of Tenant under this Lease (the conditions set forth in (i) and (ii) being referred to as the “</w:t>
      </w: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then (y) upon the expiration of the thirty-sixth (36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month of the Term, the then-current Security Deposit shall be reduced such that the Security Deposit shall be equal to One Million Five Hundred Thousand and 00/100 Dollars ($1,500,000.00) and (z) upon the expiration of the forty-eighth (48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month of the Term, the then-current Security Deposit shall be reduced such that the Security Deposit shall be equal to Seven Hundred Fifty Thousand and 00/100 Dollars ($750,000.00). If Tenant is entitled to a reduction in the Security Deposit, Tenant shall provide Landlord with written notice requesting that the Security Deposit be reduced as provided above (the “</w:t>
      </w:r>
      <w:r>
        <w:rPr>
          <w:rFonts w:ascii="Times New Roman" w:cs="Times New Roman" w:eastAsia="Times New Roman" w:hAnsi="Times New Roman"/>
          <w:sz w:val="14"/>
          <w:szCs w:val="14"/>
          <w:b w:val="1"/>
          <w:bCs w:val="1"/>
          <w:color w:val="auto"/>
        </w:rPr>
        <w:t>Security Reduction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If Tenant provides Landlord with a Security Reduction Notice, and Tenant is entitled to reduce the Security Deposit as provided herein,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shall refund the applicable portion of the Security Deposit to Tenant within thirty (30) days after the later to occur of the date upon which Tenant is entitled to a reduction in the Security Deposit as provided above or Landlord’s receipt of the Security Reduction Notice.</w:t>
      </w:r>
    </w:p>
    <w:p>
      <w:pPr>
        <w:spacing w:after="0" w:line="73" w:lineRule="exact"/>
        <w:rPr>
          <w:rFonts w:ascii="Times New Roman" w:cs="Times New Roman" w:eastAsia="Times New Roman" w:hAnsi="Times New Roman"/>
          <w:sz w:val="14"/>
          <w:szCs w:val="14"/>
          <w:color w:val="auto"/>
        </w:rPr>
      </w:pPr>
    </w:p>
    <w:p>
      <w:pPr>
        <w:ind w:left="220" w:right="399" w:firstLine="345"/>
        <w:spacing w:after="0" w:line="258" w:lineRule="auto"/>
        <w:tabs>
          <w:tab w:leader="none" w:pos="753" w:val="left"/>
        </w:tabs>
        <w:numPr>
          <w:ilvl w:val="1"/>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the Conditions and the Financial Condition (as hereinafter defined) are satisfied, upon written request of Tenant given at any time after the satisfaction of the Financial Condition, the then-current Security Deposit shall be reduced such that the new Security Deposit amount will be equal to Seven Hundred Fifty Thousand and 00/100 Dollars ($750,000.00). The “</w:t>
      </w:r>
      <w:r>
        <w:rPr>
          <w:rFonts w:ascii="Times New Roman" w:cs="Times New Roman" w:eastAsia="Times New Roman" w:hAnsi="Times New Roman"/>
          <w:sz w:val="14"/>
          <w:szCs w:val="14"/>
          <w:b w:val="1"/>
          <w:bCs w:val="1"/>
          <w:color w:val="auto"/>
        </w:rPr>
        <w:t>Financial Condition</w:t>
      </w:r>
      <w:r>
        <w:rPr>
          <w:rFonts w:ascii="Times New Roman" w:cs="Times New Roman" w:eastAsia="Times New Roman" w:hAnsi="Times New Roman"/>
          <w:sz w:val="14"/>
          <w:szCs w:val="14"/>
          <w:color w:val="auto"/>
        </w:rPr>
        <w:t>” shall mean that Tenant is traded on a public exchange and has maintained a market capitalization in excess of One Billion Dollars for a period of one (1) quarter (i.e. three (3) months) prior to the date Tenant requests a reduction in the Security Deposit and as of the effective date of any such reduction.</w:t>
      </w:r>
    </w:p>
    <w:p>
      <w:pPr>
        <w:spacing w:after="0" w:line="58" w:lineRule="exact"/>
        <w:rPr>
          <w:rFonts w:ascii="Times New Roman" w:cs="Times New Roman" w:eastAsia="Times New Roman" w:hAnsi="Times New Roman"/>
          <w:sz w:val="14"/>
          <w:szCs w:val="14"/>
          <w:color w:val="auto"/>
        </w:rPr>
      </w:pPr>
    </w:p>
    <w:p>
      <w:pPr>
        <w:ind w:left="220" w:right="299" w:firstLine="3"/>
        <w:spacing w:after="0" w:line="256" w:lineRule="auto"/>
        <w:tabs>
          <w:tab w:leader="none" w:pos="360"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w:t>
      </w:r>
      <w:r>
        <w:rPr>
          <w:rFonts w:ascii="Times New Roman" w:cs="Times New Roman" w:eastAsia="Times New Roman" w:hAnsi="Times New Roman"/>
          <w:sz w:val="14"/>
          <w:szCs w:val="14"/>
          <w:color w:val="auto"/>
        </w:rPr>
        <w:t xml:space="preserve">. Tenant may only use and occupy the Premises for office, laboratory (including but not limited to CLIA laboratories), research and development, manufacture and development of pharmaceutical and biotechnology products and ancillary administrative uses directly related thereto to the extent permitted by applicable zoning ordinances, the covenants, conditions, and restrictions for Union City Labs and which are approved by Landlord in writing, and for no other use or purpose without Landlord’s prior written consent; provided, that the use of the Premises for the manufacture of integrated circuits is expressly prohibited. Any use of the Premises by Tenant or by any sublessee or assignee approved by Landlord pursuant to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xml:space="preserve"> shall comply with the provisions of this </w:t>
      </w:r>
      <w:r>
        <w:rPr>
          <w:rFonts w:ascii="Times New Roman" w:cs="Times New Roman" w:eastAsia="Times New Roman" w:hAnsi="Times New Roman"/>
          <w:sz w:val="14"/>
          <w:szCs w:val="14"/>
          <w:u w:val="single" w:color="auto"/>
          <w:color w:val="auto"/>
        </w:rPr>
        <w:t>Paragraph 8</w:t>
      </w:r>
      <w:r>
        <w:rPr>
          <w:rFonts w:ascii="Times New Roman" w:cs="Times New Roman" w:eastAsia="Times New Roman" w:hAnsi="Times New Roman"/>
          <w:sz w:val="14"/>
          <w:szCs w:val="14"/>
          <w:color w:val="auto"/>
        </w:rPr>
        <w:t>.</w:t>
      </w:r>
    </w:p>
    <w:p>
      <w:pPr>
        <w:spacing w:after="0" w:line="60" w:lineRule="exact"/>
        <w:rPr>
          <w:rFonts w:ascii="Times New Roman" w:cs="Times New Roman" w:eastAsia="Times New Roman" w:hAnsi="Times New Roman"/>
          <w:sz w:val="14"/>
          <w:szCs w:val="14"/>
          <w:color w:val="auto"/>
        </w:rPr>
      </w:pPr>
    </w:p>
    <w:p>
      <w:pPr>
        <w:ind w:left="360" w:hanging="137"/>
        <w:spacing w:after="0"/>
        <w:tabs>
          <w:tab w:leader="none" w:pos="360"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20" w:right="319" w:firstLine="345"/>
        <w:spacing w:after="0" w:line="259" w:lineRule="auto"/>
        <w:tabs>
          <w:tab w:leader="none" w:pos="753"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as used in this Lease shall include any substance defined or regulated as radioactive, flammable, toxic, a biohazard, medical waste, “hazardous material”, “extremely hazardous material”, “hazardous waste”, “hazardous substance,” “toxic substance,” “industrial process waste,” or “special waste” in any Environmental Laws as hereafter defined. Hazardous Materials shall include, but not be limited to, petroleum, gasoline, natural gas, natural gas liquids, liquefied natural gas, synthetic gas, and/or crude oil or any products, by-products or fractions thereof.</w:t>
      </w:r>
    </w:p>
    <w:p>
      <w:pPr>
        <w:spacing w:after="0" w:line="56" w:lineRule="exact"/>
        <w:rPr>
          <w:rFonts w:ascii="Times New Roman" w:cs="Times New Roman" w:eastAsia="Times New Roman" w:hAnsi="Times New Roman"/>
          <w:sz w:val="14"/>
          <w:szCs w:val="14"/>
          <w:color w:val="auto"/>
        </w:rPr>
      </w:pPr>
    </w:p>
    <w:p>
      <w:pPr>
        <w:ind w:left="220" w:right="259" w:firstLine="345"/>
        <w:spacing w:after="0" w:line="261" w:lineRule="auto"/>
        <w:tabs>
          <w:tab w:leader="none" w:pos="760"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not engage in any activity in or on the Premises or the Property without the express prior written consent of Landlord, as provided below and timely compliance (at Tenant’s expense) with all Environmental Laws. “</w:t>
      </w:r>
      <w:r>
        <w:rPr>
          <w:rFonts w:ascii="Times New Roman" w:cs="Times New Roman" w:eastAsia="Times New Roman" w:hAnsi="Times New Roman"/>
          <w:sz w:val="14"/>
          <w:szCs w:val="14"/>
          <w:b w:val="1"/>
          <w:bCs w:val="1"/>
          <w:color w:val="auto"/>
        </w:rPr>
        <w:t>Reportable Use</w:t>
      </w:r>
      <w:r>
        <w:rPr>
          <w:rFonts w:ascii="Times New Roman" w:cs="Times New Roman" w:eastAsia="Times New Roman" w:hAnsi="Times New Roman"/>
          <w:sz w:val="14"/>
          <w:szCs w:val="14"/>
          <w:color w:val="auto"/>
        </w:rPr>
        <w:t>” shall mean (i) the installation or use of any above or below ground storage tank, (ii) the generation, possession, storage, use, transportation, or disposal of Hazardous Materials that require a permit from, or with respect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620" w:name="page621"/>
    <w:bookmarkEnd w:id="620"/>
    <w:p>
      <w:pPr>
        <w:ind w:left="220" w:right="2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which a report, notice, registration or business plan is required to be filed with, any governmental authority, and/or (iii) the presence at the Premises or the Property of Hazardous Materials with respect to which any Environmental Law requires that a notice be given to persons entering or occupying the Premises, or the Property, or neighboring properties. Notwithstanding the foregoing, Tenant may use the Hazardous Materials on the Premises that are listed on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attached hereto and incorporated by reference herein, and any ordinary and customary office supplies and cleaning materials so long as such use is in compliance with all Environmental Laws, and does not expose the Premises, or the Property, or neighboring property to any unusual or atypical risk of contamination or damage or expose Landlord to any liability therefor. If Tenant’s use of Hazardous Materials changes during the Term of this Lease, Tenant shall complete, execute, and deliver to Landlord, a Hazardous Materials Disclosure Certificate (“</w:t>
      </w:r>
      <w:r>
        <w:rPr>
          <w:rFonts w:ascii="Times New Roman" w:cs="Times New Roman" w:eastAsia="Times New Roman" w:hAnsi="Times New Roman"/>
          <w:sz w:val="14"/>
          <w:szCs w:val="14"/>
          <w:b w:val="1"/>
          <w:bCs w:val="1"/>
          <w:color w:val="auto"/>
        </w:rPr>
        <w:t>HazMat Certificate</w:t>
      </w:r>
      <w:r>
        <w:rPr>
          <w:rFonts w:ascii="Times New Roman" w:cs="Times New Roman" w:eastAsia="Times New Roman" w:hAnsi="Times New Roman"/>
          <w:sz w:val="14"/>
          <w:szCs w:val="14"/>
          <w:color w:val="auto"/>
        </w:rPr>
        <w:t xml:space="preserve">”), a copy of which is attached as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 xml:space="preserve">, attached hereto and incorporated by reference herein, describing Tenant’s present use of the Hazardous Materials on the Premises, and any other reasonably necessary documents as requested by Landlord. The HazMat Certificate required hereunder shall be in substantially the form as that which is attached hereto as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 Landlord’s consent may be withheld in Landlord’s sole and absolute discretion with respect to any changes to the types and/or quantities of Hazardous Materials specified in the most recent HazMat Certificate; provided, however, Landlord’s consent shall not be unreasonably withheld with respect to any types and/or quantities of Hazardous Materials as adjusted on a square footage basis that Landlord has approved for use by any other tenant in Union City Labs or has been approved for use by tenants engaged in clinical laboratory uses in other similarly situated development projects in the Bay Area with respect to such proposed types of Hazardous Materials in the same quantity proposed by Tenant (adjusted on a square footage basis) provided that Tenant complies with any requirements satisfied by such other tenants in connection with such use and any requirements under Environmental Laws. In addition, Landlord may condition its consent to any Reportable Use upon receiving such additional assurances as Landlord reasonably deems necessary to protect itself, the public, the Premises and the Property, and/or the environment against damage, contamination, injury and/or liability, including, but not limited to, the installation (and removal on or before Lease expiration or termination) of any protective modifications installed by Tenant (such as concrete encasements).</w:t>
      </w:r>
    </w:p>
    <w:p>
      <w:pPr>
        <w:spacing w:after="0" w:line="60" w:lineRule="exact"/>
        <w:rPr>
          <w:sz w:val="20"/>
          <w:szCs w:val="20"/>
          <w:color w:val="auto"/>
        </w:rPr>
      </w:pPr>
    </w:p>
    <w:p>
      <w:pPr>
        <w:ind w:left="220" w:right="279" w:firstLine="345"/>
        <w:spacing w:after="0" w:line="253" w:lineRule="auto"/>
        <w:tabs>
          <w:tab w:leader="none" w:pos="753"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California Health and Safety Code §§25100 et seq., §§25300 et seq., Sections 25281(f) and 25501 of the California Health and Safety Code, Section 13050 of the Water Code, the Federal Comprehensive Environmental Response, Compensation and Liability Act, as amended, 42 U.S.C. §§9601 et seq. (“</w:t>
      </w:r>
      <w:r>
        <w:rPr>
          <w:rFonts w:ascii="Times New Roman" w:cs="Times New Roman" w:eastAsia="Times New Roman" w:hAnsi="Times New Roman"/>
          <w:sz w:val="14"/>
          <w:szCs w:val="14"/>
          <w:b w:val="1"/>
          <w:bCs w:val="1"/>
          <w:color w:val="auto"/>
        </w:rPr>
        <w:t>CERCLA</w:t>
      </w:r>
      <w:r>
        <w:rPr>
          <w:rFonts w:ascii="Times New Roman" w:cs="Times New Roman" w:eastAsia="Times New Roman" w:hAnsi="Times New Roman"/>
          <w:sz w:val="14"/>
          <w:szCs w:val="14"/>
          <w:color w:val="auto"/>
        </w:rPr>
        <w:t>”), the Superfund Amendments and Reauthorization Act, 42 U.S.C. §§9601 et seq., the Federal Toxic Substances Control Act, 15 U.S.C. §§2601 et seq., the Federal Resource Conservation and Recovery Act as amended, 42 U.S.C. §§6901 et seq., the Federal Hazardous Material Transportation Act, 49 U.S.C. §§1801 et seq., the Federal Clean Air Act, 42 U.S.C. §7401 et seq., the Federal Water Pollution Control Act, 33 U.S.C. §1251 et seq., the River and Harbors Act of 1899, 33 U.S.C. §§401 et seq., and all rules and regulations of the EPA, the California Environmental Protection Agency, or any other state or federal department, board or any other agency or governmental board or entity having jurisdiction over the environment, as any of the foregoing have been, or are hereafter amended.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621" w:name="page622"/>
    <w:bookmarkEnd w:id="621"/>
    <w:p>
      <w:pPr>
        <w:jc w:val="both"/>
        <w:ind w:left="220" w:right="359" w:firstLine="345"/>
        <w:spacing w:after="0" w:line="261" w:lineRule="auto"/>
        <w:tabs>
          <w:tab w:leader="none" w:pos="760"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Tenant knows, or has reasonable cause to believe, that Hazardous Materials have come to be located in, on, under or about the Premises or the Property that constitutes a Reportable Use, other than as previously consented to by Landlord, Tenant shall immediately give written notice of such fact to Landlord and provide Landlord with a copy of any report, notice, claim or other documentation which it has concerning the presence of such Hazardous Materials.</w:t>
      </w:r>
    </w:p>
    <w:p>
      <w:pPr>
        <w:spacing w:after="0" w:line="55" w:lineRule="exact"/>
        <w:rPr>
          <w:rFonts w:ascii="Times New Roman" w:cs="Times New Roman" w:eastAsia="Times New Roman" w:hAnsi="Times New Roman"/>
          <w:sz w:val="14"/>
          <w:szCs w:val="14"/>
          <w:color w:val="auto"/>
        </w:rPr>
      </w:pPr>
    </w:p>
    <w:p>
      <w:pPr>
        <w:ind w:left="220" w:right="279" w:firstLine="345"/>
        <w:spacing w:after="0" w:line="255" w:lineRule="auto"/>
        <w:tabs>
          <w:tab w:leader="none" w:pos="753"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and Tenant’s agents, employees, and contractors shall not cause any Hazardous Materials to be discharged or released into the Building or into the plumbing or sewage system of the Building or into or onto the Land underlying or adjacent to the Building in violation of any Environmental Laws. Tenant shall promptly, at Tenant’s expense, take all investigatory and/or remedial action reasonably recommended, whether or not formally ordered or required, for the cleanup of any contamination in violation of Environmental Laws or the terms of this Lease caused by Tenant or caused by any of Tenant’s employees, agents, or contractors, and for the maintenance, security and/or monitoring of the Premises, the Property, or neighboring properties if such contamination is caused by a release or emission of any Hazardous Materials by Tenant or by any of Tenant’s employees, agents, or contractors.</w:t>
      </w:r>
    </w:p>
    <w:p>
      <w:pPr>
        <w:spacing w:after="0" w:line="61" w:lineRule="exact"/>
        <w:rPr>
          <w:rFonts w:ascii="Times New Roman" w:cs="Times New Roman" w:eastAsia="Times New Roman" w:hAnsi="Times New Roman"/>
          <w:sz w:val="14"/>
          <w:szCs w:val="14"/>
          <w:color w:val="auto"/>
        </w:rPr>
      </w:pPr>
    </w:p>
    <w:p>
      <w:pPr>
        <w:ind w:left="220" w:right="239" w:firstLine="345"/>
        <w:spacing w:after="0" w:line="253" w:lineRule="auto"/>
        <w:tabs>
          <w:tab w:leader="none" w:pos="737"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shall indemnify, defend and hold Landlord and its agents, employees, and lenders and the Premises and the Property harmless from any and all claims, damages, fines, judgments, penalties, costs, liabilities or losses (including, without limitation, any and all sums paid for settlement of claims, attorneys’ fees, consultant and expert fees) arising during or after the term of this Lease out of or involving any Hazardous Materials brought on to the Premises, the Property, or Union City Labs by or for Tenant or by anyone under Tenant’s control in violation of Environmental Laws or the terms of this Lease. Tenant’s obligations under this </w:t>
      </w:r>
      <w:r>
        <w:rPr>
          <w:rFonts w:ascii="Times New Roman" w:cs="Times New Roman" w:eastAsia="Times New Roman" w:hAnsi="Times New Roman"/>
          <w:sz w:val="14"/>
          <w:szCs w:val="14"/>
          <w:u w:val="single" w:color="auto"/>
          <w:color w:val="auto"/>
        </w:rPr>
        <w:t>Paragraph 9(f)</w:t>
      </w:r>
      <w:r>
        <w:rPr>
          <w:rFonts w:ascii="Times New Roman" w:cs="Times New Roman" w:eastAsia="Times New Roman" w:hAnsi="Times New Roman"/>
          <w:sz w:val="14"/>
          <w:szCs w:val="14"/>
          <w:color w:val="auto"/>
        </w:rPr>
        <w:t xml:space="preserve">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as required by Environmental Laws, and shall survive the expiration or earlier termination of this Lease. No termination, cancellation or release agreement entered into by Landlord and Tenant shall release Tenant from its obligations under this Lease with respect to Hazardous Materials, unless specifically so agreed by Landlord in writing at the time of such agreement.</w:t>
      </w:r>
    </w:p>
    <w:p>
      <w:pPr>
        <w:spacing w:after="0" w:line="65" w:lineRule="exact"/>
        <w:rPr>
          <w:rFonts w:ascii="Times New Roman" w:cs="Times New Roman" w:eastAsia="Times New Roman" w:hAnsi="Times New Roman"/>
          <w:sz w:val="14"/>
          <w:szCs w:val="14"/>
          <w:color w:val="auto"/>
        </w:rPr>
      </w:pPr>
    </w:p>
    <w:p>
      <w:pPr>
        <w:ind w:left="220" w:right="259" w:firstLine="345"/>
        <w:spacing w:after="0" w:line="266" w:lineRule="auto"/>
        <w:tabs>
          <w:tab w:leader="none" w:pos="760"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Tenant shall have no obligation, responsibility or liability with respect to Hazardous Materials on, within, about or under the Premises prior to the earlier of the Commencement Date and any Early Entry, except to the extent disturbed or exacerbated by Tenant.</w:t>
      </w:r>
    </w:p>
    <w:p>
      <w:pPr>
        <w:spacing w:after="0" w:line="52" w:lineRule="exact"/>
        <w:rPr>
          <w:rFonts w:ascii="Times New Roman" w:cs="Times New Roman" w:eastAsia="Times New Roman" w:hAnsi="Times New Roman"/>
          <w:sz w:val="14"/>
          <w:szCs w:val="14"/>
          <w:color w:val="auto"/>
        </w:rPr>
      </w:pPr>
    </w:p>
    <w:p>
      <w:pPr>
        <w:ind w:left="220" w:right="299" w:firstLine="3"/>
        <w:spacing w:after="0" w:line="266" w:lineRule="auto"/>
        <w:tabs>
          <w:tab w:leader="none" w:pos="430"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 on Tenant’s Property</w:t>
      </w:r>
      <w:r>
        <w:rPr>
          <w:rFonts w:ascii="Times New Roman" w:cs="Times New Roman" w:eastAsia="Times New Roman" w:hAnsi="Times New Roman"/>
          <w:sz w:val="14"/>
          <w:szCs w:val="14"/>
          <w:color w:val="auto"/>
        </w:rPr>
        <w:t>. Tenant shall pay before delinquency any and all taxes, assessments, license fees, and public charges levied, assessed, or imposed and which become payable during the Term and any extension thereof upon Tenant’s equipment, fixtures, furniture, and personal property installed or located on the Premises.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2" w:right="1440" w:bottom="1440" w:gutter="0" w:footer="0" w:header="0"/>
        </w:sectPr>
      </w:pPr>
    </w:p>
    <w:bookmarkStart w:id="622" w:name="page623"/>
    <w:bookmarkEnd w:id="622"/>
    <w:p>
      <w:pPr>
        <w:ind w:left="420" w:hanging="197"/>
        <w:spacing w:after="0"/>
        <w:tabs>
          <w:tab w:leader="none" w:pos="42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Insurance</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59" w:firstLine="345"/>
        <w:spacing w:after="0" w:line="266" w:lineRule="auto"/>
        <w:tabs>
          <w:tab w:leader="none" w:pos="753"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Types of Insurance: Tenant shall maintain in full force and effect at all times during the Term of this Lease, at Tenant’s sole cost and expense, for the protection of Tenant and Landlord, as their interests may appear, policies of insurance issued by a carrier or carriers reasonably acceptable to Landlord and its lender(s) which afford the following coverages:</w:t>
      </w:r>
    </w:p>
    <w:p>
      <w:pPr>
        <w:spacing w:after="0" w:line="52" w:lineRule="exact"/>
        <w:rPr>
          <w:rFonts w:ascii="Times New Roman" w:cs="Times New Roman" w:eastAsia="Times New Roman" w:hAnsi="Times New Roman"/>
          <w:sz w:val="14"/>
          <w:szCs w:val="14"/>
          <w:color w:val="auto"/>
        </w:rPr>
      </w:pPr>
    </w:p>
    <w:p>
      <w:pPr>
        <w:ind w:left="220" w:right="379" w:firstLine="773"/>
        <w:spacing w:after="0" w:line="256" w:lineRule="auto"/>
        <w:tabs>
          <w:tab w:leader="none" w:pos="1158" w:val="left"/>
        </w:tabs>
        <w:numPr>
          <w:ilvl w:val="2"/>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general liability insurance naming the Landlord as an additional insured against any and all claims for bodily injury and property damage occurring in, or about the Premises arising out of Tenant’s use and occupancy of the Premises. Such insurance shall have a combined single limit of not less than Two Million Dollars ($2,000,000) per occurrence with a Four Million Dollar ($4,000,000) aggregate limit and excess umbrella liability insurance in the amount of Five Million Dollars ($5,000,000). Such liability insurance shall be primary and not contributing to any insurance available to Landlord and Landlord’s insurance shall be in excess thereto. In no event shall the limits of such insurance be considered as limiting the liability of Tenant under this Lease.</w:t>
      </w:r>
    </w:p>
    <w:p>
      <w:pPr>
        <w:spacing w:after="0" w:line="60" w:lineRule="exact"/>
        <w:rPr>
          <w:rFonts w:ascii="Times New Roman" w:cs="Times New Roman" w:eastAsia="Times New Roman" w:hAnsi="Times New Roman"/>
          <w:sz w:val="14"/>
          <w:szCs w:val="14"/>
          <w:color w:val="auto"/>
        </w:rPr>
      </w:pPr>
    </w:p>
    <w:p>
      <w:pPr>
        <w:ind w:left="220" w:right="259" w:firstLine="773"/>
        <w:spacing w:after="0" w:line="256" w:lineRule="auto"/>
        <w:tabs>
          <w:tab w:leader="none" w:pos="1196" w:val="left"/>
        </w:tabs>
        <w:numPr>
          <w:ilvl w:val="2"/>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property insurance insuring all equipment, trade fixtures, inventory, fixtures, and personal property located on or in the Premises for perils covered by the causes of loss—special form (all risk) and in addition, coverage for earthquake sprinkler leakage, and boiler and machinery (if applicable). Such insurance shall be written on a replacement cost basis in an amount equal to one hundred percent (100%) of the full replacement value of the aggregate of the foregoing. Any coverage not purchased by Tenant to protect its property is done at Tenant’s sole risk and Landlord shall not procure any insurance or be responsible for damages to Tenant’s property if Tenant decides to not purchase certain levels and types of coverage.</w:t>
      </w:r>
    </w:p>
    <w:p>
      <w:pPr>
        <w:spacing w:after="0" w:line="60" w:lineRule="exact"/>
        <w:rPr>
          <w:rFonts w:ascii="Times New Roman" w:cs="Times New Roman" w:eastAsia="Times New Roman" w:hAnsi="Times New Roman"/>
          <w:sz w:val="14"/>
          <w:szCs w:val="14"/>
          <w:color w:val="auto"/>
        </w:rPr>
      </w:pPr>
    </w:p>
    <w:p>
      <w:pPr>
        <w:ind w:left="220" w:right="479" w:firstLine="773"/>
        <w:spacing w:after="0" w:line="322" w:lineRule="auto"/>
        <w:tabs>
          <w:tab w:leader="none" w:pos="1235" w:val="left"/>
        </w:tabs>
        <w:numPr>
          <w:ilvl w:val="2"/>
          <w:numId w:val="4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interruption and extra expense insurance in such amounts to reimburse Tenant for direct or indirect loss attributable to all perils commonly insured against by prudent Tenants or attributable to prevention of access to the Premises or the Building as result of such perils.</w:t>
      </w:r>
    </w:p>
    <w:p>
      <w:pPr>
        <w:spacing w:after="0" w:line="18" w:lineRule="exact"/>
        <w:rPr>
          <w:rFonts w:ascii="Times New Roman" w:cs="Times New Roman" w:eastAsia="Times New Roman" w:hAnsi="Times New Roman"/>
          <w:sz w:val="13"/>
          <w:szCs w:val="13"/>
          <w:color w:val="auto"/>
        </w:rPr>
      </w:pPr>
    </w:p>
    <w:p>
      <w:pPr>
        <w:ind w:left="1240" w:hanging="247"/>
        <w:spacing w:after="0"/>
        <w:tabs>
          <w:tab w:leader="none" w:pos="1240" w:val="left"/>
        </w:tabs>
        <w:numPr>
          <w:ilvl w:val="2"/>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Workers’ compensation insurance in accordance with statutory law and employers’ liability insurance with a limit of not less than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$1,000,000 per accident, $1,000,000 disease, policy limit and $1,000,000 disease limit each employee.</w:t>
      </w:r>
    </w:p>
    <w:p>
      <w:pPr>
        <w:spacing w:after="0" w:line="76" w:lineRule="exact"/>
        <w:rPr>
          <w:sz w:val="20"/>
          <w:szCs w:val="20"/>
          <w:color w:val="auto"/>
        </w:rPr>
      </w:pPr>
    </w:p>
    <w:p>
      <w:pPr>
        <w:ind w:left="220" w:right="479" w:firstLine="773"/>
        <w:spacing w:after="0" w:line="282" w:lineRule="auto"/>
        <w:tabs>
          <w:tab w:leader="none" w:pos="1189" w:val="left"/>
        </w:tabs>
        <w:numPr>
          <w:ilvl w:val="1"/>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Site liability pollution policy insuring the Premises, with a minimum amount limit of $1,000,000 per occurrence under an annual or multi-year policy.</w:t>
      </w:r>
    </w:p>
    <w:p>
      <w:pPr>
        <w:spacing w:after="0" w:line="41" w:lineRule="exact"/>
        <w:rPr>
          <w:rFonts w:ascii="Times New Roman" w:cs="Times New Roman" w:eastAsia="Times New Roman" w:hAnsi="Times New Roman"/>
          <w:sz w:val="14"/>
          <w:szCs w:val="14"/>
          <w:color w:val="auto"/>
        </w:rPr>
      </w:pPr>
    </w:p>
    <w:p>
      <w:pPr>
        <w:ind w:left="220" w:right="259" w:firstLine="773"/>
        <w:spacing w:after="0" w:line="282" w:lineRule="auto"/>
        <w:tabs>
          <w:tab w:leader="none" w:pos="1227" w:val="left"/>
        </w:tabs>
        <w:numPr>
          <w:ilvl w:val="1"/>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Comprehensive automobile liability insurance: a combined single limit of not less than $2,000,000 per occurrence and insuring Tenant against liability for claims arising out of the ownership, maintenance, or use of any owned, hired or non-owned automobiles;</w:t>
      </w:r>
    </w:p>
    <w:p>
      <w:pPr>
        <w:spacing w:after="0" w:line="41" w:lineRule="exact"/>
        <w:rPr>
          <w:rFonts w:ascii="Times New Roman" w:cs="Times New Roman" w:eastAsia="Times New Roman" w:hAnsi="Times New Roman"/>
          <w:sz w:val="14"/>
          <w:szCs w:val="14"/>
          <w:color w:val="auto"/>
        </w:rPr>
      </w:pPr>
    </w:p>
    <w:p>
      <w:pPr>
        <w:jc w:val="both"/>
        <w:ind w:left="220" w:right="499" w:firstLine="773"/>
        <w:spacing w:after="0" w:line="266" w:lineRule="auto"/>
        <w:tabs>
          <w:tab w:leader="none" w:pos="1266" w:val="left"/>
        </w:tabs>
        <w:numPr>
          <w:ilvl w:val="1"/>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insurance as required by Landlord which is consistent with the types of insurance required to be maintained by similar situated tenants, with similar use in the Union City, Newark and Fremont areas or required by Landlord’s beneficiaries or mortgagees of any deed of trust or mortgage encumbering the Premises.</w:t>
      </w:r>
    </w:p>
    <w:p>
      <w:pPr>
        <w:spacing w:after="0" w:line="52" w:lineRule="exact"/>
        <w:rPr>
          <w:rFonts w:ascii="Times New Roman" w:cs="Times New Roman" w:eastAsia="Times New Roman" w:hAnsi="Times New Roman"/>
          <w:sz w:val="14"/>
          <w:szCs w:val="14"/>
          <w:color w:val="auto"/>
        </w:rPr>
      </w:pPr>
    </w:p>
    <w:p>
      <w:pPr>
        <w:ind w:left="220" w:right="399" w:firstLine="345"/>
        <w:spacing w:after="0" w:line="261" w:lineRule="auto"/>
        <w:tabs>
          <w:tab w:leader="none" w:pos="7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Policies: The policies required to be maintained by Tenant shall be with companies rated A-VIII or better by A.M. Best. Insurers shall be licensed to do business in the state in which the Premises are located and domiciled in the USA. Any deductible amounts under any insurance policies required hereunder shall not exceed $25,000. Certificates of insurance including any and all endorsements required herein for all insurance maintained by Tenant shall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623" w:name="page624"/>
    <w:bookmarkEnd w:id="623"/>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be delivered to Landlord prior to the commencement date or prior to any early access to the Premises in accordance with Section 3 above and at least ten</w:t>
      </w:r>
    </w:p>
    <w:p>
      <w:pPr>
        <w:spacing w:after="0" w:line="22" w:lineRule="exact"/>
        <w:rPr>
          <w:sz w:val="20"/>
          <w:szCs w:val="20"/>
          <w:color w:val="auto"/>
        </w:rPr>
      </w:pPr>
    </w:p>
    <w:p>
      <w:pPr>
        <w:ind w:left="220" w:right="239" w:firstLine="3"/>
        <w:spacing w:after="0" w:line="253" w:lineRule="auto"/>
        <w:tabs>
          <w:tab w:leader="none" w:pos="488"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prior to the policy expiration date. Tenant shall have the right to provide insurance coverage which it is obligated to carry pursuant to the terms hereof in a blanket policy, provided such blanket policy expressly affords coverage to the Premises and to Landlord as required by this Lease. Each policy of insurance shall provide notification to Landlord at least thirty (30) days prior to any cancellation or modification to reduce the insurance coverage and at least ten (10) days for non-payment of premium.</w:t>
      </w:r>
    </w:p>
    <w:p>
      <w:pPr>
        <w:spacing w:after="0" w:line="61" w:lineRule="exact"/>
        <w:rPr>
          <w:rFonts w:ascii="Times New Roman" w:cs="Times New Roman" w:eastAsia="Times New Roman" w:hAnsi="Times New Roman"/>
          <w:sz w:val="14"/>
          <w:szCs w:val="14"/>
          <w:color w:val="auto"/>
        </w:rPr>
      </w:pPr>
    </w:p>
    <w:p>
      <w:pPr>
        <w:ind w:left="220" w:right="299" w:firstLine="345"/>
        <w:spacing w:after="0" w:line="253" w:lineRule="auto"/>
        <w:tabs>
          <w:tab w:leader="none" w:pos="753"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Additional Insureds and Coverage: Landlord, any property management company and/or agent of Landlord for the Premises, the Building, the Land or the Park, an any lender(s) of Landlord having a lien against the Premises, the Building, the Land or the Park shall be named as additional insureds under all of the liability policies required in </w:t>
      </w:r>
      <w:r>
        <w:rPr>
          <w:rFonts w:ascii="Times New Roman" w:cs="Times New Roman" w:eastAsia="Times New Roman" w:hAnsi="Times New Roman"/>
          <w:sz w:val="14"/>
          <w:szCs w:val="14"/>
          <w:u w:val="single" w:color="auto"/>
          <w:color w:val="auto"/>
        </w:rPr>
        <w:t>Paragraph 11</w:t>
      </w:r>
      <w:r>
        <w:rPr>
          <w:rFonts w:ascii="Times New Roman" w:cs="Times New Roman" w:eastAsia="Times New Roman" w:hAnsi="Times New Roman"/>
          <w:sz w:val="14"/>
          <w:szCs w:val="14"/>
          <w:color w:val="auto"/>
        </w:rPr>
        <w:t xml:space="preserve"> above. Additionally, such policies shall provide for severability of interest. All insurance to be maintained by Tenant shall, except for workers’ compensation and employer’s liability insurance, be primary, without right of contribution from insurance maintained by Landlord. Any umbrella/excess liability policy (which shall be in “following form”) shall provide that if the underlying aggregate is exhausted, the excess coverage will drop down as primary insurance. The limits of insurance maintained by Tenant shall not limit Tenant’s liability under this Lease. It is the parties’ intention that the insurance to be procured and maintained by Tenant as required herein shall provide coverage for any and all damage or injury arising from or related to Tenant’s operations of its business and/or Tenant’s or Tenant’s Representatives’ use of the Premises and/or any of the areas within the Park, whether such events occur within the Premises (as described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in any other areas of the Park. It is not contemplated or anticipated by the parties that the aforementioned risks of loss be borne by Landlord’s insurance carriers, rather it is contemplated and anticipated by Landlord and Tenant that such risks of loss be borne by Tenant’s insurance carriers pursuant to the insurance policies procured and maintained by Tenant as required herein.</w:t>
      </w:r>
    </w:p>
    <w:p>
      <w:pPr>
        <w:spacing w:after="0" w:line="62" w:lineRule="exact"/>
        <w:rPr>
          <w:rFonts w:ascii="Times New Roman" w:cs="Times New Roman" w:eastAsia="Times New Roman" w:hAnsi="Times New Roman"/>
          <w:sz w:val="14"/>
          <w:szCs w:val="14"/>
          <w:color w:val="auto"/>
        </w:rPr>
      </w:pPr>
    </w:p>
    <w:p>
      <w:pPr>
        <w:ind w:left="220" w:right="399" w:firstLine="345"/>
        <w:spacing w:after="0" w:line="256" w:lineRule="auto"/>
        <w:tabs>
          <w:tab w:leader="none" w:pos="760"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Tenant to Purchase and Maintain Insurance: In the event Tenant does not purchase the insurance required in this Lease or keep the same in full force and effect throughout the Term of this Lease (including any renewals or extensions), Landlord may, but without obligation to do so, purchase the necessary insurance and pay the premiums therefor. If Landlord so elects to purchase such insurance, Tenant shall promptly pay to Landlord as Additional Rent, the amount so paid by Landlord, upon Landlord’s demand therefor. In addition, Landlord may recover from Tenant and Tenant agrees to pay, as Additional Rent, any and all reasonable expenses and damages which Landlord may sustain by reason of Tenant’s failure to obtain and maintain such insurance.</w:t>
      </w:r>
    </w:p>
    <w:p>
      <w:pPr>
        <w:spacing w:after="0" w:line="60" w:lineRule="exact"/>
        <w:rPr>
          <w:rFonts w:ascii="Times New Roman" w:cs="Times New Roman" w:eastAsia="Times New Roman" w:hAnsi="Times New Roman"/>
          <w:sz w:val="14"/>
          <w:szCs w:val="14"/>
          <w:color w:val="auto"/>
        </w:rPr>
      </w:pPr>
    </w:p>
    <w:p>
      <w:pPr>
        <w:ind w:left="220" w:right="279" w:firstLine="345"/>
        <w:spacing w:after="0" w:line="254" w:lineRule="auto"/>
        <w:tabs>
          <w:tab w:leader="none" w:pos="753"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Landlord’s Insurance: Landlord shall obtain and carry in Landlord’s name, as insured, as an Operating Expense of the Property to the extent provided in </w:t>
      </w:r>
      <w:r>
        <w:rPr>
          <w:rFonts w:ascii="Times New Roman" w:cs="Times New Roman" w:eastAsia="Times New Roman" w:hAnsi="Times New Roman"/>
          <w:sz w:val="14"/>
          <w:szCs w:val="14"/>
          <w:u w:val="single" w:color="auto"/>
          <w:color w:val="auto"/>
        </w:rPr>
        <w:t>Paragraph 6</w:t>
      </w:r>
      <w:r>
        <w:rPr>
          <w:rFonts w:ascii="Times New Roman" w:cs="Times New Roman" w:eastAsia="Times New Roman" w:hAnsi="Times New Roman"/>
          <w:sz w:val="14"/>
          <w:szCs w:val="14"/>
          <w:color w:val="auto"/>
        </w:rPr>
        <w:t>, during the Term, “all risk” property insurance coverage (with rental loss insurance coverage for a period of one (1) year), flood insurance, public liability and property damage insurance, and insurance against such other risks or casualties as Landlord shall reasonably determine, including, but not limited to, insurance coverages required of Landlord by the beneficiary of any deed of trust which encumbers the Premises, including earthquake insurance coverage insuring Landlord’s interest in the Premises (including any other leasehold improvements to the Premises constructed by Landlord or by Tenant with Landlord’s prior written approval) in an amount not less than the full replacement cost of the Building. The proceeds of any such insurance shall be payable solely to Landlord and Tenant shall have no right or interest therein. Landlord shall have no obligation to insure against loss by Tenant to Tenant’s equipment, fixtures, furniture, inventory, or other personal property of Tenant in or about the Premises occurring from any cause whatsoever.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624" w:name="page625"/>
    <w:bookmarkEnd w:id="624"/>
    <w:p>
      <w:pPr>
        <w:ind w:left="220" w:right="339" w:firstLine="345"/>
        <w:spacing w:after="0" w:line="253" w:lineRule="auto"/>
        <w:tabs>
          <w:tab w:leader="none" w:pos="737" w:val="left"/>
        </w:tabs>
        <w:numPr>
          <w:ilvl w:val="1"/>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Waiver of Subrogation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Notwithstanding anything to the contrary contained in this Lease, the parties release each other, and their respective authorized representatives, employees, officers, directors, shareholders, managers, members, trustees, beneficiaries, assignees, subtenants, invitees, successors, agents, contractors and property managers, from any claims for damage to any person or to the Premises or the Property and to the fixtures, personal property, leasehold improvements and alterations of either Landlord or Tenant in or on the Premises or the Property, to the extent that are caused by or result from risks required by this Lease to be insured against (or actually insured against) under any property insurance policies carried by the parties and such policy is in force at the time of any such damage, whichever is greater. This waiver applies whether or not the loss is due to the negligent acts or omissions of Landlord or Tenant or their respective authorized representatives, employees, officers, directors, shareholders, managers, members, trustees, beneficiaries, assignees, subtenants, invitees, successors, agents, contractors and property managers. Subject to the foregoing, this release and waiver shall be complete and total even if such loss or damage may have been caused by the negligence of the other party, its managers, members, employees, agents, contractors, property managers or invitees. The parties covenant that the insurance policies required to be maintained by each of them under this Lease will contain waiver of subrogation endorsements.</w:t>
      </w:r>
    </w:p>
    <w:p>
      <w:pPr>
        <w:spacing w:after="0" w:line="65"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459" w:firstLine="345"/>
        <w:spacing w:after="0" w:line="261" w:lineRule="auto"/>
        <w:tabs>
          <w:tab w:leader="none" w:pos="753" w:val="left"/>
        </w:tabs>
        <w:numPr>
          <w:ilvl w:val="1"/>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indemnify, defend, and hold harmless Landlord from claims, suits, actions, or liabilities for personal injury, death or for loss or damage to property that arise from (1) any activity, work, or thing done or permitted by Tenant in or about the Premises, the Property or the Park,</w:t>
      </w:r>
    </w:p>
    <w:p>
      <w:pPr>
        <w:ind w:left="220" w:right="2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bodily injury or damage to property which arises in or about the Property to the extent the injury or damage to property results from the negligent acts or omissions of Tenant, its employees, agents or contractors, and (3) based on any event of default by Tenant in the performance of any obligation on Tenant’s part to be performed under this Lease. Tenant also waives all claims against Landlord and its employees, agents and contractors for damages to property, or to goods, wares, and merchandise stored in, upon, or about the Premises or the Property, and for injuries to persons in, upon, or about the Premises or the Property from any cause arising at any time, except to the extent covered by an express indemnity provision of this Lease or caused by the active negligence or willful misconduct of Landlord or its employees, agents or contractors.</w:t>
      </w:r>
    </w:p>
    <w:p>
      <w:pPr>
        <w:spacing w:after="0" w:line="62" w:lineRule="exact"/>
        <w:rPr>
          <w:rFonts w:ascii="Times New Roman" w:cs="Times New Roman" w:eastAsia="Times New Roman" w:hAnsi="Times New Roman"/>
          <w:sz w:val="14"/>
          <w:szCs w:val="14"/>
          <w:color w:val="auto"/>
        </w:rPr>
      </w:pPr>
    </w:p>
    <w:p>
      <w:pPr>
        <w:ind w:left="220" w:right="379" w:firstLine="345"/>
        <w:spacing w:after="0" w:line="258" w:lineRule="auto"/>
        <w:tabs>
          <w:tab w:leader="none" w:pos="760" w:val="left"/>
        </w:tabs>
        <w:numPr>
          <w:ilvl w:val="1"/>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comparative or concurrent negligence on the part of Landlord, their respective agents, affiliates, and subsidiaries, or their respective officers, directors, members, employees or contractors, the foregoing indemnity by Tenant shall also include reasonable costs, expenses and attorneys’ fees incurred in connection with any indemnified claim or incurred by the Landlord in successfully establishing the right to indemnity. The Tenant shall have the right to assume the defense of any claim subject to the foregoing indemnities with counsel reasonably satisfactory to the indemnitee.</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foregoing indemnity shall survive the expiration or earlier termination of this Lease.</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625" w:name="page626"/>
    <w:bookmarkEnd w:id="625"/>
    <w:p>
      <w:pPr>
        <w:jc w:val="both"/>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When the claim is caused by the joint negligence or willful misconduct of Tenant and Landlord or by the Tenant and a third party (except Tenant’s agents, officers, employees or invitees), the Tenant’s duty to indemnify and defend shall be proportionate to the it’s allocable share of joint negligence or willful misconduct.</w:t>
      </w:r>
    </w:p>
    <w:p>
      <w:pPr>
        <w:spacing w:after="0" w:line="52" w:lineRule="exact"/>
        <w:rPr>
          <w:sz w:val="20"/>
          <w:szCs w:val="20"/>
          <w:color w:val="auto"/>
        </w:rPr>
      </w:pPr>
    </w:p>
    <w:p>
      <w:pPr>
        <w:ind w:left="220" w:right="239" w:firstLine="345"/>
        <w:spacing w:after="0" w:line="256" w:lineRule="auto"/>
        <w:tabs>
          <w:tab w:leader="none" w:pos="753"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shall not be liable to Tenant for any damage because of any act or negligence of any other occupant of the Building or any other owner or occupant of adjoining or contiguous property, nor for overflow, breakage, or leakage of water, steam, gas, or electricity from pipes, wires, or otherwise in the Premises or the Building, except to the extent caused by the gross negligence or willful misconduct of Landlord or Landlord’s employees, agents, or contractors. Except as otherwise provided herein, Tenant will pay for damage to the Premises or the Property caused by the misuse or neglect of the Premises or the Property by Tenant or its employees, agents, or contractors, including, but not limited to, the breakage of glass in the Building.</w:t>
      </w:r>
    </w:p>
    <w:p>
      <w:pPr>
        <w:spacing w:after="0" w:line="60"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Landlord Improvements; Tenant Improvements</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 at its cost, shall cause to be constructed the improvements and modifications described on </w:t>
      </w:r>
      <w:r>
        <w:rPr>
          <w:rFonts w:ascii="Times New Roman" w:cs="Times New Roman" w:eastAsia="Times New Roman" w:hAnsi="Times New Roman"/>
          <w:sz w:val="14"/>
          <w:szCs w:val="14"/>
          <w:u w:val="single" w:color="auto"/>
          <w:color w:val="auto"/>
        </w:rPr>
        <w:t>Exhibit F-1</w:t>
      </w:r>
      <w:r>
        <w:rPr>
          <w:rFonts w:ascii="Times New Roman" w:cs="Times New Roman" w:eastAsia="Times New Roman" w:hAnsi="Times New Roman"/>
          <w:sz w:val="14"/>
          <w:szCs w:val="14"/>
          <w:color w:val="auto"/>
        </w:rPr>
        <w:t xml:space="preserve"> attached hereto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Landlord Improvements</w:t>
      </w:r>
      <w:r>
        <w:rPr>
          <w:rFonts w:ascii="Times New Roman" w:cs="Times New Roman" w:eastAsia="Times New Roman" w:hAnsi="Times New Roman"/>
          <w:sz w:val="14"/>
          <w:szCs w:val="14"/>
          <w:color w:val="auto"/>
        </w:rPr>
        <w:t>”).</w:t>
      </w:r>
    </w:p>
    <w:p>
      <w:pPr>
        <w:spacing w:after="0" w:line="76" w:lineRule="exact"/>
        <w:rPr>
          <w:sz w:val="20"/>
          <w:szCs w:val="20"/>
          <w:color w:val="auto"/>
        </w:rPr>
      </w:pPr>
    </w:p>
    <w:p>
      <w:pPr>
        <w:ind w:left="220" w:right="439" w:firstLine="345"/>
        <w:spacing w:after="0" w:line="282" w:lineRule="auto"/>
        <w:tabs>
          <w:tab w:leader="none" w:pos="76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shall cause to be constructed the interior tenant improvements and modifications to the Premises described in the Work Letter (the “</w:t>
      </w:r>
      <w:r>
        <w:rPr>
          <w:rFonts w:ascii="Times New Roman" w:cs="Times New Roman" w:eastAsia="Times New Roman" w:hAnsi="Times New Roman"/>
          <w:sz w:val="14"/>
          <w:szCs w:val="14"/>
          <w:b w:val="1"/>
          <w:bCs w:val="1"/>
          <w:color w:val="auto"/>
        </w:rPr>
        <w:t>Tenant Improvements</w:t>
      </w:r>
      <w:r>
        <w:rPr>
          <w:rFonts w:ascii="Times New Roman" w:cs="Times New Roman" w:eastAsia="Times New Roman" w:hAnsi="Times New Roman"/>
          <w:sz w:val="14"/>
          <w:szCs w:val="14"/>
          <w:color w:val="auto"/>
        </w:rPr>
        <w:t xml:space="preserve">”) in accordance with the Work Letter attached hereto as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Maintenance and Repairs; Alterations; Surrender and Restoration</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39" w:firstLine="345"/>
        <w:spacing w:after="0" w:line="273" w:lineRule="auto"/>
        <w:tabs>
          <w:tab w:leader="none" w:pos="753" w:val="left"/>
        </w:tabs>
        <w:numPr>
          <w:ilvl w:val="1"/>
          <w:numId w:val="4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Landlord shall, at Landlord’s sole expense, keep in good order, condition, and repair and replace when necessary, the structural elements of the roof (excluding the roof membrane which Landlord shall maintain, but the cost of which shall be included as an Operating Expense as permitted under </w:t>
      </w:r>
      <w:r>
        <w:rPr>
          <w:rFonts w:ascii="Times New Roman" w:cs="Times New Roman" w:eastAsia="Times New Roman" w:hAnsi="Times New Roman"/>
          <w:sz w:val="13"/>
          <w:szCs w:val="13"/>
          <w:u w:val="single" w:color="auto"/>
          <w:color w:val="auto"/>
        </w:rPr>
        <w:t>Paragraph 5</w:t>
      </w:r>
      <w:r>
        <w:rPr>
          <w:rFonts w:ascii="Times New Roman" w:cs="Times New Roman" w:eastAsia="Times New Roman" w:hAnsi="Times New Roman"/>
          <w:sz w:val="13"/>
          <w:szCs w:val="13"/>
          <w:color w:val="auto"/>
        </w:rPr>
        <w:t>), the structural elements of the foundation and exterior walls (except the interior faces thereof) of the Building, and other structural elements of the Building and the Property as “structural elements” are defined in building codes applicable to the Building, excluding any alterations, structural or otherwise, made by Tenant to the Building which are not approved in writing by Landlord prior to the construction or installation thereof by Tenant. Landlord shall perform and construct, and Tenant shall not be responsible for performing or constructing, any repairs, maintenance, or improvements</w:t>
      </w:r>
    </w:p>
    <w:p>
      <w:pPr>
        <w:spacing w:after="0" w:line="1" w:lineRule="exact"/>
        <w:rPr>
          <w:rFonts w:ascii="Times New Roman" w:cs="Times New Roman" w:eastAsia="Times New Roman" w:hAnsi="Times New Roman"/>
          <w:sz w:val="13"/>
          <w:szCs w:val="13"/>
          <w:color w:val="auto"/>
        </w:rPr>
      </w:pPr>
    </w:p>
    <w:p>
      <w:pPr>
        <w:ind w:left="220" w:right="319"/>
        <w:spacing w:after="0" w:line="25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(1) required as a result of any casualty damage, which shall be subject to </w:t>
      </w: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 xml:space="preserve"> below, or as a result of any taking pursuant to the exercise of the power of eminent domain, or (2) for which Landlord has a right of reimbursement from third parties based on construction or other warranties, contractor guarantees, or insurance claims.</w:t>
      </w:r>
    </w:p>
    <w:p>
      <w:pPr>
        <w:spacing w:after="0" w:line="59" w:lineRule="exact"/>
        <w:rPr>
          <w:rFonts w:ascii="Times New Roman" w:cs="Times New Roman" w:eastAsia="Times New Roman" w:hAnsi="Times New Roman"/>
          <w:sz w:val="13"/>
          <w:szCs w:val="13"/>
          <w:color w:val="auto"/>
        </w:rPr>
      </w:pPr>
    </w:p>
    <w:p>
      <w:pPr>
        <w:ind w:left="220" w:right="299" w:firstLine="345"/>
        <w:spacing w:after="0" w:line="255" w:lineRule="auto"/>
        <w:tabs>
          <w:tab w:leader="none" w:pos="760" w:val="left"/>
        </w:tabs>
        <w:numPr>
          <w:ilvl w:val="1"/>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 shall provide or cause to be provided and shall supervise the performance of, as an Operating Expense of the Property to the extent permitted under </w:t>
      </w:r>
      <w:r>
        <w:rPr>
          <w:rFonts w:ascii="Times New Roman" w:cs="Times New Roman" w:eastAsia="Times New Roman" w:hAnsi="Times New Roman"/>
          <w:sz w:val="14"/>
          <w:szCs w:val="14"/>
          <w:u w:val="single" w:color="auto"/>
          <w:color w:val="auto"/>
        </w:rPr>
        <w:t>Paragraph 5 hereof</w:t>
      </w:r>
      <w:r>
        <w:rPr>
          <w:rFonts w:ascii="Times New Roman" w:cs="Times New Roman" w:eastAsia="Times New Roman" w:hAnsi="Times New Roman"/>
          <w:sz w:val="14"/>
          <w:szCs w:val="14"/>
          <w:color w:val="auto"/>
        </w:rPr>
        <w:t>, all services and work relating to the operation, maintenance, repair, and replacement, as needed, of the Property, including the HVAC, mechanical, electrical, and plumbing systems in the Building; the interior of the Building; the roof membrane; the outside areas of the Property; landscaping, tree trimming, resurfacing and restriping of the parking lot, repairing and maintaining the walkways; exterior building painting, exterior building lighting, parking lot lighting, and exterior security patrol. In the event Tenant provides Landlord with written notice of the need for any repairs, Landlord shall commence any such repairs promptly following receipt by Landlord of such notice and Landlord shall diligently prosecute such repairs to completion.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626" w:name="page627"/>
    <w:bookmarkEnd w:id="626"/>
    <w:p>
      <w:pPr>
        <w:ind w:left="220" w:right="259" w:firstLine="345"/>
        <w:spacing w:after="0" w:line="252" w:lineRule="auto"/>
        <w:tabs>
          <w:tab w:leader="none" w:pos="753"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Subject to the foregoing and except as provided elsewhere in this Lease, Tenant shall, at Tenant’s sole cost and expense, at all times use, occupy and keep the Premises in a manner which keeps the Premises in as good and safe order, condition, and repair as received, reasonable wear and tear excepted. Without limiting the generality of the foregoing, Tenant shall be solely responsible for maintaining, repairing and replacing (a) all electrical wiring and equipment serving the Premises, (b) all interior lighting (including, without limitation, light bulbs and/or ballasts) and exterior lighting serving the Premises or adjacent to the Premises, (c) all glass, windows, window frames, window casements, skylights, interior and exterior doors, door frames and door closers, (d) all roll-up doors, ramps and dock equipment, including without limitation, dock bumpers, dock plates, dock seals, dock levelers and dock lights serving the Premises, (e) all tenant signage, (f) security systems within the Premises, (g) all partitions, fixtures, equipment, interior painting, and interior walls and floors of the Premises and every part thereof (including, without limitation, any demising walls contiguous to any portion of the Premises). Landlord shall execute and maintain in full force and effect throughout the term as an Operating Expense of the Property to the extent permitted under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a service contract with a recognized air conditioning service company. Landlord may, if Landlord determines that it is necessary to do so, obtain on a semi-annual basis an inspection report of the HVAC system from a separate HVAC service firm designated by Landlord for the purpose of monitoring the performance of the HVAC maintenance and repair work performed by the HVAC service firm which performs the regular repair and maintenance. The cost of such inspection report shall be an Operating Expense pursuant to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Subject to the release of claims and waiver of subrogation contained in </w:t>
      </w:r>
      <w:r>
        <w:rPr>
          <w:rFonts w:ascii="Times New Roman" w:cs="Times New Roman" w:eastAsia="Times New Roman" w:hAnsi="Times New Roman"/>
          <w:sz w:val="14"/>
          <w:szCs w:val="14"/>
          <w:u w:val="single" w:color="auto"/>
          <w:color w:val="auto"/>
        </w:rPr>
        <w:t>Paragraphs 11(c)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11(d)</w:t>
      </w:r>
      <w:r>
        <w:rPr>
          <w:rFonts w:ascii="Times New Roman" w:cs="Times New Roman" w:eastAsia="Times New Roman" w:hAnsi="Times New Roman"/>
          <w:sz w:val="14"/>
          <w:szCs w:val="14"/>
          <w:color w:val="auto"/>
        </w:rPr>
        <w:t>, if Landlord is required to make any repairs to the Property by reason of Tenant’s negligent acts or omissions, Landlord may add the cost of such repairs to the next installment of rent which shall thereafter become due, and Tenant shall promptly pay the same upon receipt of an invoice therefor.</w:t>
      </w:r>
    </w:p>
    <w:p>
      <w:pPr>
        <w:spacing w:after="0" w:line="65" w:lineRule="exact"/>
        <w:rPr>
          <w:rFonts w:ascii="Times New Roman" w:cs="Times New Roman" w:eastAsia="Times New Roman" w:hAnsi="Times New Roman"/>
          <w:sz w:val="14"/>
          <w:szCs w:val="14"/>
          <w:color w:val="auto"/>
        </w:rPr>
      </w:pPr>
    </w:p>
    <w:p>
      <w:pPr>
        <w:ind w:left="220" w:right="239" w:firstLine="345"/>
        <w:spacing w:after="0" w:line="253" w:lineRule="auto"/>
        <w:tabs>
          <w:tab w:leader="none" w:pos="76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may, from time to time, at its own cost and expense and without the consent of Landlord make nonstructural alterations to the interior of the Premises which do not affect the mechanical, electrical, plumbing or other utility systems of the Building, the cost of which in any one instance is Fifty Thousand Dollars ($50,000) or less, and the aggregate cost of all such work during the Term of this Lease does not exceed Two Hundred Fifty Thousand Dollars ($250,000), provided Tenant first notifies Landlord in writing of any such nonstructural alterations (collectively, “</w:t>
      </w:r>
      <w:r>
        <w:rPr>
          <w:rFonts w:ascii="Times New Roman" w:cs="Times New Roman" w:eastAsia="Times New Roman" w:hAnsi="Times New Roman"/>
          <w:sz w:val="14"/>
          <w:szCs w:val="14"/>
          <w:b w:val="1"/>
          <w:bCs w:val="1"/>
          <w:color w:val="auto"/>
        </w:rPr>
        <w:t>Cosmetic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Alterations</w:t>
      </w:r>
      <w:r>
        <w:rPr>
          <w:rFonts w:ascii="Times New Roman" w:cs="Times New Roman" w:eastAsia="Times New Roman" w:hAnsi="Times New Roman"/>
          <w:sz w:val="14"/>
          <w:szCs w:val="14"/>
          <w:color w:val="auto"/>
        </w:rPr>
        <w:t>”). Otherwise, Tenant shall not make any additional alterations, improvements, or additions to the Premises without delivering to Landlord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set of plans and specifications for such work, obtaining and delivering copies to Landlord of all permits or other governmental approvals required for such work and obtaining Landlord’s prior written consent thereto. All alterations and additions shall be installed by a licensed contractor approved by Landlord, at Tenant’s sole expense in compliance with all applicable laws, rules, regulations and ordinances. Tenant shall keep the Premises and the Property on which the Premises are situated free from any liens arising out of any work performed, materials furnished or obligations incurred by or on behalf of Tenant. If any nonstructural alterations to the interior of the Premises exceed Fifty Thousand Dollars ($50,0000) in cost in any one instance, or exceed the aggregate cost of Two Hundred Fifty Thousand Dollars ($250,000) during the Term of this Lease, Tenant shall employ, at Tenant’s expense, Tarlton Properties, Inc. as construction manager for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627" w:name="page628"/>
    <w:bookmarkEnd w:id="627"/>
    <w:p>
      <w:pPr>
        <w:ind w:left="22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alterations at a fee equal to four percent (4%) of the hard construction costs (i.e., the amounts paid to any general contractor, subcontractors, vendors, and suppliers for labor and materials for the construction of the alterations or improvements). Landlord may condition its consent to, among other things, Tenant agreeing in writing to remove any such alterations prior to the expiration of the Lease term and Tenant agreeing to restore the Premises to its condition prior to such alterations at Tenant’s expense. Upon Tenant’s written request, Landlord shall advise Tenant in writing at the time consent is granted (or with respect to a Cosmetic Alterations within ten (10) days from notice if requested by Tenant in such notice) whether Landlord requires Tenant to remove any alterations from the Premises prior to the expiration or sooner termination of the Lease. Tenant shall have no obligation to remove the Tenant Improvements completed pursuant to the terms of the Work Letter nor the Landlord Improvements.</w:t>
      </w:r>
    </w:p>
    <w:p>
      <w:pPr>
        <w:spacing w:after="0" w:line="146" w:lineRule="exact"/>
        <w:rPr>
          <w:sz w:val="20"/>
          <w:szCs w:val="20"/>
          <w:color w:val="auto"/>
        </w:rPr>
      </w:pPr>
    </w:p>
    <w:p>
      <w:pPr>
        <w:ind w:left="220" w:right="319" w:firstLine="342"/>
        <w:spacing w:after="0" w:line="266" w:lineRule="auto"/>
        <w:rPr>
          <w:sz w:val="20"/>
          <w:szCs w:val="20"/>
          <w:color w:val="auto"/>
        </w:rPr>
      </w:pPr>
      <w:r>
        <w:rPr>
          <w:rFonts w:ascii="Times New Roman" w:cs="Times New Roman" w:eastAsia="Times New Roman" w:hAnsi="Times New Roman"/>
          <w:sz w:val="14"/>
          <w:szCs w:val="14"/>
          <w:color w:val="auto"/>
        </w:rPr>
        <w:t>All alterations, trade fixtures and personal property installed in the Premises solely at Tenant’s expense shall during the term of this Lease remain Tenant’s property and Tenant shall be entitled to all depreciation, amortization and other tax benefits with respect thereto (excluding the Tenant Improvements).</w:t>
      </w:r>
    </w:p>
    <w:p>
      <w:pPr>
        <w:spacing w:after="0" w:line="50" w:lineRule="exact"/>
        <w:rPr>
          <w:sz w:val="20"/>
          <w:szCs w:val="20"/>
          <w:color w:val="auto"/>
        </w:rPr>
      </w:pPr>
    </w:p>
    <w:p>
      <w:pPr>
        <w:ind w:left="220" w:right="239" w:firstLine="345"/>
        <w:spacing w:after="0" w:line="252" w:lineRule="auto"/>
        <w:tabs>
          <w:tab w:leader="none" w:pos="753"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at Tenant’s sole cost and expense, fully, diligently and in a timely manner, comply with all present and future “</w:t>
      </w:r>
      <w:r>
        <w:rPr>
          <w:rFonts w:ascii="Times New Roman" w:cs="Times New Roman" w:eastAsia="Times New Roman" w:hAnsi="Times New Roman"/>
          <w:sz w:val="14"/>
          <w:szCs w:val="14"/>
          <w:b w:val="1"/>
          <w:bCs w:val="1"/>
          <w:color w:val="auto"/>
        </w:rPr>
        <w:t>Laws</w:t>
      </w:r>
      <w:r>
        <w:rPr>
          <w:rFonts w:ascii="Times New Roman" w:cs="Times New Roman" w:eastAsia="Times New Roman" w:hAnsi="Times New Roman"/>
          <w:sz w:val="14"/>
          <w:szCs w:val="14"/>
          <w:color w:val="auto"/>
        </w:rPr>
        <w:t xml:space="preserve">,” which term is used in this Lease to mean all laws, rules, regulations, ordinances, directives, orders, covenants, permits of all governmental agencies and authorities, easements and restrictions of record, the requirements of any applicable fire insurance underwriter or rating bureau or board of fire underwriters, relating in any manner to the Premises and/or Tenant’s use or occupancy of the Premises (including but not limited to matters pertaining to industrial hygiene, environmental conditions on, in, under or about the Premises, including soil and groundwater conditions, subject to the provisions of </w:t>
      </w:r>
      <w:r>
        <w:rPr>
          <w:rFonts w:ascii="Times New Roman" w:cs="Times New Roman" w:eastAsia="Times New Roman" w:hAnsi="Times New Roman"/>
          <w:sz w:val="14"/>
          <w:szCs w:val="14"/>
          <w:u w:val="single" w:color="auto"/>
          <w:color w:val="auto"/>
        </w:rPr>
        <w:t>Paragraph 9</w:t>
      </w:r>
      <w:r>
        <w:rPr>
          <w:rFonts w:ascii="Times New Roman" w:cs="Times New Roman" w:eastAsia="Times New Roman" w:hAnsi="Times New Roman"/>
          <w:sz w:val="14"/>
          <w:szCs w:val="14"/>
          <w:color w:val="auto"/>
        </w:rPr>
        <w:t xml:space="preserve"> hereof, and the use, generation, manufacture, production, installation, maintenance, removal, transportation, storage, spill, or release of any Hazardous Materials (which are addressed in </w:t>
      </w:r>
      <w:r>
        <w:rPr>
          <w:rFonts w:ascii="Times New Roman" w:cs="Times New Roman" w:eastAsia="Times New Roman" w:hAnsi="Times New Roman"/>
          <w:sz w:val="14"/>
          <w:szCs w:val="14"/>
          <w:u w:val="single" w:color="auto"/>
          <w:color w:val="auto"/>
        </w:rPr>
        <w:t>Paragraph 9</w:t>
      </w:r>
      <w:r>
        <w:rPr>
          <w:rFonts w:ascii="Times New Roman" w:cs="Times New Roman" w:eastAsia="Times New Roman" w:hAnsi="Times New Roman"/>
          <w:sz w:val="14"/>
          <w:szCs w:val="14"/>
          <w:color w:val="auto"/>
        </w:rPr>
        <w:t xml:space="preserve"> hereof)), now in effect or which may hereafter come into effect. Additionally, Tenant shall be solely responsible for the payment of all costs, fees and expenses associated with any modifications, improvements or alterations to the Premises, Building, the Common Areas and/or the Park occasioned by the enactment of, or changes to, any Laws arising from Tenant’s particular use of the Premises or alterations, improvements or additions made to the Premises by Tenant or at Tenant’s request regardless of when such Laws became effective. Tenant shall, within five (5) days after receipt of Landlord’s written request, provide Landlord with copies of all documents and information, including but not limited to permits, registrations, manifests, applications, reports and certificates, evidencing Tenant’s compliance with any Laws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Laws. Notwithstanding the foregoing, any structural changes or repairs or other changes or repairs to the Property of any nature which would be considered a capital expenditure under generally accepted accounting principles to the Premises shall be made by Landlord at Tenant’s expense if such structural repairs or changes are required by reason of the specific nature of the use of the Premises by Tenant or due to alterations by or on behalf of Tenant. If such changes or repairs are not required by reason of the specific nature of Tenant’s use of the Premises or alterations by or on behalf of Tenant and are capital expenditures, the cost of such changes or repairs shall be treated as an Operating Expense and amortized in accordance with the provisions of </w:t>
      </w:r>
      <w:r>
        <w:rPr>
          <w:rFonts w:ascii="Times New Roman" w:cs="Times New Roman" w:eastAsia="Times New Roman" w:hAnsi="Times New Roman"/>
          <w:sz w:val="14"/>
          <w:szCs w:val="14"/>
          <w:u w:val="single" w:color="auto"/>
          <w:color w:val="auto"/>
        </w:rPr>
        <w:t>Paragraph 5(b)</w:t>
      </w:r>
      <w:r>
        <w:rPr>
          <w:rFonts w:ascii="Times New Roman" w:cs="Times New Roman" w:eastAsia="Times New Roman" w:hAnsi="Times New Roman"/>
          <w:sz w:val="14"/>
          <w:szCs w:val="14"/>
          <w:color w:val="auto"/>
        </w:rPr>
        <w:t>. Notwithstanding anything to the contrary, Tenant shall have no liability or obligation to correct a violation of Laws, which exist in the Premises as of the Commencement Date, except to the extent expressly set forth in this Section.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2" w:right="1440" w:bottom="1440" w:gutter="0" w:footer="0" w:header="0"/>
        </w:sectPr>
      </w:pPr>
    </w:p>
    <w:bookmarkStart w:id="628" w:name="page629"/>
    <w:bookmarkEnd w:id="628"/>
    <w:p>
      <w:pPr>
        <w:ind w:left="220" w:right="239" w:firstLine="345"/>
        <w:spacing w:after="0" w:line="254" w:lineRule="auto"/>
        <w:tabs>
          <w:tab w:leader="none" w:pos="737"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Subject to Paragraph 31</w:t>
      </w:r>
      <w:r>
        <w:rPr>
          <w:rFonts w:ascii="Times New Roman" w:cs="Times New Roman" w:eastAsia="Times New Roman" w:hAnsi="Times New Roman"/>
          <w:sz w:val="14"/>
          <w:szCs w:val="14"/>
          <w:color w:val="auto"/>
        </w:rPr>
        <w:t>, Landlord, Landlord’s agents, employees, contractors and designated representatives, and the holders of any mortgages, deeds of trust or ground leases on the Premises (“</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 shall have the right to enter the Premises at any time in the case of an emergency, and otherwise at reasonable times after at least one (1) business day prior notice to Tenant, for the purpose of inspecting the condition of the Premises and for verifying compliance by Tenant with this Lease and all Laws, and Landlord shall be entitled to employ experts and/or consultants in connection therewith to advise Landlord with respect to Tenant’s activities, including but not limited to Tenant’s installation, operation, use, monitoring, maintenance, or removal of any Hazardous Substance on or from the Premises. The costs and expenses of any such inspections shall be paid by the party requesting same, unless a violation of Laws or a contamination, caused, directly or indirectly, by Tenant, is found to exist or to be imminent, or unless the inspection is requested or ordered by a governmental authority as the result of any such existing or imminent violation or contamination. In such case, Tenant shall upon request reimburse Landlord or Landlord’s Lender, as the case may be, for the costs and expenses of such inspections.</w:t>
      </w:r>
    </w:p>
    <w:p>
      <w:pPr>
        <w:spacing w:after="0" w:line="61" w:lineRule="exact"/>
        <w:rPr>
          <w:rFonts w:ascii="Times New Roman" w:cs="Times New Roman" w:eastAsia="Times New Roman" w:hAnsi="Times New Roman"/>
          <w:sz w:val="14"/>
          <w:szCs w:val="14"/>
          <w:color w:val="auto"/>
        </w:rPr>
      </w:pPr>
    </w:p>
    <w:p>
      <w:pPr>
        <w:ind w:left="220" w:right="499" w:firstLine="345"/>
        <w:spacing w:after="0" w:line="282" w:lineRule="auto"/>
        <w:tabs>
          <w:tab w:leader="none" w:pos="76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this Lease, Tenant shall comply, at Tenant’s expense, with all of the covenants, conditions, and restrictions affecting the Premises which are recorded in the Official Records of Alameda County, California, and which are in effect as of the date of this Lease.</w:t>
      </w:r>
    </w:p>
    <w:p>
      <w:pPr>
        <w:spacing w:after="0" w:line="41" w:lineRule="exact"/>
        <w:rPr>
          <w:rFonts w:ascii="Times New Roman" w:cs="Times New Roman" w:eastAsia="Times New Roman" w:hAnsi="Times New Roman"/>
          <w:sz w:val="14"/>
          <w:szCs w:val="14"/>
          <w:color w:val="auto"/>
        </w:rPr>
      </w:pPr>
    </w:p>
    <w:p>
      <w:pPr>
        <w:ind w:left="220" w:right="239" w:firstLine="345"/>
        <w:spacing w:after="0" w:line="252" w:lineRule="auto"/>
        <w:tabs>
          <w:tab w:leader="none" w:pos="76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shall surrender the Premises by the last day of the lease Term or any earlier termination date, with all of the improvements to the Premises, parts, and surfaces thereof clean and free of debris and in as good operating order, condition, and state of repair as received, ordinary wear and tear, casualty and condemnation excepted. Tenant’s failure to surrender the Premises in accordance with the terms and conditions of this Lease, including, without limitation, this </w:t>
      </w:r>
      <w:r>
        <w:rPr>
          <w:rFonts w:ascii="Times New Roman" w:cs="Times New Roman" w:eastAsia="Times New Roman" w:hAnsi="Times New Roman"/>
          <w:sz w:val="14"/>
          <w:szCs w:val="14"/>
          <w:u w:val="single" w:color="auto"/>
          <w:color w:val="auto"/>
        </w:rPr>
        <w:t>Paragraph 14(h)</w:t>
      </w:r>
      <w:r>
        <w:rPr>
          <w:rFonts w:ascii="Times New Roman" w:cs="Times New Roman" w:eastAsia="Times New Roman" w:hAnsi="Times New Roman"/>
          <w:sz w:val="14"/>
          <w:szCs w:val="14"/>
          <w:color w:val="auto"/>
        </w:rPr>
        <w:t xml:space="preserve"> shall be deemed to be a material default under the Lease. “</w:t>
      </w:r>
      <w:r>
        <w:rPr>
          <w:rFonts w:ascii="Times New Roman" w:cs="Times New Roman" w:eastAsia="Times New Roman" w:hAnsi="Times New Roman"/>
          <w:sz w:val="14"/>
          <w:szCs w:val="14"/>
          <w:b w:val="1"/>
          <w:bCs w:val="1"/>
          <w:color w:val="auto"/>
        </w:rPr>
        <w:t>Ordinary wear and tear</w:t>
      </w:r>
      <w:r>
        <w:rPr>
          <w:rFonts w:ascii="Times New Roman" w:cs="Times New Roman" w:eastAsia="Times New Roman" w:hAnsi="Times New Roman"/>
          <w:sz w:val="14"/>
          <w:szCs w:val="14"/>
          <w:color w:val="auto"/>
        </w:rPr>
        <w:t>” shall not include any damage or deterioration that would have been prevented by good maintenance practice or by Tenant performing all of its obligations under this Lease. Notwithstanding the foregoing, prior to the last day of the Term (or earlier termination of the Lease), Tenant shall (i) restore all walls in the Premises to the same condition existing immediately following completion of the Tenant Improvements and Landlord Improvements, including patching and sanding all holes to match the original texture of the walls and painting; (ii) replace any broken, chipped, stained or discolored ceiling tiles in the Premises to match the existing tiles; and (iii) vacuum and steam clean all carpets and remove all stains, or, to the extent any stains cannot be removed, then Tenant shall replace the entire carpet with the same color (if applicable) existing as of the Commencement Date. In addition to the foregoing, the obligations of Tenant shall include the repair of any damage occasioned by the installation, maintenance, or removal of Tenant’s trade fixtures, furnishings, equipment, and alterations, and the restoration by Tenant of the Premises to its condition upon completion of the Tenant Improvements and Landlord Improvements (Tenant shall not be required to remove any of the Tenant Improvements nor Landlord Improvements) pursuant to Paragraph 14(d) above. Subject to the foregoing, upon the expiration or sooner termination of this Lease all alterations, fixtures and improvements to the Premises, whether made by Landlord or installed by Tenant at Tenant’s expense, shall be surrendered by Tenant with the Premises and shall become the property of Landlord; provided,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629" w:name="page630"/>
    <w:bookmarkEnd w:id="629"/>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however, that Tenant’s furniture and other personal property, not provided by or paid for by Landlord and not permanently affixed to the Premises which can be removed without materially damaging the Premises may be removed by Tenant. Tenant shall repair to Landlord’s reasonable satisfaction all damage to the Premises occasioned by removal of Tenant’s property. Prior to the expiration of the term of this Lease or any earlier termination date, Tenant shall, at Tenant’s expense, obtain written closure reports from the Alameda County Department of Environmental Health and comply with any and all other applicable municipal, county, state and federal statutes, laws, ordinances and regulations governing and regulating any Hazardous Materials used, stored, or released by Tenant on or about the Premises (“</w:t>
      </w:r>
      <w:r>
        <w:rPr>
          <w:rFonts w:ascii="Times New Roman" w:cs="Times New Roman" w:eastAsia="Times New Roman" w:hAnsi="Times New Roman"/>
          <w:sz w:val="14"/>
          <w:szCs w:val="14"/>
          <w:b w:val="1"/>
          <w:bCs w:val="1"/>
          <w:color w:val="auto"/>
        </w:rPr>
        <w:t>Hazardous Materials Authoritie</w:t>
      </w:r>
      <w:r>
        <w:rPr>
          <w:rFonts w:ascii="Times New Roman" w:cs="Times New Roman" w:eastAsia="Times New Roman" w:hAnsi="Times New Roman"/>
          <w:sz w:val="14"/>
          <w:szCs w:val="14"/>
          <w:color w:val="auto"/>
        </w:rPr>
        <w:t>s”). Written closure reports shall provide written certification that all Hazardous Materials have been removed from the Premises and that no further action is required in connection with the closure of the Premises. Any removal and remediation of Hazardous Materials by Tenant shall be certified in writing as (1) complete and (2) having been properly performed, by the Alameda County Department of Environmental Health and any other applicable Hazardous Materials Authorities and a copy of such written certifications shall be delivered by Tenant to Landlord no later than the last day of the Term of this Lease.</w:t>
      </w:r>
    </w:p>
    <w:p>
      <w:pPr>
        <w:spacing w:after="0" w:line="66" w:lineRule="exact"/>
        <w:rPr>
          <w:sz w:val="20"/>
          <w:szCs w:val="20"/>
          <w:color w:val="auto"/>
        </w:rPr>
      </w:pPr>
    </w:p>
    <w:p>
      <w:pPr>
        <w:ind w:left="220" w:right="499" w:firstLine="345"/>
        <w:spacing w:after="0" w:line="282" w:lineRule="auto"/>
        <w:tabs>
          <w:tab w:leader="none" w:pos="7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waives all right to make repairs at the expense of Landlord, or to deduct the costs thereof from the rent, and Tenant waives all rights under Section 1941 and 1942 of the Civil Code of the State of California.</w:t>
      </w:r>
    </w:p>
    <w:p>
      <w:pPr>
        <w:spacing w:after="0" w:line="41" w:lineRule="exact"/>
        <w:rPr>
          <w:rFonts w:ascii="Times New Roman" w:cs="Times New Roman" w:eastAsia="Times New Roman" w:hAnsi="Times New Roman"/>
          <w:sz w:val="14"/>
          <w:szCs w:val="14"/>
          <w:color w:val="auto"/>
        </w:rPr>
      </w:pPr>
    </w:p>
    <w:p>
      <w:pPr>
        <w:ind w:left="220" w:right="239" w:firstLine="345"/>
        <w:spacing w:after="0" w:line="252" w:lineRule="auto"/>
        <w:tabs>
          <w:tab w:leader="none" w:pos="7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Americans with Disabilities Act: Landlord and Tenant hereby agree and acknowledge that the Premises, the Building and/or the Park may be subject to the requirements of the Americans with Disabilities Act, a federal law codified at 42 U.S.C. 12101 et seq, including, but not limited to Title III thereof, all regulations and guidelines related thereto, together with any and all laws, rules, regulations, ordinances, codes and statutes now or hereafter enacted by local or state agencies having jurisdiction thereof, including all requirements of Title 24 of the State of California, as the same may be in effect on the date of this Lease and may be hereafter modified, amended or supplemented (collectively, the “</w:t>
      </w:r>
      <w:r>
        <w:rPr>
          <w:rFonts w:ascii="Times New Roman" w:cs="Times New Roman" w:eastAsia="Times New Roman" w:hAnsi="Times New Roman"/>
          <w:sz w:val="14"/>
          <w:szCs w:val="14"/>
          <w:b w:val="1"/>
          <w:bCs w:val="1"/>
          <w:color w:val="auto"/>
        </w:rPr>
        <w:t>ADA</w:t>
      </w:r>
      <w:r>
        <w:rPr>
          <w:rFonts w:ascii="Times New Roman" w:cs="Times New Roman" w:eastAsia="Times New Roman" w:hAnsi="Times New Roman"/>
          <w:sz w:val="14"/>
          <w:szCs w:val="14"/>
          <w:color w:val="auto"/>
        </w:rPr>
        <w:t xml:space="preserve">”). Any Tenant Improvements to be constructed hereunder shall be in compliance with the requirements of the ADA, and all costs incurred for purposes of compliance therewith shall be a part of and included in the costs of the Tenant Improvements. Tenant shall be solely responsible for conducting its own independent investigation of this matter and for ensuring that the design of all Tenant Improvements strictly comply with all requirements of the ADA. Subject to reimbursement pursuant to </w:t>
      </w:r>
      <w:r>
        <w:rPr>
          <w:rFonts w:ascii="Times New Roman" w:cs="Times New Roman" w:eastAsia="Times New Roman" w:hAnsi="Times New Roman"/>
          <w:sz w:val="14"/>
          <w:szCs w:val="14"/>
          <w:u w:val="single" w:color="auto"/>
          <w:color w:val="auto"/>
        </w:rPr>
        <w:t>Paragraph 6</w:t>
      </w:r>
      <w:r>
        <w:rPr>
          <w:rFonts w:ascii="Times New Roman" w:cs="Times New Roman" w:eastAsia="Times New Roman" w:hAnsi="Times New Roman"/>
          <w:sz w:val="14"/>
          <w:szCs w:val="14"/>
          <w:color w:val="auto"/>
        </w:rPr>
        <w:t xml:space="preserve"> of the Lease, if any barrier removal work or other work is required to the Building, the Common Areas or the Park under the ADA, then such work shall be the responsibility of Landlord; provided, if such work is required under the ADA as a result of Tenant’s specific use of the Premises or any work or alteration made to the Premises by or on behalf of Tenant, then such work shall be performed by Landlord at the sole cost and expense of Tenant. Except as otherwise expressly provided in this Lease, Tenant shall be responsible at its sole cost and expense for fully and faithfully complying with all applicable requirements of the ADA, including without limitation, not discriminating against any disabled persons in the operation of Tenant’s business in or about the Premises, and offering or otherwise providing auxiliary aids and services as, and when, required by the ADA. Within ten (10) days after receipt, Landlord and Tenant shall advise the other party in writing, and provide the other with copies of (as applicable), any notices alleging violation of the ADA relating to any portion of the Premises or the Building; any claims made or threatened in writing regarding noncompliance with the ADA and relating to any portion of the Premises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630" w:name="page631"/>
    <w:bookmarkEnd w:id="630"/>
    <w:p>
      <w:pPr>
        <w:ind w:left="220" w:right="259"/>
        <w:spacing w:after="0" w:line="28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Building; or any governmental or regulatory actions or investigations instituted or threatened regarding noncompliance with the ADA and relating to any portion of the Premises or the Building. Tenant shall and hereby agrees to protect, defend (with counsel acceptable to Landlord) and hold Landlord and the other Indemnitees harmless and indemnify the Indemnitees from and against all liabilities, damages, claims, losses, penalties, judgments, charges and expenses (including reasonable attorneys’ fees, costs of court and expenses necessary in the prosecution or defense of any litigation including the enforcement of this provision) arising from or in any way related to, directly or indirectly, Tenant’s or Tenant’s Representatives’ violation or alleged violation of the ADA. Tenant agrees that the obligations of Tenant herein shall survive the expiration or earlier termination of this Lease.</w:t>
      </w:r>
    </w:p>
    <w:p>
      <w:pPr>
        <w:spacing w:after="0" w:line="45" w:lineRule="exact"/>
        <w:rPr>
          <w:sz w:val="20"/>
          <w:szCs w:val="20"/>
          <w:color w:val="auto"/>
        </w:rPr>
      </w:pPr>
    </w:p>
    <w:p>
      <w:pPr>
        <w:ind w:left="220" w:right="759" w:firstLine="345"/>
        <w:spacing w:after="0" w:line="282" w:lineRule="auto"/>
        <w:tabs>
          <w:tab w:leader="none" w:pos="760"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CASp Disclosure: For purposes of Section 1938 of the California Civil Code, Landlord hereby discloses to Tenant, and Tenant hereby acknowledges, that (check one):</w:t>
      </w:r>
    </w:p>
    <w:p>
      <w:pPr>
        <w:spacing w:after="0" w:line="146" w:lineRule="exact"/>
        <w:rPr>
          <w:rFonts w:ascii="Times New Roman" w:cs="Times New Roman" w:eastAsia="Times New Roman" w:hAnsi="Times New Roman"/>
          <w:sz w:val="14"/>
          <w:szCs w:val="14"/>
          <w:color w:val="auto"/>
        </w:rPr>
      </w:pPr>
    </w:p>
    <w:p>
      <w:pPr>
        <w:ind w:left="560" w:hanging="337"/>
        <w:spacing w:after="0"/>
        <w:tabs>
          <w:tab w:leader="none" w:pos="560" w:val="left"/>
        </w:tabs>
        <w:numPr>
          <w:ilvl w:val="0"/>
          <w:numId w:val="43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Landlord’s actual knowledge, the Premises have undergone inspection by a Certified Access Specialist (CASp).</w:t>
      </w:r>
    </w:p>
    <w:p>
      <w:pPr>
        <w:spacing w:after="0" w:line="175" w:lineRule="exact"/>
        <w:rPr>
          <w:sz w:val="20"/>
          <w:szCs w:val="20"/>
          <w:color w:val="auto"/>
        </w:rPr>
      </w:pPr>
    </w:p>
    <w:p>
      <w:pPr>
        <w:ind w:left="220" w:right="279"/>
        <w:spacing w:after="0" w:line="255" w:lineRule="auto"/>
        <w:rPr>
          <w:sz w:val="20"/>
          <w:szCs w:val="20"/>
          <w:color w:val="auto"/>
        </w:rPr>
      </w:pPr>
      <w:r>
        <w:rPr>
          <w:rFonts w:ascii="Times New Roman" w:cs="Times New Roman" w:eastAsia="Times New Roman" w:hAnsi="Times New Roman"/>
          <w:sz w:val="14"/>
          <w:szCs w:val="14"/>
          <w:color w:val="auto"/>
        </w:rPr>
        <w:t>If the Premises have undergone inspection by a CASp prior to the execution of this Lease and, to the best of Landlord’s knowledge, there have been no modifications or alterations completed or commenced between the date of the inspection and the date of this Lease which have impacted the Premises’ compliance with construction-related accessibility standards, Section 1938 requires Landlord to provide to Tenant, prior to execution of this Lease, a copy of any report prepared by the CASp. If, prior to the date of this Lease, the Premises were issued an inspection report by a CASp indicating that it meets applicable standards, as defined in paragraph (4) of subdivision (a) of California Civil Code Section 55.52, Landlord is required to provide a copy of the current disability access inspection certificate and any inspection report to Tenant that was not already provided pursuant to the foregoing sentence, within seven (7) days of the date of the execution of this Lease.</w:t>
      </w:r>
    </w:p>
    <w:p>
      <w:pPr>
        <w:spacing w:after="0" w:line="167" w:lineRule="exact"/>
        <w:rPr>
          <w:sz w:val="20"/>
          <w:szCs w:val="20"/>
          <w:color w:val="auto"/>
        </w:rPr>
      </w:pPr>
    </w:p>
    <w:p>
      <w:pPr>
        <w:ind w:left="560" w:hanging="337"/>
        <w:spacing w:after="0"/>
        <w:tabs>
          <w:tab w:leader="none" w:pos="560" w:val="left"/>
        </w:tabs>
        <w:numPr>
          <w:ilvl w:val="0"/>
          <w:numId w:val="43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Landlord’s actual knowledge, the Premises have not undergone inspection by a CASp.</w:t>
      </w:r>
    </w:p>
    <w:p>
      <w:pPr>
        <w:spacing w:after="0" w:line="174" w:lineRule="exact"/>
        <w:rPr>
          <w:rFonts w:ascii="MS PGothic" w:cs="MS PGothic" w:eastAsia="MS PGothic" w:hAnsi="MS PGothic"/>
          <w:sz w:val="14"/>
          <w:szCs w:val="14"/>
          <w:color w:val="auto"/>
        </w:rPr>
      </w:pPr>
    </w:p>
    <w:p>
      <w:pPr>
        <w:ind w:left="2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96" w:lineRule="exact"/>
        <w:rPr>
          <w:sz w:val="20"/>
          <w:szCs w:val="20"/>
          <w:color w:val="auto"/>
        </w:rPr>
      </w:pPr>
    </w:p>
    <w:p>
      <w:pPr>
        <w:ind w:left="560" w:right="439" w:hanging="337"/>
        <w:spacing w:after="0" w:line="266" w:lineRule="auto"/>
        <w:tabs>
          <w:tab w:leader="none" w:pos="560" w:val="left"/>
        </w:tabs>
        <w:numPr>
          <w:ilvl w:val="0"/>
          <w:numId w:val="43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Landlord’s actual knowledge, the Premises have undergone inspection by a CASP but, to the best of Landlord’s knowledge, there have been intervening modifications or alterations completed or commenced which have impacted the Premises compliance with construction related accessibility standards.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California Civil Code Section 1938 states:</w:t>
      </w:r>
    </w:p>
    <w:p>
      <w:pPr>
        <w:spacing w:after="0" w:line="91" w:lineRule="exact"/>
        <w:rPr>
          <w:sz w:val="20"/>
          <w:szCs w:val="20"/>
          <w:color w:val="auto"/>
        </w:rPr>
      </w:pPr>
    </w:p>
    <w:p>
      <w:pPr>
        <w:ind w:left="220" w:right="439"/>
        <w:spacing w:after="0" w:line="256" w:lineRule="auto"/>
        <w:rPr>
          <w:sz w:val="20"/>
          <w:szCs w:val="20"/>
          <w:color w:val="auto"/>
        </w:rPr>
      </w:pPr>
      <w:r>
        <w:rPr>
          <w:rFonts w:ascii="Times New Roman" w:cs="Times New Roman" w:eastAsia="Times New Roman" w:hAnsi="Times New Roman"/>
          <w:sz w:val="14"/>
          <w:szCs w:val="14"/>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Landlord may not prohibit the Tenant or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631" w:name="page632"/>
    <w:bookmarkEnd w:id="631"/>
    <w:p>
      <w:pPr>
        <w:ind w:left="220" w:right="3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anything to the contrary in this Lease, Landlord and Tenant hereby agree that, during the Term of this Lease, as the same may be extended, Tenant shall be responsible for (i) the payment of the fee for any CASp inspection that Tenant desires, and (ii) making, at Tenant’s cost, any repairs necessary to correct violations of construction-related accessibility standards within the Premises provided that such repairs shall be in accordance with the terms of the Lease (as amended). Tenant hereby agrees that: any CASp inspecting the Premises shall be selected by Landlord; Tenant shall promptly deliver to Landlord any CASp report regarding the Premises obtained by Tenant; and Tenant shall keep information contained in any CASp report regarding the Premises confidential, except as may be necessary for Tenant or its agents to complete any repairs or correct violations with respect to the Premises that Tenant agrees to undertake. Tenant shall have no right to cancel or terminate the Lease (as amended) due to violations of construction-related accessibility standards within the Premises identified in a CASp report obtained during the Term of the Lease (as may be extended).</w:t>
      </w:r>
    </w:p>
    <w:p>
      <w:pPr>
        <w:spacing w:after="0" w:line="62" w:lineRule="exact"/>
        <w:rPr>
          <w:sz w:val="20"/>
          <w:szCs w:val="20"/>
          <w:color w:val="auto"/>
        </w:rPr>
      </w:pPr>
    </w:p>
    <w:p>
      <w:pPr>
        <w:ind w:left="220" w:right="239" w:firstLine="345"/>
        <w:spacing w:after="0" w:line="252" w:lineRule="auto"/>
        <w:tabs>
          <w:tab w:leader="none" w:pos="729"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Landlord’s Failure to Perform Repair and Maintenance Obligations: Tenant has advised Landlord that Tenant must maintain certain CLIA certifications relating to the Permitted Use of the Premises and that if Landlord fails to complete necessary repairs and/or maintenance to the Building that Landlord is obligated to perform under the terms and conditions of this Lease, such failure may invalidate Tenant’s certification (the </w:t>
      </w:r>
      <w:r>
        <w:rPr>
          <w:rFonts w:ascii="Times New Roman" w:cs="Times New Roman" w:eastAsia="Times New Roman" w:hAnsi="Times New Roman"/>
          <w:sz w:val="14"/>
          <w:szCs w:val="14"/>
          <w:b w:val="1"/>
          <w:bCs w:val="1"/>
          <w:color w:val="auto"/>
        </w:rPr>
        <w:t>“Certification</w:t>
      </w:r>
      <w:r>
        <w:rPr>
          <w:rFonts w:ascii="Times New Roman" w:cs="Times New Roman" w:eastAsia="Times New Roman" w:hAnsi="Times New Roman"/>
          <w:sz w:val="14"/>
          <w:szCs w:val="14"/>
          <w:color w:val="auto"/>
        </w:rPr>
        <w:t>”). Landlord shall have no liability to Tenant arising out of or in connection with Tenant’s inability to obtain or maintain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 Notwithstanding any provision set forth in this Lease to the contrary, if Tenant provides written notice to Landlord (the “</w:t>
      </w:r>
      <w:r>
        <w:rPr>
          <w:rFonts w:ascii="Times New Roman" w:cs="Times New Roman" w:eastAsia="Times New Roman" w:hAnsi="Times New Roman"/>
          <w:sz w:val="14"/>
          <w:szCs w:val="14"/>
          <w:b w:val="1"/>
          <w:bCs w:val="1"/>
          <w:color w:val="auto"/>
        </w:rPr>
        <w:t>First Notice</w:t>
      </w:r>
      <w:r>
        <w:rPr>
          <w:rFonts w:ascii="Times New Roman" w:cs="Times New Roman" w:eastAsia="Times New Roman" w:hAnsi="Times New Roman"/>
          <w:sz w:val="14"/>
          <w:szCs w:val="14"/>
          <w:color w:val="auto"/>
        </w:rPr>
        <w:t xml:space="preserve">”) of necessary repair and/or maintenance to the Premises that Landlord is obligated to perform under </w:t>
      </w: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xml:space="preserve"> of this Lease which are critical to Tenant’s maintenance of the Certification necessary for the Permitted Use of the Premises, and Landlord thereafter fails to perform such repair or maintenance within three (3) days after Landlord’s receipt of the First Notice from Tenant, then Tenant may, upon an additional three (3) days’ prior written notice to Landlord and opportunity to commence a cure, which notice must state in bold-faced, all capital letters “</w:t>
      </w:r>
      <w:r>
        <w:rPr>
          <w:rFonts w:ascii="Times New Roman" w:cs="Times New Roman" w:eastAsia="Times New Roman" w:hAnsi="Times New Roman"/>
          <w:sz w:val="14"/>
          <w:szCs w:val="14"/>
          <w:b w:val="1"/>
          <w:bCs w:val="1"/>
          <w:color w:val="auto"/>
        </w:rPr>
        <w:t>FAILURE TO COMMENCE A CURE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WITHIN 3 DAYS FOLLOWING RECEIPT OF THIS NOTICE WILL RESULT IN THE EXERCISE OF SELF-HELP RIGHTS</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Second Notice</w:t>
      </w:r>
      <w:r>
        <w:rPr>
          <w:rFonts w:ascii="Times New Roman" w:cs="Times New Roman" w:eastAsia="Times New Roman" w:hAnsi="Times New Roman"/>
          <w:sz w:val="14"/>
          <w:szCs w:val="14"/>
          <w:color w:val="auto"/>
        </w:rPr>
        <w:t>”) perform Landlord’s repair or maintenance obligations the subject of Tenant’s notice. In no event shall Tenant be permitted to complete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maintenance or repair work to the structural portions of the Building or the roof of the Building or complete any replacements of a capital nature. If such action was required under the terms of the Lease to be taken by Landlord and was not taken by Landlord within such three (3) day period following Landlord’s receipt of the Second Notice and Tenant elects to perform Landlord’s repair or maintenance obligations, then Tenant shall (subject to the below terms and conditions) be entitled to prompt reimbursement by Landlord of Tenant’s actual and reasonable costs and expenses in taking such action within thirty (30) days after the date Landlord receives a bill therefor accompanied by invoices or other documentation to substantiate the amount paid by Tenant with a reasonably particularized breakdown of its costs and expenses in connection with taking such action. In the event Tenant takes such action, Tenant shall use only those contractors used by Landlord in the Building. In the event that Tenant exercises it self-help rights under this </w:t>
      </w:r>
      <w:r>
        <w:rPr>
          <w:rFonts w:ascii="Times New Roman" w:cs="Times New Roman" w:eastAsia="Times New Roman" w:hAnsi="Times New Roman"/>
          <w:sz w:val="14"/>
          <w:szCs w:val="14"/>
          <w:u w:val="single" w:color="auto"/>
          <w:color w:val="auto"/>
        </w:rPr>
        <w:t>Section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2" w:right="1440" w:bottom="1440" w:gutter="0" w:footer="0" w:header="0"/>
        </w:sectPr>
      </w:pPr>
    </w:p>
    <w:bookmarkStart w:id="632" w:name="page633"/>
    <w:bookmarkEnd w:id="632"/>
    <w:p>
      <w:pPr>
        <w:ind w:left="220" w:right="279"/>
        <w:spacing w:after="0" w:line="261"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14(l)</w:t>
      </w:r>
      <w:r>
        <w:rPr>
          <w:rFonts w:ascii="Times New Roman" w:cs="Times New Roman" w:eastAsia="Times New Roman" w:hAnsi="Times New Roman"/>
          <w:sz w:val="14"/>
          <w:szCs w:val="14"/>
          <w:color w:val="auto"/>
        </w:rPr>
        <w:t xml:space="preserve">, Tenant agrees to indemnify, defend and hold Landlord harmless from and against any and all claims, losses, costs, expenses, damages, awards and/or proceedings arising as a result of Tenant’s performance of its self-help rights (including, without limitation, personal injuries, damage to property and interference with use or occupancy of the Property by tenants or occupants of the Property or their invitees). The obligations set forth in this </w:t>
      </w:r>
      <w:r>
        <w:rPr>
          <w:rFonts w:ascii="Times New Roman" w:cs="Times New Roman" w:eastAsia="Times New Roman" w:hAnsi="Times New Roman"/>
          <w:sz w:val="14"/>
          <w:szCs w:val="14"/>
          <w:u w:val="single" w:color="auto"/>
          <w:color w:val="auto"/>
        </w:rPr>
        <w:t>Section 14(l)</w:t>
      </w:r>
      <w:r>
        <w:rPr>
          <w:rFonts w:ascii="Times New Roman" w:cs="Times New Roman" w:eastAsia="Times New Roman" w:hAnsi="Times New Roman"/>
          <w:sz w:val="14"/>
          <w:szCs w:val="14"/>
          <w:color w:val="auto"/>
        </w:rPr>
        <w:t xml:space="preserve"> shall survive the expiration of the Term of this Lease or the earlier termination thereof.</w:t>
      </w:r>
    </w:p>
    <w:p>
      <w:pPr>
        <w:spacing w:after="0" w:line="66" w:lineRule="exact"/>
        <w:rPr>
          <w:sz w:val="20"/>
          <w:szCs w:val="20"/>
          <w:color w:val="auto"/>
        </w:rPr>
      </w:pPr>
    </w:p>
    <w:p>
      <w:pPr>
        <w:ind w:left="560" w:hanging="337"/>
        <w:spacing w:after="0"/>
        <w:tabs>
          <w:tab w:leader="none" w:pos="56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Utilities and Services</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99" w:firstLine="345"/>
        <w:spacing w:after="0" w:line="258" w:lineRule="auto"/>
        <w:tabs>
          <w:tab w:leader="none" w:pos="753"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shall contract for and pay for directly the cost of all water, sewer use, sewer discharge fees and sewer connection fees, gas, heat, electricity, refuse pickup, janitorial service, telephone and other utilities billed or metered separately to the Premises and/or for any such utility fees or use charges that are not billed or metered separately to Tenant, Tenant shall reimburse Landlord therefor pursuant to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as an Operating Expense. Tenant further agrees to timely and faithfully pay, prior to delinquency, any amount, tax, charge, surcharge, assessment or imposition levied, assessed or imposed upon the Premises, or Tenant’s use and occupancy thereof.</w:t>
      </w:r>
    </w:p>
    <w:p>
      <w:pPr>
        <w:spacing w:after="0" w:line="58" w:lineRule="exact"/>
        <w:rPr>
          <w:rFonts w:ascii="Times New Roman" w:cs="Times New Roman" w:eastAsia="Times New Roman" w:hAnsi="Times New Roman"/>
          <w:sz w:val="14"/>
          <w:szCs w:val="14"/>
          <w:color w:val="auto"/>
        </w:rPr>
      </w:pPr>
    </w:p>
    <w:p>
      <w:pPr>
        <w:ind w:left="220" w:right="239" w:firstLine="345"/>
        <w:spacing w:after="0" w:line="256" w:lineRule="auto"/>
        <w:tabs>
          <w:tab w:leader="none" w:pos="760"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 shall not be liable to Tenant for any interruption or failure of any utility services to the Building or the Premises which is not caused by the active negligence or willful acts of Landlord. Tenant shall not be relieved from the performance of any covenant or agreement in this Lease because of any such failure. Landlord shall make all repairs to the Premises required to restore such services to the Premises and the cost thereof shall be payable by Tenant pursuant to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as a current Operating Expense, or as a capital expense which is amortized over its useful life (together with interest thereon) as an Operating Expense in accordance with terms and conditions set forth in </w:t>
      </w:r>
      <w:r>
        <w:rPr>
          <w:rFonts w:ascii="Times New Roman" w:cs="Times New Roman" w:eastAsia="Times New Roman" w:hAnsi="Times New Roman"/>
          <w:sz w:val="14"/>
          <w:szCs w:val="14"/>
          <w:u w:val="single" w:color="auto"/>
          <w:color w:val="auto"/>
        </w:rPr>
        <w:t>Paragraph 5(b)</w:t>
      </w:r>
      <w:r>
        <w:rPr>
          <w:rFonts w:ascii="Times New Roman" w:cs="Times New Roman" w:eastAsia="Times New Roman" w:hAnsi="Times New Roman"/>
          <w:sz w:val="14"/>
          <w:szCs w:val="14"/>
          <w:color w:val="auto"/>
        </w:rPr>
        <w:t>; provided, however, if such failure is caused by the active negligence or willful acts of Landlord, then Landlord shall bear such costs.</w:t>
      </w:r>
    </w:p>
    <w:p>
      <w:pPr>
        <w:spacing w:after="0" w:line="60" w:lineRule="exact"/>
        <w:rPr>
          <w:rFonts w:ascii="Times New Roman" w:cs="Times New Roman" w:eastAsia="Times New Roman" w:hAnsi="Times New Roman"/>
          <w:sz w:val="14"/>
          <w:szCs w:val="14"/>
          <w:color w:val="auto"/>
        </w:rPr>
      </w:pPr>
    </w:p>
    <w:p>
      <w:pPr>
        <w:ind w:left="220" w:right="319" w:firstLine="345"/>
        <w:spacing w:after="0" w:line="254" w:lineRule="auto"/>
        <w:tabs>
          <w:tab w:leader="none" w:pos="753"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Tenant is permitted and elects to contract directly for the provision of electricity, gas and/or water services to the Premises with the third-party provider thereof (all in Landlord’s reasonable discretion), Tenant shall within ten (10) business days following its receipt of written request from Landlord, provide Landlord with a copy of each requested invoice from the applicable utility provider. Tenant acknowledges that pursuant to California Public Resources Code Section 25402.10 and the regulations adopted pursuant thereto (collectively, the “</w:t>
      </w:r>
      <w:r>
        <w:rPr>
          <w:rFonts w:ascii="Times New Roman" w:cs="Times New Roman" w:eastAsia="Times New Roman" w:hAnsi="Times New Roman"/>
          <w:sz w:val="14"/>
          <w:szCs w:val="14"/>
          <w:b w:val="1"/>
          <w:bCs w:val="1"/>
          <w:color w:val="auto"/>
        </w:rPr>
        <w:t>Energy Disclosure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Requirements</w:t>
      </w:r>
      <w:r>
        <w:rPr>
          <w:rFonts w:ascii="Times New Roman" w:cs="Times New Roman" w:eastAsia="Times New Roman" w:hAnsi="Times New Roman"/>
          <w:sz w:val="14"/>
          <w:szCs w:val="14"/>
          <w:color w:val="auto"/>
        </w:rPr>
        <w:t>”), Landlord may be required to disclose information concerning Tenant’s energy usage at the Building to certain third parties,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limitation, prospective purchasers, lenders and Tenants of the Building (the “</w:t>
      </w:r>
      <w:r>
        <w:rPr>
          <w:rFonts w:ascii="Times New Roman" w:cs="Times New Roman" w:eastAsia="Times New Roman" w:hAnsi="Times New Roman"/>
          <w:sz w:val="14"/>
          <w:szCs w:val="14"/>
          <w:b w:val="1"/>
          <w:bCs w:val="1"/>
          <w:color w:val="auto"/>
        </w:rPr>
        <w:t>Tenant Energy Use Disclosure</w:t>
      </w:r>
      <w:r>
        <w:rPr>
          <w:rFonts w:ascii="Times New Roman" w:cs="Times New Roman" w:eastAsia="Times New Roman" w:hAnsi="Times New Roman"/>
          <w:sz w:val="14"/>
          <w:szCs w:val="14"/>
          <w:color w:val="auto"/>
        </w:rPr>
        <w:t>”).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Paragraph shall survive the expiration or earlier termination of this Lease.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633" w:name="page634"/>
    <w:bookmarkEnd w:id="633"/>
    <w:p>
      <w:pPr>
        <w:ind w:left="220" w:right="319" w:firstLine="3"/>
        <w:spacing w:after="0" w:line="254" w:lineRule="auto"/>
        <w:tabs>
          <w:tab w:leader="none" w:pos="43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Liens</w:t>
      </w:r>
      <w:r>
        <w:rPr>
          <w:rFonts w:ascii="Times New Roman" w:cs="Times New Roman" w:eastAsia="Times New Roman" w:hAnsi="Times New Roman"/>
          <w:sz w:val="14"/>
          <w:szCs w:val="14"/>
          <w:color w:val="auto"/>
        </w:rPr>
        <w:t>. Tenant agrees to keep the Premises free from all liens arising out of any work performed, materials furnished, or obligations incurred by Tenant. Tenant shall give Landlord at least ten (10) calendar days prior written notice before commencing any work of improvement on the Premises, the contract price for which exceeds Ten Thousand Dollars ($10,000). Landlord shall have the right to post notices of non-responsibility with respect to any such work. If Tenant shall, in good faith, contest the validity of any such lien, claim or demand, then Tenant shall, at its sole expense, defend and protect itself, Landlord and the Property against the same, and shall pay and satisfy any such adverse judgment that may be rendered thereon before the enforcement thereof against the Landlord or the Property. If Landlord shall require, Tenant shall furnish to Landlord a surety bond satisfactory to Landlord in an amount equal to one and one-half times the amount of such contested claim or demand, indemnifying Landlord against liability for the same, as required by law for the holding of the Property free from the effect of such lien or claim.</w:t>
      </w:r>
    </w:p>
    <w:p>
      <w:pPr>
        <w:spacing w:after="0" w:line="74" w:lineRule="exact"/>
        <w:rPr>
          <w:rFonts w:ascii="Times New Roman" w:cs="Times New Roman" w:eastAsia="Times New Roman" w:hAnsi="Times New Roman"/>
          <w:sz w:val="14"/>
          <w:szCs w:val="14"/>
          <w:color w:val="auto"/>
        </w:rPr>
      </w:pPr>
    </w:p>
    <w:p>
      <w:pPr>
        <w:ind w:left="560" w:hanging="337"/>
        <w:spacing w:after="0"/>
        <w:tabs>
          <w:tab w:leader="none" w:pos="56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and Subletting</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79" w:firstLine="345"/>
        <w:spacing w:after="0" w:line="255" w:lineRule="auto"/>
        <w:tabs>
          <w:tab w:leader="none" w:pos="753"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without the prior written consent of Landlord in each instance pursuant to the terms and conditions set forth below, which consent shall not be unreasonably withheld or delayed, subject to the following provisions; provided, however,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if Tenant shall be in default under this Lease past any applicable cure period.</w:t>
      </w:r>
    </w:p>
    <w:p>
      <w:pPr>
        <w:spacing w:after="0" w:line="61" w:lineRule="exact"/>
        <w:rPr>
          <w:rFonts w:ascii="Times New Roman" w:cs="Times New Roman" w:eastAsia="Times New Roman" w:hAnsi="Times New Roman"/>
          <w:sz w:val="14"/>
          <w:szCs w:val="14"/>
          <w:color w:val="auto"/>
        </w:rPr>
      </w:pPr>
    </w:p>
    <w:p>
      <w:pPr>
        <w:ind w:left="220" w:right="259" w:firstLine="345"/>
        <w:spacing w:after="0" w:line="252" w:lineRule="auto"/>
        <w:tabs>
          <w:tab w:leader="none" w:pos="76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any assignment or sublease which Tenant desires to make, other than a Permitted Transfer (as defined in </w:t>
      </w:r>
      <w:r>
        <w:rPr>
          <w:rFonts w:ascii="Times New Roman" w:cs="Times New Roman" w:eastAsia="Times New Roman" w:hAnsi="Times New Roman"/>
          <w:sz w:val="14"/>
          <w:szCs w:val="14"/>
          <w:u w:val="single" w:color="auto"/>
          <w:color w:val="auto"/>
        </w:rPr>
        <w:t>Paragraph 17(f)</w:t>
      </w:r>
      <w:r>
        <w:rPr>
          <w:rFonts w:ascii="Times New Roman" w:cs="Times New Roman" w:eastAsia="Times New Roman" w:hAnsi="Times New Roman"/>
          <w:sz w:val="14"/>
          <w:szCs w:val="14"/>
          <w:color w:val="auto"/>
        </w:rPr>
        <w:t xml:space="preserve"> below), Tenant shall provide to Landlord the name and address of the proposed assignee or sublessee, and true and complete copies of all documents relating to Tenant’s prospective agreement to assign or sublease, a copy of a current financial statement for such proposed assignee or sublessee, and any other relevant information requested by Landlord within five (5) days after receipt of notice of the proposed assignment or sublease and Tenant shall specify all consideration to be received by Tenant for such assignment or sublease in the form of lump sum payments, installments of rent, or otherwise. For purposes of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the term “consideration” shall include all money or other consideration to be received by Tenant for such assignment or sublease. Within ten (10) days after the receipt of such documentation and other information, Landlord (1) shall notify Tenant in writing that Landlord elects to consent to the proposed assignment or sublease subject to the terms and conditions hereinafter set forth; (2) shall notify Tenant in writing that Landlord refuses such consent, specifying reasonable grounds for such refusal; or (3) except with respect to a Permitted Transferee, if at the time Tenant requests that Landlord consent to an assignment or sublease Tenant has vacated the Premises and is not conducting on-going operations in the Building, Landlord may notify Tenant that Landlord elects to terminate this Lease, provided that with respect to a proposed sublease of a portion of the Premises, Landlord’s termination right shall apply only to the proposed sublease space, and specifying the effective date of termination which shall be the same as the commencement date of the proposed sublease. If Landlord elects to terminate this Lease pursuant to the foregoing provision, upon the effective date of termination, Landlord and Tenant shall each be released and discharged from any liability or obligation to the other under this Lease accruing thereafter with respect to the Premises or the portion thereof to which the termination applies, except for any obligations then outstanding and except for any obligations which survive the expiration or termination of this Lease by the express terms hereof, and Tenant agrees that Landlord may enter into a direct lease with such proposed assignee or sublessee without any obligation or liability to Tenant.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1" w:right="1440" w:bottom="1440" w:gutter="0" w:footer="0" w:header="0"/>
        </w:sectPr>
      </w:pPr>
    </w:p>
    <w:bookmarkStart w:id="634" w:name="page635"/>
    <w:bookmarkEnd w:id="634"/>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deciding whether to consent to any proposed assignment or sublease, Landlord may take into account whether reasonable conditions have been satisfied, including, but not limited to, the following:</w:t>
      </w:r>
    </w:p>
    <w:p>
      <w:pPr>
        <w:spacing w:after="0" w:line="41" w:lineRule="exact"/>
        <w:rPr>
          <w:sz w:val="20"/>
          <w:szCs w:val="20"/>
          <w:color w:val="auto"/>
        </w:rPr>
      </w:pPr>
    </w:p>
    <w:p>
      <w:pPr>
        <w:ind w:left="220" w:right="279" w:firstLine="773"/>
        <w:spacing w:after="0" w:line="261" w:lineRule="auto"/>
        <w:tabs>
          <w:tab w:leader="none" w:pos="1189"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Landlord’s reasonable judgment, the proposed assignee or subtenant is engaged in such a business, that the Premises, or the relevant part thereof, will be used in such a manner which complies with </w:t>
      </w:r>
      <w:r>
        <w:rPr>
          <w:rFonts w:ascii="Times New Roman" w:cs="Times New Roman" w:eastAsia="Times New Roman" w:hAnsi="Times New Roman"/>
          <w:sz w:val="14"/>
          <w:szCs w:val="14"/>
          <w:u w:val="single" w:color="auto"/>
          <w:color w:val="auto"/>
        </w:rPr>
        <w:t>Paragraph 8</w:t>
      </w:r>
      <w:r>
        <w:rPr>
          <w:rFonts w:ascii="Times New Roman" w:cs="Times New Roman" w:eastAsia="Times New Roman" w:hAnsi="Times New Roman"/>
          <w:sz w:val="14"/>
          <w:szCs w:val="14"/>
          <w:color w:val="auto"/>
        </w:rPr>
        <w:t xml:space="preserve"> hereof entitled “Use” and Tenant or the proposed assignee or sublessee submits to Landlord documentary evidence reasonably satisfactory to Landlord that such proposed use constitutes a permitted use of the Premises pursuant to the ordinances and regulations of the City of Union City;</w:t>
      </w:r>
    </w:p>
    <w:p>
      <w:pPr>
        <w:spacing w:after="0" w:line="55" w:lineRule="exact"/>
        <w:rPr>
          <w:rFonts w:ascii="Times New Roman" w:cs="Times New Roman" w:eastAsia="Times New Roman" w:hAnsi="Times New Roman"/>
          <w:sz w:val="14"/>
          <w:szCs w:val="14"/>
          <w:color w:val="auto"/>
        </w:rPr>
      </w:pPr>
    </w:p>
    <w:p>
      <w:pPr>
        <w:ind w:left="220" w:right="439" w:firstLine="773"/>
        <w:spacing w:after="0" w:line="282" w:lineRule="auto"/>
        <w:tabs>
          <w:tab w:leader="none" w:pos="1189"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assignee or subtenant is a reputable entity or individual with sufficient financial net worth so as to reasonably indicate that it will be able to meet its obligations under this Lease or the sublease in a timely manner;</w:t>
      </w:r>
    </w:p>
    <w:p>
      <w:pPr>
        <w:spacing w:after="0" w:line="41" w:lineRule="exact"/>
        <w:rPr>
          <w:rFonts w:ascii="Times New Roman" w:cs="Times New Roman" w:eastAsia="Times New Roman" w:hAnsi="Times New Roman"/>
          <w:sz w:val="14"/>
          <w:szCs w:val="14"/>
          <w:color w:val="auto"/>
        </w:rPr>
      </w:pPr>
    </w:p>
    <w:p>
      <w:pPr>
        <w:ind w:left="220" w:right="539" w:firstLine="773"/>
        <w:spacing w:after="0" w:line="282" w:lineRule="auto"/>
        <w:tabs>
          <w:tab w:leader="none" w:pos="1189"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time of the proposed transfer, Landlord has substantially similar space available for rent in Union City Labs, the proposed assignee or subtenant is not a tenant of the Building or any other building in Union City Labs; and</w:t>
      </w:r>
    </w:p>
    <w:p>
      <w:pPr>
        <w:spacing w:after="0" w:line="41" w:lineRule="exact"/>
        <w:rPr>
          <w:rFonts w:ascii="Times New Roman" w:cs="Times New Roman" w:eastAsia="Times New Roman" w:hAnsi="Times New Roman"/>
          <w:sz w:val="14"/>
          <w:szCs w:val="14"/>
          <w:color w:val="auto"/>
        </w:rPr>
      </w:pPr>
    </w:p>
    <w:p>
      <w:pPr>
        <w:jc w:val="both"/>
        <w:ind w:left="220" w:right="339" w:firstLine="773"/>
        <w:spacing w:after="0" w:line="296" w:lineRule="auto"/>
        <w:tabs>
          <w:tab w:leader="none" w:pos="1189" w:val="left"/>
        </w:tabs>
        <w:numPr>
          <w:ilvl w:val="1"/>
          <w:numId w:val="4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proposed assignment or sublease is approved by Landlord’s mortgage lender if such lender has the right to approve or disapprove proposed assignments or subleases. Landlord shall use its good faith efforts to obtain such approval from its lender within ten (10) days after receipt by Landlord of Tenant’s written request for consent and the documentation and information referred to in the first sentence of </w:t>
      </w:r>
      <w:r>
        <w:rPr>
          <w:rFonts w:ascii="Times New Roman" w:cs="Times New Roman" w:eastAsia="Times New Roman" w:hAnsi="Times New Roman"/>
          <w:sz w:val="13"/>
          <w:szCs w:val="13"/>
          <w:u w:val="single" w:color="auto"/>
          <w:color w:val="auto"/>
        </w:rPr>
        <w:t>Paragraph 17(b)</w:t>
      </w:r>
      <w:r>
        <w:rPr>
          <w:rFonts w:ascii="Times New Roman" w:cs="Times New Roman" w:eastAsia="Times New Roman" w:hAnsi="Times New Roman"/>
          <w:sz w:val="13"/>
          <w:szCs w:val="13"/>
          <w:color w:val="auto"/>
        </w:rPr>
        <w:t xml:space="preserve"> above.</w:t>
      </w:r>
    </w:p>
    <w:p>
      <w:pPr>
        <w:spacing w:after="0" w:line="34" w:lineRule="exact"/>
        <w:rPr>
          <w:rFonts w:ascii="Times New Roman" w:cs="Times New Roman" w:eastAsia="Times New Roman" w:hAnsi="Times New Roman"/>
          <w:sz w:val="13"/>
          <w:szCs w:val="13"/>
          <w:color w:val="auto"/>
        </w:rPr>
      </w:pPr>
    </w:p>
    <w:p>
      <w:pPr>
        <w:ind w:left="220" w:right="259" w:firstLine="345"/>
        <w:spacing w:after="0" w:line="277" w:lineRule="auto"/>
        <w:tabs>
          <w:tab w:leader="none" w:pos="753" w:val="left"/>
        </w:tabs>
        <w:numPr>
          <w:ilvl w:val="0"/>
          <w:numId w:val="4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a condition to Landlord’s granting its consent to any assignment or sublease, except with respect to any Permitted Transferees, (1) Landlord may require that Tenant pay to Landlord, as and when received by Tenant, fifty percent (50%) of the amount of any excess of the consideration to be received by Tenant in connection with said assignment or sublease over and above the Monthly Base Rent and Additional Rent fixed by this Lease and payable by Tenant to Landlord, after deducting only (A) a standard leasing commission payable by Tenant in consummating such assignment or sublease, (B) the cost of reasonable tenant improvements performed specifically for the sublease and required to be made to the Premises to effectuate the sublease, provided that such improvements are performed in compliance with </w:t>
      </w:r>
      <w:r>
        <w:rPr>
          <w:rFonts w:ascii="Times New Roman" w:cs="Times New Roman" w:eastAsia="Times New Roman" w:hAnsi="Times New Roman"/>
          <w:sz w:val="13"/>
          <w:szCs w:val="13"/>
          <w:u w:val="single" w:color="auto"/>
          <w:color w:val="auto"/>
        </w:rPr>
        <w:t>Paragraph 14(d)</w:t>
      </w:r>
      <w:r>
        <w:rPr>
          <w:rFonts w:ascii="Times New Roman" w:cs="Times New Roman" w:eastAsia="Times New Roman" w:hAnsi="Times New Roman"/>
          <w:sz w:val="13"/>
          <w:szCs w:val="13"/>
          <w:color w:val="auto"/>
        </w:rPr>
        <w:t xml:space="preserve"> of this Lease, and (C) reasonable attorneys’ fees incurred by Landlord in negotiating and reviewing the assignment or sublease documentation; and (2) Tenant and the proposed assignee or sublessee shall demonstrate to Landlord’s reasonable satisfaction that each of the criteria referred to in subparagraph (b) above is satisfied.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1" w:right="1440" w:bottom="1440" w:gutter="0" w:footer="0" w:header="0"/>
        </w:sectPr>
      </w:pPr>
    </w:p>
    <w:bookmarkStart w:id="635" w:name="page636"/>
    <w:bookmarkEnd w:id="635"/>
    <w:p>
      <w:pPr>
        <w:ind w:left="220" w:right="239" w:firstLine="345"/>
        <w:spacing w:after="0" w:line="255" w:lineRule="auto"/>
        <w:tabs>
          <w:tab w:leader="none" w:pos="76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assignment or sublease agreement to which Landlord has consented shall be an instrument in writing in form reasonably satisfactory to Landlord, and shall be executed by both Tenant and the assignee or sublessee, as the case may be. Each such assignment or sublease agreement shall recite that it is and shall be subject and subordinate to the provisions of this Lease, that the assignee or sublessee accepts such assignment or sublease, that Landlord’s consent thereto shall not constitute a consent to any subsequent assignment or subletting by Tenant or the assignee or sublessee, and, except as otherwise set forth in a sublease approved by Landlord, agrees to perform all of the obligations of Tenant hereunder (to the extent such obligations relate to the portion of the Premises assigned or subleased), and that the termination of this Lease shall, at Landlord’s sole election, constitute a termination of every such assignment or sublease.</w:t>
      </w:r>
    </w:p>
    <w:p>
      <w:pPr>
        <w:spacing w:after="0" w:line="61" w:lineRule="exact"/>
        <w:rPr>
          <w:rFonts w:ascii="Times New Roman" w:cs="Times New Roman" w:eastAsia="Times New Roman" w:hAnsi="Times New Roman"/>
          <w:sz w:val="14"/>
          <w:szCs w:val="14"/>
          <w:color w:val="auto"/>
        </w:rPr>
      </w:pPr>
    </w:p>
    <w:p>
      <w:pPr>
        <w:ind w:left="220" w:right="639" w:firstLine="345"/>
        <w:spacing w:after="0" w:line="282" w:lineRule="auto"/>
        <w:tabs>
          <w:tab w:leader="none" w:pos="753"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Landlord shall consent to an assignment or sublease, Tenant shall nonetheless remain primarily liable for all obligations and liabilities of Tenant under this Lease, including but not limited to the payment of rent.</w:t>
      </w:r>
    </w:p>
    <w:p>
      <w:pPr>
        <w:spacing w:after="0" w:line="41" w:lineRule="exact"/>
        <w:rPr>
          <w:rFonts w:ascii="Times New Roman" w:cs="Times New Roman" w:eastAsia="Times New Roman" w:hAnsi="Times New Roman"/>
          <w:sz w:val="14"/>
          <w:szCs w:val="14"/>
          <w:color w:val="auto"/>
        </w:rPr>
      </w:pPr>
    </w:p>
    <w:p>
      <w:pPr>
        <w:ind w:left="220" w:right="279" w:firstLine="345"/>
        <w:spacing w:after="0" w:line="252" w:lineRule="auto"/>
        <w:tabs>
          <w:tab w:leader="none" w:pos="737"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Tenant may, without Landlord’s prior written consent and without any participation by Landlord in assignment and subletting proceeds, but with prior notice and documentation, as required pursuant to this </w:t>
      </w:r>
      <w:r>
        <w:rPr>
          <w:rFonts w:ascii="Times New Roman" w:cs="Times New Roman" w:eastAsia="Times New Roman" w:hAnsi="Times New Roman"/>
          <w:sz w:val="14"/>
          <w:szCs w:val="14"/>
          <w:u w:val="single" w:color="auto"/>
          <w:color w:val="auto"/>
        </w:rPr>
        <w:t>Paragraph 17(f)</w:t>
      </w:r>
      <w:r>
        <w:rPr>
          <w:rFonts w:ascii="Times New Roman" w:cs="Times New Roman" w:eastAsia="Times New Roman" w:hAnsi="Times New Roman"/>
          <w:sz w:val="14"/>
          <w:szCs w:val="14"/>
          <w:color w:val="auto"/>
        </w:rPr>
        <w:t>, provided to Landlord, sublet a portion or the entire Premises or assign this Lease to (i) a subsidiary, affiliate, division or corporation controlled or under common control with Tenant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or (ii) to a successor corporation related to Tenant by merger, consolidation or reorganization, or to a purchaser of substantially all of Tenant’s assets (each such transaction referred to herein as a “</w:t>
      </w:r>
      <w:r>
        <w:rPr>
          <w:rFonts w:ascii="Times New Roman" w:cs="Times New Roman" w:eastAsia="Times New Roman" w:hAnsi="Times New Roman"/>
          <w:sz w:val="14"/>
          <w:szCs w:val="14"/>
          <w:b w:val="1"/>
          <w:bCs w:val="1"/>
          <w:color w:val="auto"/>
        </w:rPr>
        <w:t>Permitted Transfer</w:t>
      </w:r>
      <w:r>
        <w:rPr>
          <w:rFonts w:ascii="Times New Roman" w:cs="Times New Roman" w:eastAsia="Times New Roman" w:hAnsi="Times New Roman"/>
          <w:sz w:val="14"/>
          <w:szCs w:val="14"/>
          <w:color w:val="auto"/>
        </w:rPr>
        <w:t>” and each of the foregoing transferees referred to herein as a “</w:t>
      </w:r>
      <w:r>
        <w:rPr>
          <w:rFonts w:ascii="Times New Roman" w:cs="Times New Roman" w:eastAsia="Times New Roman" w:hAnsi="Times New Roman"/>
          <w:sz w:val="14"/>
          <w:szCs w:val="14"/>
          <w:b w:val="1"/>
          <w:bCs w:val="1"/>
          <w:color w:val="auto"/>
        </w:rPr>
        <w:t>Permitted Transferee</w:t>
      </w:r>
      <w:r>
        <w:rPr>
          <w:rFonts w:ascii="Times New Roman" w:cs="Times New Roman" w:eastAsia="Times New Roman" w:hAnsi="Times New Roman"/>
          <w:sz w:val="14"/>
          <w:szCs w:val="14"/>
          <w:color w:val="auto"/>
        </w:rPr>
        <w:t xml:space="preserve">”), provided that any such Permitted Transferee shall have a current verifiable net worth prior to the transfer at least equal to that of Tenant immediately prior to the effective date of the Permitted Transfer, or, if less, financial resources sufficient, in Landlord’s reasonable good faith judgment, to perform the obligations under the assignment or sublease, as applicable. Tenant’s foregoing rights in this </w:t>
      </w:r>
      <w:r>
        <w:rPr>
          <w:rFonts w:ascii="Times New Roman" w:cs="Times New Roman" w:eastAsia="Times New Roman" w:hAnsi="Times New Roman"/>
          <w:sz w:val="14"/>
          <w:szCs w:val="14"/>
          <w:u w:val="single" w:color="auto"/>
          <w:color w:val="auto"/>
        </w:rPr>
        <w:t>Paragraph 17(f)</w:t>
      </w:r>
      <w:r>
        <w:rPr>
          <w:rFonts w:ascii="Times New Roman" w:cs="Times New Roman" w:eastAsia="Times New Roman" w:hAnsi="Times New Roman"/>
          <w:sz w:val="14"/>
          <w:szCs w:val="14"/>
          <w:color w:val="auto"/>
        </w:rPr>
        <w:t xml:space="preserve"> to assign this Lease or to sublease all or a portion of the entire Premises shall be subject to the following conditions: (1) Tenant shall not be in default hereunder past any applicable cure period; (2) in the case of an assignment or subletting to an affiliate, Tenant shall remain liable to Landlord hereunder if Tenant is a surviving entity; (3) the transferee or successor entity shall expressly assume in writing all of Tenant’s obligations hereunder; and (4) Tenant shall provide Landlord with prior notice of such proposed transfer and deliver to Landlord all documents reasonably requested by Landlord relating to such transfer, including but not limited to documentation sufficient to establish such proposed transferee’s current verifiable net worth prior to the transfer at least equal to that of Tenant as of the immediately prior to the effective date of the Permitted Transfer, or, if less, financial resources sufficient, in Landlord’s reasonable good faith judgment, to perform the obligations under the assignment or sublease, as applicable.</w:t>
      </w:r>
    </w:p>
    <w:p>
      <w:pPr>
        <w:spacing w:after="0" w:line="66" w:lineRule="exact"/>
        <w:rPr>
          <w:rFonts w:ascii="Times New Roman" w:cs="Times New Roman" w:eastAsia="Times New Roman" w:hAnsi="Times New Roman"/>
          <w:sz w:val="14"/>
          <w:szCs w:val="14"/>
          <w:color w:val="auto"/>
        </w:rPr>
      </w:pPr>
    </w:p>
    <w:p>
      <w:pPr>
        <w:jc w:val="both"/>
        <w:ind w:left="220" w:right="259" w:firstLine="345"/>
        <w:spacing w:after="0" w:line="266" w:lineRule="auto"/>
        <w:tabs>
          <w:tab w:leader="none" w:pos="76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sale nor transfer of Tenant’s capital stock shall be deemed an assignment, subletting, or other transfer of this Lease or the Premises, provided, that in the event of the sale, transfer or issuance of Tenant’s securities to an affiliate or in connection with a transaction described in </w:t>
      </w:r>
      <w:r>
        <w:rPr>
          <w:rFonts w:ascii="Times New Roman" w:cs="Times New Roman" w:eastAsia="Times New Roman" w:hAnsi="Times New Roman"/>
          <w:sz w:val="14"/>
          <w:szCs w:val="14"/>
          <w:u w:val="single" w:color="auto"/>
          <w:color w:val="auto"/>
        </w:rPr>
        <w:t>Paragraph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17(f)</w:t>
      </w:r>
      <w:r>
        <w:rPr>
          <w:rFonts w:ascii="Times New Roman" w:cs="Times New Roman" w:eastAsia="Times New Roman" w:hAnsi="Times New Roman"/>
          <w:sz w:val="14"/>
          <w:szCs w:val="14"/>
          <w:color w:val="auto"/>
        </w:rPr>
        <w:t xml:space="preserve">, the conditions set forth in </w:t>
      </w:r>
      <w:r>
        <w:rPr>
          <w:rFonts w:ascii="Times New Roman" w:cs="Times New Roman" w:eastAsia="Times New Roman" w:hAnsi="Times New Roman"/>
          <w:sz w:val="14"/>
          <w:szCs w:val="14"/>
          <w:u w:val="single" w:color="auto"/>
          <w:color w:val="auto"/>
        </w:rPr>
        <w:t>Paragraph 17(f)</w:t>
      </w:r>
      <w:r>
        <w:rPr>
          <w:rFonts w:ascii="Times New Roman" w:cs="Times New Roman" w:eastAsia="Times New Roman" w:hAnsi="Times New Roman"/>
          <w:sz w:val="14"/>
          <w:szCs w:val="14"/>
          <w:color w:val="auto"/>
        </w:rPr>
        <w:t xml:space="preserve"> shall apply.</w:t>
      </w:r>
    </w:p>
    <w:p>
      <w:pPr>
        <w:spacing w:after="0" w:line="52" w:lineRule="exact"/>
        <w:rPr>
          <w:rFonts w:ascii="Times New Roman" w:cs="Times New Roman" w:eastAsia="Times New Roman" w:hAnsi="Times New Roman"/>
          <w:sz w:val="14"/>
          <w:szCs w:val="14"/>
          <w:color w:val="auto"/>
        </w:rPr>
      </w:pPr>
    </w:p>
    <w:p>
      <w:pPr>
        <w:ind w:left="220" w:right="259" w:firstLine="345"/>
        <w:spacing w:after="0" w:line="258" w:lineRule="auto"/>
        <w:tabs>
          <w:tab w:leader="none" w:pos="76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xml:space="preserve"> any assignment or sublease (if such consent is required hereunder) without Landlord’s prior written consent shall at Landlord’s election be void. The consent by Landlord to any assignment or sublease shall not constitute a waiver of the provisions of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including the requirement of Landlord’s prior written consent, with respect to any subsequent assignment or sublease. If Tenant shall purport to assign this Lease, or sublease all or any portion of the Premises, or permit any person or persons other than Tenant to occupy the Premises, without Landlord’s prior written consent (if such consent is required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1" w:right="1440" w:bottom="1440" w:gutter="0" w:footer="0" w:header="0"/>
        </w:sectPr>
      </w:pPr>
    </w:p>
    <w:bookmarkStart w:id="636" w:name="page637"/>
    <w:bookmarkEnd w:id="636"/>
    <w:p>
      <w:pPr>
        <w:jc w:val="both"/>
        <w:ind w:left="220" w:right="4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hereunder), Landlord may collect rent from the person or persons then or thereafter occupying the Premises and apply the net amount collected to the rent reserved herein, but no such collection shall be deemed a waiver of Landlord’s rights and remedies under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 or the acceptance of any such purported assignee, sublessee, or occupant, or a release of Tenant from the further performance by Tenant of covenants on the part of Tenant herein contained.</w:t>
      </w:r>
    </w:p>
    <w:p>
      <w:pPr>
        <w:spacing w:after="0" w:line="55" w:lineRule="exact"/>
        <w:rPr>
          <w:sz w:val="20"/>
          <w:szCs w:val="20"/>
          <w:color w:val="auto"/>
        </w:rPr>
      </w:pPr>
    </w:p>
    <w:p>
      <w:pPr>
        <w:ind w:left="220" w:right="279" w:firstLine="345"/>
        <w:spacing w:after="0" w:line="261" w:lineRule="auto"/>
        <w:tabs>
          <w:tab w:leader="none" w:pos="729" w:val="left"/>
        </w:tabs>
        <w:numPr>
          <w:ilvl w:val="1"/>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shall not hypothecate or encumber its interest under this Lease or any rights of Tenant hereunder, or enter into any license or concession agreement respecting all or any portion of the Premises, without Landlord’s prior written consent which consent Landlord may grant or withhold in Landlord’s absolute discretion without any liability to Tenant. Tenant’s granting of any such encumbrance, license, or concession agreement shall constitute an assignment for purposes of this </w:t>
      </w:r>
      <w:r>
        <w:rPr>
          <w:rFonts w:ascii="Times New Roman" w:cs="Times New Roman" w:eastAsia="Times New Roman" w:hAnsi="Times New Roman"/>
          <w:sz w:val="14"/>
          <w:szCs w:val="14"/>
          <w:u w:val="single" w:color="auto"/>
          <w:color w:val="auto"/>
        </w:rPr>
        <w:t>Paragraph 17</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ind w:left="220" w:right="299" w:firstLine="345"/>
        <w:spacing w:after="0" w:line="258" w:lineRule="auto"/>
        <w:tabs>
          <w:tab w:leader="none" w:pos="729" w:val="left"/>
        </w:tabs>
        <w:numPr>
          <w:ilvl w:val="1"/>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sale or exchange of the Premises by Landlord and assignment of this Lease by Landlord, Landlord shall, upon providing Tenant with written confirmation that the assignee has assumed all obligations of Landlord under this Lease and Landlord has delivered any Security Deposit held by Landlord to Landlord’s successor in interest, be and hereby is entirely relieved of all liability under any and all of Landlord’s covenants and obligations contained in or derived from this Lease with respect to the period commencing with the consummation of the sale or exchange and assignment.</w:t>
      </w:r>
    </w:p>
    <w:p>
      <w:pPr>
        <w:spacing w:after="0" w:line="58" w:lineRule="exact"/>
        <w:rPr>
          <w:rFonts w:ascii="Times New Roman" w:cs="Times New Roman" w:eastAsia="Times New Roman" w:hAnsi="Times New Roman"/>
          <w:sz w:val="14"/>
          <w:szCs w:val="14"/>
          <w:color w:val="auto"/>
        </w:rPr>
      </w:pPr>
    </w:p>
    <w:p>
      <w:pPr>
        <w:jc w:val="both"/>
        <w:ind w:left="220" w:right="299" w:firstLine="345"/>
        <w:spacing w:after="0" w:line="266" w:lineRule="auto"/>
        <w:tabs>
          <w:tab w:leader="none" w:pos="760" w:val="left"/>
        </w:tabs>
        <w:numPr>
          <w:ilvl w:val="1"/>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hereby acknowledges that the foregoing terms and conditions are reasonable and, therefore, that Landlord has the remedy described in California Civil Code Section 1951.4 (Landlord may continue the Lease in effect after Tenant’s breach and abandonment and recover rent as it becomes due, if Tenant has the right to sublet or assign, subject only to reasonable limitations).</w:t>
      </w:r>
    </w:p>
    <w:p>
      <w:pPr>
        <w:spacing w:after="0" w:line="62" w:lineRule="exact"/>
        <w:rPr>
          <w:rFonts w:ascii="Times New Roman" w:cs="Times New Roman" w:eastAsia="Times New Roman" w:hAnsi="Times New Roman"/>
          <w:sz w:val="14"/>
          <w:szCs w:val="14"/>
          <w:color w:val="auto"/>
        </w:rPr>
      </w:pPr>
    </w:p>
    <w:p>
      <w:pPr>
        <w:ind w:left="560" w:hanging="337"/>
        <w:spacing w:after="0"/>
        <w:tabs>
          <w:tab w:leader="none" w:pos="56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19" w:firstLine="345"/>
        <w:spacing w:after="0" w:line="282" w:lineRule="auto"/>
        <w:tabs>
          <w:tab w:leader="none" w:pos="753" w:val="left"/>
        </w:tabs>
        <w:numPr>
          <w:ilvl w:val="1"/>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waiver of any provision of this Lease shall be implied by any failure of Landlord to enforce any remedy for the violation of that provision, even if that violation continues or is repeated. Any waiver by Landlord of any provision of this Lease must be in writing.</w:t>
      </w:r>
    </w:p>
    <w:p>
      <w:pPr>
        <w:spacing w:after="0" w:line="41" w:lineRule="exact"/>
        <w:rPr>
          <w:rFonts w:ascii="Times New Roman" w:cs="Times New Roman" w:eastAsia="Times New Roman" w:hAnsi="Times New Roman"/>
          <w:sz w:val="14"/>
          <w:szCs w:val="14"/>
          <w:color w:val="auto"/>
        </w:rPr>
      </w:pPr>
    </w:p>
    <w:p>
      <w:pPr>
        <w:ind w:left="220" w:right="479" w:firstLine="345"/>
        <w:spacing w:after="0" w:line="261" w:lineRule="auto"/>
        <w:tabs>
          <w:tab w:leader="none" w:pos="760" w:val="left"/>
        </w:tabs>
        <w:numPr>
          <w:ilvl w:val="1"/>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receipt of Landlord of a lesser payment than the rent required under this Lease shall be considered to be other than on account of the earliest rent due, and no endorsement or statement on any check or letter accompanying a payment or check shall be considered an accord and satisfaction. Landlord may accept checks or payments without prejudice to Landlord’s right to recover all amounts due and pursue all other remedies provided for in this Lease.</w:t>
      </w:r>
    </w:p>
    <w:p>
      <w:pPr>
        <w:spacing w:after="0" w:line="55" w:lineRule="exact"/>
        <w:rPr>
          <w:sz w:val="20"/>
          <w:szCs w:val="20"/>
          <w:color w:val="auto"/>
        </w:rPr>
      </w:pPr>
    </w:p>
    <w:p>
      <w:pPr>
        <w:ind w:left="220" w:right="399" w:firstLine="342"/>
        <w:spacing w:after="0" w:line="261" w:lineRule="auto"/>
        <w:rPr>
          <w:sz w:val="20"/>
          <w:szCs w:val="20"/>
          <w:color w:val="auto"/>
        </w:rPr>
      </w:pPr>
      <w:r>
        <w:rPr>
          <w:rFonts w:ascii="Times New Roman" w:cs="Times New Roman" w:eastAsia="Times New Roman" w:hAnsi="Times New Roman"/>
          <w:sz w:val="14"/>
          <w:szCs w:val="14"/>
          <w:color w:val="auto"/>
        </w:rPr>
        <w:t>Landlord’s receipt of any rent or other payment from Tenant after giving notice to Tenant terminating this Lease shall in no way reinstate, continue, or extend the Lease term or affect the termination notice given by Landlord before the receipt of such rent or payment. After serving notice terminating this Lease, filing an action, or obtaining final judgment for possession of the Premises, Landlord may receive and collect any rent, and the payment of that rent shall not waive or affect such prior notice, action, or judgment.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637" w:name="page638"/>
    <w:bookmarkEnd w:id="637"/>
    <w:p>
      <w:pPr>
        <w:ind w:left="440" w:hanging="217"/>
        <w:spacing w:after="0"/>
        <w:tabs>
          <w:tab w:leader="none" w:pos="44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Holding Over</w:t>
      </w:r>
      <w:r>
        <w:rPr>
          <w:rFonts w:ascii="Times New Roman" w:cs="Times New Roman" w:eastAsia="Times New Roman" w:hAnsi="Times New Roman"/>
          <w:sz w:val="14"/>
          <w:szCs w:val="14"/>
          <w:color w:val="auto"/>
        </w:rPr>
        <w:t>. Tenant shall vacate the Premises and deliver the same to Landlord upon the expiration or sooner termination of this Lease. In the</w:t>
      </w:r>
    </w:p>
    <w:p>
      <w:pPr>
        <w:spacing w:after="0" w:line="21" w:lineRule="exact"/>
        <w:rPr>
          <w:rFonts w:ascii="Times New Roman" w:cs="Times New Roman" w:eastAsia="Times New Roman" w:hAnsi="Times New Roman"/>
          <w:sz w:val="14"/>
          <w:szCs w:val="14"/>
          <w:color w:val="auto"/>
        </w:rPr>
      </w:pPr>
    </w:p>
    <w:p>
      <w:pPr>
        <w:ind w:left="220" w:right="2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 of holding over by Tenant after the expiration or termination of this Lease, such holding over shall be on a month-to-month tenancy and all of the terms and provisions of this Lease shall be applicable during such period, except that in addition to the payment of Additional Rent, Tenant shall pay Landlord as Monthly Base Rent during such holdover an amount equal to the greater of (i) one hundred fifty percent (150%) of the Monthly Base Rent in effect at the expiration of the term, or (ii) the then market rent for comparable research and development/office space. If such holdover is without Landlord’s written consent, Tenant shall be liable to Landlord for all costs, expenses, and consequential damages incurred by Landlord as a result of such holdover, including but not limited to damages resulting from Landlord’s inability to timely deliver possession of the Premises to a new tenant. The rental payable during such holdover period without Landlord’s written consent shall be payable to Landlord on demand.</w:t>
      </w:r>
    </w:p>
    <w:p>
      <w:pPr>
        <w:spacing w:after="0" w:line="61"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Damage or Destruction</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53" w:val="left"/>
        </w:tabs>
        <w:numPr>
          <w:ilvl w:val="1"/>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total destruction of the Building during the term from any cause, Landlord may elect to terminate this Lease by giving written notice of termination to the Tenant within thirty (30) days after the casualty occurs. A total destruction shall be deemed to have occurred for this purpose if the Building or the Premises that are the subject of this Lease are destroyed to the extent of seventy-five percent (75%) or more of the replacement cost thereof. If the Lease is not terminated, Landlord shall repair and restore the Premises in a diligent manner and this Lease shall continue in full force and effect, except that Monthly Base Rent and Additional Rent of the Premises which are the subject of this Lease shall be abated in accordance with </w:t>
      </w:r>
      <w:r>
        <w:rPr>
          <w:rFonts w:ascii="Times New Roman" w:cs="Times New Roman" w:eastAsia="Times New Roman" w:hAnsi="Times New Roman"/>
          <w:sz w:val="14"/>
          <w:szCs w:val="14"/>
          <w:u w:val="single" w:color="auto"/>
          <w:color w:val="auto"/>
        </w:rPr>
        <w:t>Paragraph 20(d)</w:t>
      </w:r>
      <w:r>
        <w:rPr>
          <w:rFonts w:ascii="Times New Roman" w:cs="Times New Roman" w:eastAsia="Times New Roman" w:hAnsi="Times New Roman"/>
          <w:sz w:val="14"/>
          <w:szCs w:val="14"/>
          <w:color w:val="auto"/>
        </w:rPr>
        <w:t xml:space="preserve"> below.</w:t>
      </w:r>
    </w:p>
    <w:p>
      <w:pPr>
        <w:spacing w:after="0" w:line="60" w:lineRule="exact"/>
        <w:rPr>
          <w:rFonts w:ascii="Times New Roman" w:cs="Times New Roman" w:eastAsia="Times New Roman" w:hAnsi="Times New Roman"/>
          <w:sz w:val="14"/>
          <w:szCs w:val="14"/>
          <w:color w:val="auto"/>
        </w:rPr>
      </w:pPr>
    </w:p>
    <w:p>
      <w:pPr>
        <w:ind w:left="220" w:right="339" w:firstLine="345"/>
        <w:spacing w:after="0" w:line="254" w:lineRule="auto"/>
        <w:tabs>
          <w:tab w:leader="none" w:pos="760" w:val="left"/>
        </w:tabs>
        <w:numPr>
          <w:ilvl w:val="1"/>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partial destruction of the Building or the Premises to an extent less than seventy-five percent (75%) of the replacement cost thereof, and (i) if Landlord reasonably believes that the damage thereto can be repaired, reconstructed, or restored within a period of two hundred seventy (270) days from the date of such casualty, (ii) there are at least twelve (12) months remaining in the term of this Lease or if there are less than twelve (12) months remaining in the term of this Lease, then Landlord reasonably believes that the damage thereto can be repaired, reconstructed, or restored within a period of ninety (90) days from the date of such casualty, and (iii) the casualty is from a cause which is insured under Landlord’s “all risk” property insurance, or is insured under any other coverage then carried by Landlord, then Landlord shall forthwith repair the same, and this Lease shall continue in full force and effect, except that Monthly Base Rent and Additional Rent shall be abated in accordance with </w:t>
      </w:r>
      <w:r>
        <w:rPr>
          <w:rFonts w:ascii="Times New Roman" w:cs="Times New Roman" w:eastAsia="Times New Roman" w:hAnsi="Times New Roman"/>
          <w:sz w:val="14"/>
          <w:szCs w:val="14"/>
          <w:u w:val="single" w:color="auto"/>
          <w:color w:val="auto"/>
        </w:rPr>
        <w:t>Paragraph 20(d)</w:t>
      </w:r>
      <w:r>
        <w:rPr>
          <w:rFonts w:ascii="Times New Roman" w:cs="Times New Roman" w:eastAsia="Times New Roman" w:hAnsi="Times New Roman"/>
          <w:sz w:val="14"/>
          <w:szCs w:val="14"/>
          <w:color w:val="auto"/>
        </w:rPr>
        <w:t xml:space="preserve"> below. If any of the foregoing conditions are not met, Landlord shall have the option of either repairing and restoring the Building and Improvements, or terminating this Lease by giving written notice of termination to Tenant within sixty (60) days after the casualty.</w:t>
      </w:r>
    </w:p>
    <w:p>
      <w:pPr>
        <w:spacing w:after="0" w:line="61" w:lineRule="exact"/>
        <w:rPr>
          <w:rFonts w:ascii="Times New Roman" w:cs="Times New Roman" w:eastAsia="Times New Roman" w:hAnsi="Times New Roman"/>
          <w:sz w:val="14"/>
          <w:szCs w:val="14"/>
          <w:color w:val="auto"/>
        </w:rPr>
      </w:pPr>
    </w:p>
    <w:p>
      <w:pPr>
        <w:ind w:left="220" w:right="319" w:firstLine="345"/>
        <w:spacing w:after="0" w:line="254" w:lineRule="auto"/>
        <w:tabs>
          <w:tab w:leader="none" w:pos="753" w:val="left"/>
        </w:tabs>
        <w:numPr>
          <w:ilvl w:val="1"/>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Landlord’s election to repair and restore the Building and Improvements or to terminate this Lease, shall be made and written notice thereof shall be given to Tenant within sixty (60) days after the casualty. Notwithstanding the foregoing, (1) Tenant may terminate this Lease by written notice to Landlord if Landlord has not obtained all necessary governmental permits for the restoration and commenced construction of the restoration within ninety (90) days after the casualty; or (2) if Landlord elects to repair and restore the Building and Improvements under </w:t>
      </w:r>
      <w:r>
        <w:rPr>
          <w:rFonts w:ascii="Times New Roman" w:cs="Times New Roman" w:eastAsia="Times New Roman" w:hAnsi="Times New Roman"/>
          <w:sz w:val="14"/>
          <w:szCs w:val="14"/>
          <w:u w:val="single" w:color="auto"/>
          <w:color w:val="auto"/>
        </w:rPr>
        <w:t>Paragraph 20(b)</w:t>
      </w:r>
      <w:r>
        <w:rPr>
          <w:rFonts w:ascii="Times New Roman" w:cs="Times New Roman" w:eastAsia="Times New Roman" w:hAnsi="Times New Roman"/>
          <w:sz w:val="14"/>
          <w:szCs w:val="14"/>
          <w:color w:val="auto"/>
        </w:rPr>
        <w:t xml:space="preserve"> above, but the repairs and restoration are not substantially completed within three hundred sixty-five (365) days after the casualty plus the period of any force majeure delays (as defined in subparagraph (e)), Tenant may terminate this Lease by written notice to Landlord given within thirty (30) days after the expiration of said period of three hundred sixty-five (365) days after the casualty, provided that the repairs and restoration are not substantially completed prior to the receipt by Landlord of such notice of termination.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638" w:name="page639"/>
    <w:bookmarkEnd w:id="638"/>
    <w:p>
      <w:pPr>
        <w:ind w:left="220" w:right="339" w:firstLine="345"/>
        <w:spacing w:after="0" w:line="266" w:lineRule="auto"/>
        <w:tabs>
          <w:tab w:leader="none" w:pos="760"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the event of repair, reconstruction, or restoration as provided herein, the Monthly Base Rent and Additional Rent shall be abated proportionally in the ratio which the Tenant’s use of the Premises is impaired and Tenant does not use such portion of the Premises during the period of such repair, reconstruction, or restoration, from the date of the casualty until such repair, reconstruction or restoration is substantially completed.</w:t>
      </w:r>
    </w:p>
    <w:p>
      <w:pPr>
        <w:spacing w:after="0" w:line="52"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53"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destruction of the Building and Improvements which Landlord is obligated to repair, or may elect to repair, under the terms of this </w:t>
      </w: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 xml:space="preserve">, the provisions of Section 1932, Subdivision 2, and of Section 1933, Subdivision 4, of the Civil Code of the State of California are waived by the parties. Landlord’s obligation to repair and restore the Building and Improvements shall include the Tenant Improvements referred to in </w:t>
      </w:r>
      <w:r>
        <w:rPr>
          <w:rFonts w:ascii="Times New Roman" w:cs="Times New Roman" w:eastAsia="Times New Roman" w:hAnsi="Times New Roman"/>
          <w:sz w:val="14"/>
          <w:szCs w:val="14"/>
          <w:u w:val="single" w:color="auto"/>
          <w:color w:val="auto"/>
        </w:rPr>
        <w:t>Paragraph 13(b)</w:t>
      </w:r>
      <w:r>
        <w:rPr>
          <w:rFonts w:ascii="Times New Roman" w:cs="Times New Roman" w:eastAsia="Times New Roman" w:hAnsi="Times New Roman"/>
          <w:sz w:val="14"/>
          <w:szCs w:val="14"/>
          <w:color w:val="auto"/>
        </w:rPr>
        <w:t xml:space="preserve"> up to the cost of the Tenant Improvement Allowance. Landlord’s time for completion of the repairs and restoration of the Building and Improvements referred to above shall be extended by a period equal to any delays (“force majeure delays”) caused by strikes, labor disputes, unavailability of materials, inclement weather, circumstances not within Landlord’s control, or acts of God.</w:t>
      </w:r>
    </w:p>
    <w:p>
      <w:pPr>
        <w:spacing w:after="0" w:line="60" w:lineRule="exact"/>
        <w:rPr>
          <w:rFonts w:ascii="Times New Roman" w:cs="Times New Roman" w:eastAsia="Times New Roman" w:hAnsi="Times New Roman"/>
          <w:sz w:val="14"/>
          <w:szCs w:val="14"/>
          <w:color w:val="auto"/>
        </w:rPr>
      </w:pPr>
    </w:p>
    <w:p>
      <w:pPr>
        <w:ind w:left="220" w:right="299" w:firstLine="345"/>
        <w:spacing w:after="0" w:line="258" w:lineRule="auto"/>
        <w:tabs>
          <w:tab w:leader="none" w:pos="737"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termination of this Lease pursuant to any of the provisions of this </w:t>
      </w: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 xml:space="preserve">, the Monthly Base Rent and Additional Rent shall be apportioned on a per diem basis and shall be paid to the date of the casualty. In no event shall Landlord be liable to Tenant for any damages resulting to Tenant from the occurrence of such casualty, or from the repairing or restoration of the Building and Improvements, or from the termination of this Lease as provided herein, nor shall Tenant be relieved thereby from any of Tenant’s obligations hereunder, except to the extent and upon the conditions expressly set forth in this </w:t>
      </w: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left="220" w:right="519" w:firstLine="345"/>
        <w:spacing w:after="0" w:line="281" w:lineRule="auto"/>
        <w:tabs>
          <w:tab w:leader="none" w:pos="760" w:val="left"/>
        </w:tabs>
        <w:numPr>
          <w:ilvl w:val="1"/>
          <w:numId w:val="4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herein to the contrary, Landlord shall not be obligated to restore the Premises or the Building and shall have the right to terminate this Lease if (a) the holder of any mortgage fails or refuses to make insurance proceeds available for such repair and restoration,</w:t>
      </w:r>
    </w:p>
    <w:p>
      <w:pPr>
        <w:ind w:left="220" w:right="299" w:firstLine="3"/>
        <w:spacing w:after="0" w:line="255" w:lineRule="auto"/>
        <w:tabs>
          <w:tab w:leader="none" w:pos="418"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zoning or other applicable laws or regulations do not permit such repair and restoration, or (c) the cost of repairing and restoring the Building would exceed fifty percent (50%) of the replacement value of the Building, whether or not the Premises is damaged or destroyed, provided the leases of all other tenants in the Building are similarly terminated.</w:t>
      </w:r>
    </w:p>
    <w:p>
      <w:pPr>
        <w:spacing w:after="0" w:line="59" w:lineRule="exact"/>
        <w:rPr>
          <w:rFonts w:ascii="Times New Roman" w:cs="Times New Roman" w:eastAsia="Times New Roman" w:hAnsi="Times New Roman"/>
          <w:sz w:val="14"/>
          <w:szCs w:val="14"/>
          <w:color w:val="auto"/>
        </w:rPr>
      </w:pPr>
    </w:p>
    <w:p>
      <w:pPr>
        <w:ind w:left="220" w:right="399" w:firstLine="345"/>
        <w:spacing w:after="0" w:line="256" w:lineRule="auto"/>
        <w:tabs>
          <w:tab w:leader="none" w:pos="760" w:val="left"/>
        </w:tabs>
        <w:numPr>
          <w:ilvl w:val="1"/>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if the Premises are destroyed or damaged and Landlord elects to terminate this Lease by giving written notice of termination to Tenant as permitted under this </w:t>
      </w: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 then Tenant may notify Landlord of its desire to repair and restore the Premises and thereafter, the parties agree to enter into good faith negotiations for a reasonable period of time for the repair and restoration of the Premises, at Tenant’s sole cost and expense, upon terms and conditions mutually acceptable to Tenant and Landlord. Any such agreement reached by Landlord and Tenant shall be subject to the approval of the holder of any mortgage and compliance with all zoning or other applicable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-2316480</wp:posOffset>
            </wp:positionV>
            <wp:extent cx="22225"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1" w:right="1440" w:bottom="1440" w:gutter="0" w:footer="0" w:header="0"/>
        </w:sectPr>
      </w:pPr>
    </w:p>
    <w:bookmarkStart w:id="639" w:name="page640"/>
    <w:bookmarkEnd w:id="639"/>
    <w:p>
      <w:pPr>
        <w:ind w:left="440" w:hanging="217"/>
        <w:spacing w:after="0"/>
        <w:tabs>
          <w:tab w:leader="none" w:pos="440"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Eminent Domain</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59" w:firstLine="345"/>
        <w:spacing w:after="0" w:line="255" w:lineRule="auto"/>
        <w:tabs>
          <w:tab w:leader="none" w:pos="753"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whole or any substantial part of the Property is taken or condemned by any competent public authority for any public use or purpose, the term of this Lease shall end upon the earlier to occur of the date when the possession of the part so taken shall be required for such use or purpose or the vesting of title in such public authority. Rent shall be apportioned as of the date of such termination. Any award arising from the condemnation of any portion of the Property or the settlement thereof shall belong to and be paid to Landlord. However, Tenant may file a separate claim at Tenant’s sole cost and expense for (i) leasehold improvements installed at Tenant’s expense or other property owned by Tenant, and (ii) reasonable costs of moving by Tenant to another location in Alameda County or surrounding areas within the San Francisco Bay Area. In all events, Landlord shall be solely entitled to any award with respect to the real property, including the bonus value of the leasehold.</w:t>
      </w:r>
    </w:p>
    <w:p>
      <w:pPr>
        <w:spacing w:after="0" w:line="61" w:lineRule="exact"/>
        <w:rPr>
          <w:rFonts w:ascii="Times New Roman" w:cs="Times New Roman" w:eastAsia="Times New Roman" w:hAnsi="Times New Roman"/>
          <w:sz w:val="14"/>
          <w:szCs w:val="14"/>
          <w:color w:val="auto"/>
        </w:rPr>
      </w:pPr>
    </w:p>
    <w:p>
      <w:pPr>
        <w:ind w:left="220" w:right="239" w:firstLine="345"/>
        <w:spacing w:after="0" w:line="255" w:lineRule="auto"/>
        <w:tabs>
          <w:tab w:leader="none" w:pos="760"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there is a partial taking of the Property by eminent domain which is not a substantial part of the Property and the Premises remain reasonably suitable for continued use and occupancy by Tenant for the purposes referred to in </w:t>
      </w:r>
      <w:r>
        <w:rPr>
          <w:rFonts w:ascii="Times New Roman" w:cs="Times New Roman" w:eastAsia="Times New Roman" w:hAnsi="Times New Roman"/>
          <w:sz w:val="14"/>
          <w:szCs w:val="14"/>
          <w:u w:val="single" w:color="auto"/>
          <w:color w:val="auto"/>
        </w:rPr>
        <w:t>Paragraph 8</w:t>
      </w:r>
      <w:r>
        <w:rPr>
          <w:rFonts w:ascii="Times New Roman" w:cs="Times New Roman" w:eastAsia="Times New Roman" w:hAnsi="Times New Roman"/>
          <w:sz w:val="14"/>
          <w:szCs w:val="14"/>
          <w:color w:val="auto"/>
        </w:rPr>
        <w:t xml:space="preserve">, Landlord shall complete any necessary repairs in a diligent manner and this Lease shall remain in full force and effect with a just and proportionate abatement of the Monthly Base Rent and Additional Rent, based on the extent to which Tenant’s use of the Premises is completely impaired thereafter (subject to subparagraph (c) below). If after a partial taking, the Premises are not reasonably suitable for Tenant’s continued use and occupancy for the uses permitted herein, Tenant may terminate this Lease effective on the earlier of the date title vests in the public authority or the date possession is taken. Subject to the provisions of </w:t>
      </w:r>
      <w:r>
        <w:rPr>
          <w:rFonts w:ascii="Times New Roman" w:cs="Times New Roman" w:eastAsia="Times New Roman" w:hAnsi="Times New Roman"/>
          <w:sz w:val="14"/>
          <w:szCs w:val="14"/>
          <w:u w:val="single" w:color="auto"/>
          <w:color w:val="auto"/>
        </w:rPr>
        <w:t>Paragraph 21(a)</w:t>
      </w:r>
      <w:r>
        <w:rPr>
          <w:rFonts w:ascii="Times New Roman" w:cs="Times New Roman" w:eastAsia="Times New Roman" w:hAnsi="Times New Roman"/>
          <w:sz w:val="14"/>
          <w:szCs w:val="14"/>
          <w:color w:val="auto"/>
        </w:rPr>
        <w:t>, the entire award for such taking shall be the property of Landlord.</w:t>
      </w:r>
    </w:p>
    <w:p>
      <w:pPr>
        <w:spacing w:after="0" w:line="61" w:lineRule="exact"/>
        <w:rPr>
          <w:rFonts w:ascii="Times New Roman" w:cs="Times New Roman" w:eastAsia="Times New Roman" w:hAnsi="Times New Roman"/>
          <w:sz w:val="14"/>
          <w:szCs w:val="14"/>
          <w:color w:val="auto"/>
        </w:rPr>
      </w:pPr>
    </w:p>
    <w:p>
      <w:pPr>
        <w:jc w:val="both"/>
        <w:ind w:left="220" w:right="359" w:firstLine="345"/>
        <w:spacing w:after="0" w:line="266" w:lineRule="auto"/>
        <w:tabs>
          <w:tab w:leader="none" w:pos="753"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if twenty-five percent (25%) or more of the Property or the Building is taken or condemned, then whether or not any portion of the Premises is taken or condemned, Landlord shall have the right to terminate this Lease as of the date title vests in the public authority.</w:t>
      </w:r>
    </w:p>
    <w:p>
      <w:pPr>
        <w:spacing w:after="0" w:line="52" w:lineRule="exact"/>
        <w:rPr>
          <w:rFonts w:ascii="Times New Roman" w:cs="Times New Roman" w:eastAsia="Times New Roman" w:hAnsi="Times New Roman"/>
          <w:sz w:val="14"/>
          <w:szCs w:val="14"/>
          <w:color w:val="auto"/>
        </w:rPr>
      </w:pPr>
    </w:p>
    <w:p>
      <w:pPr>
        <w:ind w:left="220" w:right="259" w:firstLine="3"/>
        <w:spacing w:after="0" w:line="253" w:lineRule="auto"/>
        <w:tabs>
          <w:tab w:leader="none" w:pos="430"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xml:space="preserve">. If Tenant fails to make any payment of rent or any other sum due under this Lease, and such failure continues for five (5) days after receipt by Tenant of written notice from Landlord; or if Tenant fails to comply with any term, provision or covenant of this Lease and does not cure such failure within fifteen (15) days after receipt by Tenant of written notice from Landlord or such shorter time period specified in this Lease (unless such default is incapable of cure within fifteen (15) days and Tenant commences cure within fifteen (15) days and thereafter diligently prosecutes the cure to completion within a reasonable time, not to exceed sixty (60) days); or if Tenant’s interest herein, or any part thereof, is assigned or transferred, either voluntarily or by operation of law (except as expressly permitted by other provisions of this Lease); or if Tenant makes a general assignment for the benefit of its creditors; or if this Lease is rejected (i) by a bankruptcy trustee for Tenant, (ii) by Tenant as debtor in possession, or (iii) by failure of Tenant as a bankrupt debtor to act timely in assuming or rejecting this Lease; then any of such events shall constitute an event of default and breach of this Lease by Tenant and Landlord may, at its option, elect the remedies specified in either subparagraph (a) or (b) below. Any such rejection of this Lease referred to above shall not cause an automatic termination of this Lease. Whenever in this Lease reference is made to a default by Tenant, such reference shall refer to an event of default as defined in this </w:t>
      </w:r>
      <w:r>
        <w:rPr>
          <w:rFonts w:ascii="Times New Roman" w:cs="Times New Roman" w:eastAsia="Times New Roman" w:hAnsi="Times New Roman"/>
          <w:sz w:val="14"/>
          <w:szCs w:val="14"/>
          <w:u w:val="single" w:color="auto"/>
          <w:color w:val="auto"/>
        </w:rPr>
        <w:t>Paragraph 22</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640" w:name="page641"/>
    <w:bookmarkEnd w:id="640"/>
    <w:p>
      <w:pPr>
        <w:ind w:left="220" w:right="239" w:firstLine="345"/>
        <w:spacing w:after="0" w:line="282" w:lineRule="auto"/>
        <w:tabs>
          <w:tab w:leader="none" w:pos="753"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Landlord may repossess the Premises and remove all persons and property therefrom. If Landlord repossesses the Premises because of a breach of this Lease, this Lease shall terminate and Landlord may recover from Tenant:</w:t>
      </w:r>
    </w:p>
    <w:p>
      <w:pPr>
        <w:spacing w:after="0" w:line="41" w:lineRule="exact"/>
        <w:rPr>
          <w:rFonts w:ascii="Times New Roman" w:cs="Times New Roman" w:eastAsia="Times New Roman" w:hAnsi="Times New Roman"/>
          <w:sz w:val="14"/>
          <w:szCs w:val="14"/>
          <w:color w:val="auto"/>
        </w:rPr>
      </w:pPr>
    </w:p>
    <w:p>
      <w:pPr>
        <w:ind w:left="220" w:right="399" w:firstLine="773"/>
        <w:spacing w:after="0" w:line="266" w:lineRule="auto"/>
        <w:tabs>
          <w:tab w:leader="none" w:pos="1189"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worth at the time of award of the unpaid rent which had been earned at the time of termination including interest thereon at a rate equal to the discount rate established by the Federal Reserve Bank of San Francisco for member banks, plus one percent (1%), or the maximum legal rate of interest, whichever is less, from the time of termination until paid;</w:t>
      </w:r>
    </w:p>
    <w:p>
      <w:pPr>
        <w:spacing w:after="0" w:line="52" w:lineRule="exact"/>
        <w:rPr>
          <w:rFonts w:ascii="Times New Roman" w:cs="Times New Roman" w:eastAsia="Times New Roman" w:hAnsi="Times New Roman"/>
          <w:sz w:val="14"/>
          <w:szCs w:val="14"/>
          <w:color w:val="auto"/>
        </w:rPr>
      </w:pPr>
    </w:p>
    <w:p>
      <w:pPr>
        <w:ind w:left="220" w:right="239" w:firstLine="773"/>
        <w:spacing w:after="0" w:line="266" w:lineRule="auto"/>
        <w:tabs>
          <w:tab w:leader="none" w:pos="1189"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worth at the time of award of the amount by which the unpaid rent which would have been earned after termination until the time of award exceeds the amount of such rental loss that Tenant proves could have been reasonably avoided, including interest thereon at a rate equal to the Federal discount rate plus one percent (1%) per annum, or the maximum legal rate of interest, whichever is less, from the time of termination until paid;</w:t>
      </w:r>
    </w:p>
    <w:p>
      <w:pPr>
        <w:spacing w:after="0" w:line="52" w:lineRule="exact"/>
        <w:rPr>
          <w:rFonts w:ascii="Times New Roman" w:cs="Times New Roman" w:eastAsia="Times New Roman" w:hAnsi="Times New Roman"/>
          <w:sz w:val="14"/>
          <w:szCs w:val="14"/>
          <w:color w:val="auto"/>
        </w:rPr>
      </w:pPr>
    </w:p>
    <w:p>
      <w:pPr>
        <w:ind w:left="220" w:right="279" w:firstLine="773"/>
        <w:spacing w:after="0" w:line="266" w:lineRule="auto"/>
        <w:tabs>
          <w:tab w:leader="none" w:pos="1189"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worth at the time of award of the amount by which the unpaid rent for the balance of the term after the time of award exceeds the amount of such rental loss for the same period that Tenant proves could be reasonably avoided discounted at the discount rate established by the Federal Reserve Bank of San Francisco for member banks at the time of the award plus one percent (1%); and</w:t>
      </w:r>
    </w:p>
    <w:p>
      <w:pPr>
        <w:spacing w:after="0" w:line="52" w:lineRule="exact"/>
        <w:rPr>
          <w:rFonts w:ascii="Times New Roman" w:cs="Times New Roman" w:eastAsia="Times New Roman" w:hAnsi="Times New Roman"/>
          <w:sz w:val="14"/>
          <w:szCs w:val="14"/>
          <w:color w:val="auto"/>
        </w:rPr>
      </w:pPr>
    </w:p>
    <w:p>
      <w:pPr>
        <w:ind w:left="220" w:right="279" w:firstLine="773"/>
        <w:spacing w:after="0" w:line="282" w:lineRule="auto"/>
        <w:tabs>
          <w:tab w:leader="none" w:pos="1189"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amount necessary to compensate Landlord for all the detriment proximately caused by Tenant’s breach or by Tenant’s failure to perform its obligations under this Lease or which in the ordinary course of things would be likely to result therefrom.</w:t>
      </w:r>
    </w:p>
    <w:p>
      <w:pPr>
        <w:spacing w:after="0" w:line="41" w:lineRule="exact"/>
        <w:rPr>
          <w:rFonts w:ascii="Times New Roman" w:cs="Times New Roman" w:eastAsia="Times New Roman" w:hAnsi="Times New Roman"/>
          <w:sz w:val="14"/>
          <w:szCs w:val="14"/>
          <w:color w:val="auto"/>
        </w:rPr>
      </w:pPr>
    </w:p>
    <w:p>
      <w:pPr>
        <w:jc w:val="both"/>
        <w:ind w:left="220" w:right="339" w:firstLine="345"/>
        <w:spacing w:after="0" w:line="261" w:lineRule="auto"/>
        <w:tabs>
          <w:tab w:leader="none" w:pos="760"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Landlord does not repossess the Premises, then this Lease shall continue in effect for so long as Landlord does not terminate Tenant’s right to possession and Landlord may enforce all of its rights and remedies under this Lease, including the right to recover the rent and other sums due from Tenant hereunder. For the purposes of this </w:t>
      </w:r>
      <w:r>
        <w:rPr>
          <w:rFonts w:ascii="Times New Roman" w:cs="Times New Roman" w:eastAsia="Times New Roman" w:hAnsi="Times New Roman"/>
          <w:sz w:val="14"/>
          <w:szCs w:val="14"/>
          <w:u w:val="single" w:color="auto"/>
          <w:color w:val="auto"/>
        </w:rPr>
        <w:t>Paragraph 22</w:t>
      </w:r>
      <w:r>
        <w:rPr>
          <w:rFonts w:ascii="Times New Roman" w:cs="Times New Roman" w:eastAsia="Times New Roman" w:hAnsi="Times New Roman"/>
          <w:sz w:val="14"/>
          <w:szCs w:val="14"/>
          <w:color w:val="auto"/>
        </w:rPr>
        <w:t>, the following do not constitute a repossession of the Premises by Landlord or a termination of the Lease by Landlord:</w:t>
      </w:r>
    </w:p>
    <w:p>
      <w:pPr>
        <w:spacing w:after="0" w:line="55"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maintenance or preservation by Landlord or efforts by Landlord to relet the Premises; or</w:t>
      </w:r>
    </w:p>
    <w:p>
      <w:pPr>
        <w:spacing w:after="0" w:line="90" w:lineRule="exact"/>
        <w:rPr>
          <w:rFonts w:ascii="Times New Roman" w:cs="Times New Roman" w:eastAsia="Times New Roman" w:hAnsi="Times New Roman"/>
          <w:sz w:val="14"/>
          <w:szCs w:val="14"/>
          <w:color w:val="auto"/>
        </w:rPr>
      </w:pPr>
    </w:p>
    <w:p>
      <w:pPr>
        <w:ind w:left="1200" w:hanging="207"/>
        <w:spacing w:after="0"/>
        <w:tabs>
          <w:tab w:leader="none" w:pos="1200" w:val="left"/>
        </w:tabs>
        <w:numPr>
          <w:ilvl w:val="2"/>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 receiver by Landlord to protect Landlord’s interests under this Lease.</w:t>
      </w:r>
    </w:p>
    <w:p>
      <w:pPr>
        <w:spacing w:after="0" w:line="90" w:lineRule="exact"/>
        <w:rPr>
          <w:rFonts w:ascii="Times New Roman" w:cs="Times New Roman" w:eastAsia="Times New Roman" w:hAnsi="Times New Roman"/>
          <w:sz w:val="14"/>
          <w:szCs w:val="14"/>
          <w:color w:val="auto"/>
        </w:rPr>
      </w:pPr>
    </w:p>
    <w:p>
      <w:pPr>
        <w:ind w:left="220" w:right="239" w:firstLine="345"/>
        <w:spacing w:after="0" w:line="257" w:lineRule="auto"/>
        <w:tabs>
          <w:tab w:leader="none" w:pos="753"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Landlord’s failure to perform or observe any of its obligations under this Lease or to correct a breach of any warranty or representation made in this Lease within thirty (30) days after receipt of written notice from Tenant setting forth in reasonable detail the nature and extent of the failure referencing pertinent Lease provisions or if more than thirty (30) days is required to cure the breach, Landlord’s failure to begin curing within the thirty</w:t>
      </w:r>
    </w:p>
    <w:p>
      <w:pPr>
        <w:spacing w:after="0" w:line="1" w:lineRule="exact"/>
        <w:rPr>
          <w:rFonts w:ascii="Times New Roman" w:cs="Times New Roman" w:eastAsia="Times New Roman" w:hAnsi="Times New Roman"/>
          <w:sz w:val="14"/>
          <w:szCs w:val="14"/>
          <w:color w:val="auto"/>
        </w:rPr>
      </w:pPr>
    </w:p>
    <w:p>
      <w:pPr>
        <w:ind w:left="220" w:right="359" w:firstLine="3"/>
        <w:spacing w:after="0" w:line="253" w:lineRule="auto"/>
        <w:tabs>
          <w:tab w:leader="none" w:pos="488"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period and diligently prosecute the cure to completion, shall constitute a default. If Landlord commits a default, Tenant’s sole remedy shall be to institute an action against Landlord for damages or for equitable or injunctive relief, but Tenant shall not have the right to punitive damages, consequential damages, rent abatement, offset against rent, or to terminate this Lease in the event of any default by Landlord and Tenant expressly waives the defense of constructive eviction.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1" w:right="1440" w:bottom="1440" w:gutter="0" w:footer="0" w:header="0"/>
        </w:sectPr>
      </w:pPr>
    </w:p>
    <w:bookmarkStart w:id="641" w:name="page642"/>
    <w:bookmarkEnd w:id="641"/>
    <w:p>
      <w:pPr>
        <w:ind w:left="220" w:right="319" w:firstLine="345"/>
        <w:spacing w:after="0" w:line="253" w:lineRule="auto"/>
        <w:tabs>
          <w:tab w:leader="none" w:pos="760" w:val="left"/>
        </w:tabs>
        <w:numPr>
          <w:ilvl w:val="1"/>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this Lease provides for a postponement of any Monthly Base Rent, Additional Rent, a period of “free” rent, reduced rent, early occupancy, or other rent concession, such postponed rent, “free” rent, reduced rent or other rent concession shall be referred to herein as the “Abated Rent”. Tenant acknowledges that its right to receive credit for the Abated Rent is absolutely conditioned upon Tenant’s full, faithful and punctual performance of its obligations under this Lease. Accordingly, if an event of default by Tenant shall occur that results in termination of this Lease, then the unamortized portion of the Abated Rent (amortized over the initial Term of this Lease) shall immediately become due and payable in full and this Lease shall be enforced as if there were no such Rent abatement or other Rent concession as to such unamortized portion. In such case the unamortized portion of the Abated Rent shall be calculated by multiplying the total Abated Rent by a fraction, the numerator of which is the number of unexpired months remaining on the initial Lease term as of the date of termination of the Lease and the denominator of which is the total number of months remaining on the initial Term as of the date of termination of the Lease, based on the full initial Rent payable under the Lease. Notwithstanding the foregoing, if Tenant shall cure the default within the applicable cure period as set forth in this Lease and the Lease has not been terminated, the Abated Rent shall be reinstated.</w:t>
      </w:r>
    </w:p>
    <w:p>
      <w:pPr>
        <w:spacing w:after="0" w:line="63" w:lineRule="exact"/>
        <w:rPr>
          <w:rFonts w:ascii="Times New Roman" w:cs="Times New Roman" w:eastAsia="Times New Roman" w:hAnsi="Times New Roman"/>
          <w:sz w:val="14"/>
          <w:szCs w:val="14"/>
          <w:color w:val="auto"/>
        </w:rPr>
      </w:pPr>
    </w:p>
    <w:p>
      <w:pPr>
        <w:ind w:left="220" w:right="239" w:firstLine="345"/>
        <w:spacing w:after="0" w:line="254" w:lineRule="auto"/>
        <w:tabs>
          <w:tab w:leader="none" w:pos="753" w:val="left"/>
        </w:tabs>
        <w:numPr>
          <w:ilvl w:val="1"/>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covenants and agreements to be performed by Tenant under this Lease shall be at its sole cost and expense and without abatement of rent or other sums due under this Lease, unless otherwise specified in this Lease. If Tenant shall fail to pay any sum of money required to be paid by Tenant under this Lease or shall fail to perform any other act on Tenant’s part to be performed under this Lease within the time periods described in the first paragraph of </w:t>
      </w:r>
      <w:r>
        <w:rPr>
          <w:rFonts w:ascii="Times New Roman" w:cs="Times New Roman" w:eastAsia="Times New Roman" w:hAnsi="Times New Roman"/>
          <w:sz w:val="14"/>
          <w:szCs w:val="14"/>
          <w:u w:val="single" w:color="auto"/>
          <w:color w:val="auto"/>
        </w:rPr>
        <w:t>Paragraph 22(a)</w:t>
      </w:r>
      <w:r>
        <w:rPr>
          <w:rFonts w:ascii="Times New Roman" w:cs="Times New Roman" w:eastAsia="Times New Roman" w:hAnsi="Times New Roman"/>
          <w:sz w:val="14"/>
          <w:szCs w:val="14"/>
          <w:color w:val="auto"/>
        </w:rPr>
        <w:t>, Landlord may, but shall not be obligated so to do and without waiving or releasing Tenant from any obligations of Tenant, make any such payment or perform any such other act on Tenant’s part to be made or performed as provided in this Lease. All sums paid by Landlord, whether to fulfill Tenant’s unfulfilled payment obligations, to perform Tenant’s unfulfilled performance obligations, or to compel Tenant to fulfill or perform its obligations under this Lease, and all incidental costs, including attorneys’ fees, plus an administrative fee of five percent (5%) of all amounts so expended by Landlord, shall be deemed additional rent hereunder and shall be payable to Landlord upon demand.</w:t>
      </w:r>
    </w:p>
    <w:p>
      <w:pPr>
        <w:spacing w:after="0" w:line="64" w:lineRule="exact"/>
        <w:rPr>
          <w:rFonts w:ascii="Times New Roman" w:cs="Times New Roman" w:eastAsia="Times New Roman" w:hAnsi="Times New Roman"/>
          <w:sz w:val="14"/>
          <w:szCs w:val="14"/>
          <w:color w:val="auto"/>
        </w:rPr>
      </w:pPr>
    </w:p>
    <w:p>
      <w:pPr>
        <w:ind w:left="220" w:right="319" w:firstLine="3"/>
        <w:spacing w:after="0" w:line="261" w:lineRule="auto"/>
        <w:tabs>
          <w:tab w:leader="none" w:pos="43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Tenant’s Personal Property</w:t>
      </w:r>
      <w:r>
        <w:rPr>
          <w:rFonts w:ascii="Times New Roman" w:cs="Times New Roman" w:eastAsia="Times New Roman" w:hAnsi="Times New Roman"/>
          <w:sz w:val="14"/>
          <w:szCs w:val="14"/>
          <w:color w:val="auto"/>
        </w:rPr>
        <w:t xml:space="preserve">. If any personal property of Tenant remains on the Premises after (1) Landlord terminates this Lease pursuant to </w:t>
      </w:r>
      <w:r>
        <w:rPr>
          <w:rFonts w:ascii="Times New Roman" w:cs="Times New Roman" w:eastAsia="Times New Roman" w:hAnsi="Times New Roman"/>
          <w:sz w:val="14"/>
          <w:szCs w:val="14"/>
          <w:u w:val="single" w:color="auto"/>
          <w:color w:val="auto"/>
        </w:rPr>
        <w:t>Paragraph 22</w:t>
      </w:r>
      <w:r>
        <w:rPr>
          <w:rFonts w:ascii="Times New Roman" w:cs="Times New Roman" w:eastAsia="Times New Roman" w:hAnsi="Times New Roman"/>
          <w:sz w:val="14"/>
          <w:szCs w:val="14"/>
          <w:color w:val="auto"/>
        </w:rPr>
        <w:t xml:space="preserve"> above following an event of default by Tenant, or (2) after the expiration of the Lease Term or after the termination of this Lease pursuant to any other provisions hereof, Landlord shall give written notice thereof to Tenant pursuant to applicable law. Landlord shall thereafter release, store, and dispose of any such personal property of Tenant in accordance with the provisions of applicable law.</w:t>
      </w:r>
    </w:p>
    <w:p>
      <w:pPr>
        <w:spacing w:after="0" w:line="53" w:lineRule="exact"/>
        <w:rPr>
          <w:rFonts w:ascii="Times New Roman" w:cs="Times New Roman" w:eastAsia="Times New Roman" w:hAnsi="Times New Roman"/>
          <w:sz w:val="14"/>
          <w:szCs w:val="14"/>
          <w:color w:val="auto"/>
        </w:rPr>
      </w:pPr>
    </w:p>
    <w:p>
      <w:pPr>
        <w:jc w:val="both"/>
        <w:ind w:left="220" w:right="499" w:firstLine="3"/>
        <w:spacing w:after="0" w:line="267" w:lineRule="auto"/>
        <w:tabs>
          <w:tab w:leader="none" w:pos="43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required under the Lease and other information concerning this Lease (“</w:t>
      </w:r>
      <w:r>
        <w:rPr>
          <w:rFonts w:ascii="Times New Roman" w:cs="Times New Roman" w:eastAsia="Times New Roman" w:hAnsi="Times New Roman"/>
          <w:sz w:val="14"/>
          <w:szCs w:val="14"/>
          <w:b w:val="1"/>
          <w:bCs w:val="1"/>
          <w:color w:val="auto"/>
        </w:rPr>
        <w:t>Communications</w:t>
      </w:r>
      <w:r>
        <w:rPr>
          <w:rFonts w:ascii="Times New Roman" w:cs="Times New Roman" w:eastAsia="Times New Roman" w:hAnsi="Times New Roman"/>
          <w:sz w:val="14"/>
          <w:szCs w:val="14"/>
          <w:color w:val="auto"/>
        </w:rPr>
        <w:t>”) shall be personally delivered or sent by first class mail, postage prepaid, by overnight courier. In addition, the Landlord may, in its sole discretion, send such Communications to the Tenant electronically, or permit Tenant to send such Communications to the Landlord electronically, in the manner described in this Paragraph.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642" w:name="page643"/>
    <w:bookmarkEnd w:id="642"/>
    <w:p>
      <w:pPr>
        <w:ind w:left="220" w:right="379" w:firstLine="34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Such Communications sent by personal delivery, mail or overnight courier will be sent to the addresses on the signature page of this Lease, or to such other addresses as the Landlord and Tenant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spacing w:after="0" w:line="139" w:lineRule="exact"/>
        <w:rPr>
          <w:sz w:val="20"/>
          <w:szCs w:val="20"/>
          <w:color w:val="auto"/>
        </w:rPr>
      </w:pPr>
    </w:p>
    <w:p>
      <w:pPr>
        <w:ind w:left="220" w:right="319" w:firstLine="342"/>
        <w:spacing w:after="0" w:line="258" w:lineRule="auto"/>
        <w:rPr>
          <w:sz w:val="20"/>
          <w:szCs w:val="20"/>
          <w:color w:val="auto"/>
        </w:rPr>
      </w:pPr>
      <w:r>
        <w:rPr>
          <w:rFonts w:ascii="Times New Roman" w:cs="Times New Roman" w:eastAsia="Times New Roman" w:hAnsi="Times New Roman"/>
          <w:sz w:val="14"/>
          <w:szCs w:val="14"/>
          <w:color w:val="auto"/>
        </w:rPr>
        <w:t>Such Communications may be sent electronically by the Landlord and Tenant (i) by transmitting the Communication to the electronic address provided by the Tenant or to such other electronic address as the Tenant may specify from time to time in writing, or (ii) by posting the Communication on a website and sending the Tenant a notice to the Tenant’s postal address or electronic address telling the Tenant that the Communication has been posted, its location, and providing instructions on how to view it. Communications sent electronically to the Tenant will be effective when the Communication, or a notice advising of its posting to a website, is sent to the Tenant’s electronic address.</w:t>
      </w:r>
    </w:p>
    <w:p>
      <w:pPr>
        <w:spacing w:after="0" w:line="58" w:lineRule="exact"/>
        <w:rPr>
          <w:sz w:val="20"/>
          <w:szCs w:val="20"/>
          <w:color w:val="auto"/>
        </w:rPr>
      </w:pPr>
    </w:p>
    <w:p>
      <w:pPr>
        <w:ind w:left="220" w:right="299" w:firstLine="3"/>
        <w:spacing w:after="0" w:line="256" w:lineRule="auto"/>
        <w:tabs>
          <w:tab w:leader="none" w:pos="430"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Estoppel Certificate</w:t>
      </w:r>
      <w:r>
        <w:rPr>
          <w:rFonts w:ascii="Times New Roman" w:cs="Times New Roman" w:eastAsia="Times New Roman" w:hAnsi="Times New Roman"/>
          <w:sz w:val="14"/>
          <w:szCs w:val="14"/>
          <w:color w:val="auto"/>
        </w:rPr>
        <w:t>. Tenant shall within ten (10) business days following request by the Landlord, execute and deliver to the Landlord an estoppel certificate (1) certifying that this Lease has not been modified and certifying that this Lease is in full force and effect, or, if modified, stating the nature of such modification and certifying that this Lease, as so modified, is in full force and effect; (2) stating the date to which the rent and other charges are paid in advance, if at all; (3) stating the amount of any Security Deposit held by Landlord; (4) acknowledging that there are not, to the Tenant’s knowledge, any uncured defaults on the part of the Landlord hereunder, or if there are uncured defaults on the part of the Landlord, stating the nature of such uncured defaults; and (5) any other provisions reasonably requested by Landlord.</w:t>
      </w:r>
    </w:p>
    <w:p>
      <w:pPr>
        <w:spacing w:after="0" w:line="60" w:lineRule="exact"/>
        <w:rPr>
          <w:rFonts w:ascii="Times New Roman" w:cs="Times New Roman" w:eastAsia="Times New Roman" w:hAnsi="Times New Roman"/>
          <w:sz w:val="14"/>
          <w:szCs w:val="14"/>
          <w:color w:val="auto"/>
        </w:rPr>
      </w:pPr>
    </w:p>
    <w:p>
      <w:pPr>
        <w:ind w:left="220" w:right="259" w:firstLine="3"/>
        <w:spacing w:after="0" w:line="254" w:lineRule="auto"/>
        <w:tabs>
          <w:tab w:leader="none" w:pos="430"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Signage</w:t>
      </w:r>
      <w:r>
        <w:rPr>
          <w:rFonts w:ascii="Times New Roman" w:cs="Times New Roman" w:eastAsia="Times New Roman" w:hAnsi="Times New Roman"/>
          <w:sz w:val="14"/>
          <w:szCs w:val="14"/>
          <w:color w:val="auto"/>
        </w:rPr>
        <w:t>. Tenant shall have the use the entire monument sign for the Building for Tenant’s sign. If Tenant selects a design option with the main Building entry at the center of the Building, Landlord shall install a new monument sign at such entry for Tenant’s exclusive use, but only so long as Tenant occupies the entire Premises. All monument signage at the Building shall be provided by Landlord at Landlord’s sole cost and expense. Tenant may place Tenant’s vinyl lettering signage on the glass near the front door entrance to the Building and in the interior of the Building, subject to Landlord’s reasonable requirements and consent and subject to the requirements of the City of Union City. All of Tenant’s signage shall comply with the City of Union City sign ordinances and regulations and shall be subject to Landlord’s approval as to the specific location, size and design thereof. The cost of the installation of Tenant’s signage on the glass near the front entrance to the Building and within the interior of the Building shall be paid by Tenant. Any additional signage shall be subject to Landlord’s prior approval and, if approved, shall be installed at Tenant’s expense.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1" w:right="1440" w:bottom="1440" w:gutter="0" w:footer="0" w:header="0"/>
        </w:sectPr>
      </w:pPr>
    </w:p>
    <w:bookmarkStart w:id="643" w:name="page644"/>
    <w:bookmarkEnd w:id="643"/>
    <w:p>
      <w:pPr>
        <w:ind w:left="220" w:right="259" w:firstLine="3"/>
        <w:spacing w:after="0" w:line="257" w:lineRule="auto"/>
        <w:tabs>
          <w:tab w:leader="none" w:pos="430"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Real Estate Brokers</w:t>
      </w:r>
      <w:r>
        <w:rPr>
          <w:rFonts w:ascii="Times New Roman" w:cs="Times New Roman" w:eastAsia="Times New Roman" w:hAnsi="Times New Roman"/>
          <w:sz w:val="14"/>
          <w:szCs w:val="14"/>
          <w:color w:val="auto"/>
        </w:rPr>
        <w:t>. Tenant’s broker is Kidder Mathews (“</w:t>
      </w:r>
      <w:r>
        <w:rPr>
          <w:rFonts w:ascii="Times New Roman" w:cs="Times New Roman" w:eastAsia="Times New Roman" w:hAnsi="Times New Roman"/>
          <w:sz w:val="14"/>
          <w:szCs w:val="14"/>
          <w:b w:val="1"/>
          <w:bCs w:val="1"/>
          <w:color w:val="auto"/>
        </w:rPr>
        <w:t>Tenant’s Broker</w:t>
      </w:r>
      <w:r>
        <w:rPr>
          <w:rFonts w:ascii="Times New Roman" w:cs="Times New Roman" w:eastAsia="Times New Roman" w:hAnsi="Times New Roman"/>
          <w:sz w:val="14"/>
          <w:szCs w:val="14"/>
          <w:color w:val="auto"/>
        </w:rPr>
        <w:t>”) and Landlord’s broker is Kidder Mathews (“</w:t>
      </w:r>
      <w:r>
        <w:rPr>
          <w:rFonts w:ascii="Times New Roman" w:cs="Times New Roman" w:eastAsia="Times New Roman" w:hAnsi="Times New Roman"/>
          <w:sz w:val="14"/>
          <w:szCs w:val="14"/>
          <w:b w:val="1"/>
          <w:bCs w:val="1"/>
          <w:color w:val="auto"/>
        </w:rPr>
        <w:t>Landlord’s Broker</w:t>
      </w:r>
      <w:r>
        <w:rPr>
          <w:rFonts w:ascii="Times New Roman" w:cs="Times New Roman" w:eastAsia="Times New Roman" w:hAnsi="Times New Roman"/>
          <w:sz w:val="14"/>
          <w:szCs w:val="14"/>
          <w:color w:val="auto"/>
        </w:rPr>
        <w:t>” and collectively with Tenant’s Broker, the “</w:t>
      </w:r>
      <w:r>
        <w:rPr>
          <w:rFonts w:ascii="Times New Roman" w:cs="Times New Roman" w:eastAsia="Times New Roman" w:hAnsi="Times New Roman"/>
          <w:sz w:val="14"/>
          <w:szCs w:val="14"/>
          <w:b w:val="1"/>
          <w:bCs w:val="1"/>
          <w:color w:val="auto"/>
        </w:rPr>
        <w:t>Brokers</w:t>
      </w:r>
      <w:r>
        <w:rPr>
          <w:rFonts w:ascii="Times New Roman" w:cs="Times New Roman" w:eastAsia="Times New Roman" w:hAnsi="Times New Roman"/>
          <w:sz w:val="14"/>
          <w:szCs w:val="14"/>
          <w:color w:val="auto"/>
        </w:rPr>
        <w:t>”). Landlord shall pay a leasing commission to the Brokers pursuant to a separate agreement. Each party represents and warrants to the other party that it has not had any dealings with any real estate broker, finder, or other person with respect to this Lease other than Tenant’s Broker and Landlord’s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spacing w:after="0" w:line="58" w:lineRule="exact"/>
        <w:rPr>
          <w:rFonts w:ascii="Times New Roman" w:cs="Times New Roman" w:eastAsia="Times New Roman" w:hAnsi="Times New Roman"/>
          <w:sz w:val="14"/>
          <w:szCs w:val="14"/>
          <w:color w:val="auto"/>
        </w:rPr>
      </w:pPr>
    </w:p>
    <w:p>
      <w:pPr>
        <w:ind w:left="220" w:right="279" w:firstLine="3"/>
        <w:spacing w:after="0" w:line="255" w:lineRule="auto"/>
        <w:tabs>
          <w:tab w:leader="none" w:pos="430"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Parking</w:t>
      </w:r>
      <w:r>
        <w:rPr>
          <w:rFonts w:ascii="Times New Roman" w:cs="Times New Roman" w:eastAsia="Times New Roman" w:hAnsi="Times New Roman"/>
          <w:sz w:val="14"/>
          <w:szCs w:val="14"/>
          <w:color w:val="auto"/>
        </w:rPr>
        <w:t>. Tenant shall have the right to the nonexclusive use of two hundred seventy-nine (279) unreserved on-site vehicular parking spaces on the Land at no additional cost to Tenant in the parking area for the Building and nearby parking areas in Union City Labs, provided that if the City of Union City requires that the number of striped parking spaces located at Union City Labs to be reduced to conform to maximum parking allowances adopted by the City of Union City, and so long as such requirement was not triggered by Landlord, the number of parking spaces identified in the first sentence of this Section shall be proportionately reduced. Parking shall be subject to such reasonable rules and regulations for such parking facilities which may be established or altered by Landlord at any time from time to time during the Lease Term. Vehicles of Tenant or its employees shall not park in driveways or occupy parking spaces or other areas reserved for deliveries, or loading or unloading.</w:t>
      </w:r>
    </w:p>
    <w:p>
      <w:pPr>
        <w:spacing w:after="0" w:line="61"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Subordination; Attornment</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79" w:firstLine="345"/>
        <w:spacing w:after="0" w:line="256" w:lineRule="auto"/>
        <w:tabs>
          <w:tab w:leader="none" w:pos="753" w:val="left"/>
        </w:tabs>
        <w:numPr>
          <w:ilvl w:val="1"/>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Lease, without any further instrument, shall at all times be subject and subordinate to the lien of any and all ground or underlying leases, mortgages and deeds of trust which may now or hereafter be placed on, against or affect Landlord’s estate in the real property of which the Premises form a part, and to all advances made or hereafter to be made upon the security thereof, and to all renewals, modifications, consolidations, replacements and extensions thereof. Landlord shall use commercially reasonable efforts to obtain a subordination, non-disturbance and attornment agreement (“</w:t>
      </w:r>
      <w:r>
        <w:rPr>
          <w:rFonts w:ascii="Times New Roman" w:cs="Times New Roman" w:eastAsia="Times New Roman" w:hAnsi="Times New Roman"/>
          <w:sz w:val="14"/>
          <w:szCs w:val="14"/>
          <w:b w:val="1"/>
          <w:bCs w:val="1"/>
          <w:color w:val="auto"/>
        </w:rPr>
        <w:t>SNDA</w:t>
      </w:r>
      <w:r>
        <w:rPr>
          <w:rFonts w:ascii="Times New Roman" w:cs="Times New Roman" w:eastAsia="Times New Roman" w:hAnsi="Times New Roman"/>
          <w:sz w:val="14"/>
          <w:szCs w:val="14"/>
          <w:color w:val="auto"/>
        </w:rPr>
        <w:t>”) from the beneficiary of any deed of trust executed by Landlord as trustor as of the date of this Lease; such SNDA to be on such beneficiary’s form and reasonably satisfactory to Tenant. Landlord’s failure to obtain such SNDA shall not be default of Landlord under this Lease.</w:t>
      </w:r>
    </w:p>
    <w:p>
      <w:pPr>
        <w:spacing w:after="0" w:line="60" w:lineRule="exact"/>
        <w:rPr>
          <w:rFonts w:ascii="Times New Roman" w:cs="Times New Roman" w:eastAsia="Times New Roman" w:hAnsi="Times New Roman"/>
          <w:sz w:val="14"/>
          <w:szCs w:val="14"/>
          <w:color w:val="auto"/>
        </w:rPr>
      </w:pPr>
    </w:p>
    <w:p>
      <w:pPr>
        <w:ind w:left="220" w:right="299" w:firstLine="345"/>
        <w:spacing w:after="0" w:line="255" w:lineRule="auto"/>
        <w:tabs>
          <w:tab w:leader="none" w:pos="760" w:val="left"/>
        </w:tabs>
        <w:numPr>
          <w:ilvl w:val="1"/>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confirmation of such subordination, Tenant covenants and agrees to execute and deliver within ten (10) business days of Landlord’s request any certificate or other instrument which Landlord may reasonably deem proper to evidence such subordination in commercially reasonable form (which document recognizes Tenant’s rights under this Lease), without expense to Tenant; provided, however, that if any person or persons purchasing or otherwise acquiring the real property of which the Premises form a part by any sale, sales and/or other proceedings under such mortgages and/or deeds of trust, shall elect to continue this Lease in full force and effect in the same manner and with like effect as if such person or persons had been named as Landlord herein, then this Lease shall continue in full force and effect as aforesaid, and Tenant hereby attorns and agrees to attorn to such person or persons in writing upon request.</w:t>
      </w:r>
    </w:p>
    <w:p>
      <w:pPr>
        <w:spacing w:after="0" w:line="61" w:lineRule="exact"/>
        <w:rPr>
          <w:rFonts w:ascii="Times New Roman" w:cs="Times New Roman" w:eastAsia="Times New Roman" w:hAnsi="Times New Roman"/>
          <w:sz w:val="14"/>
          <w:szCs w:val="14"/>
          <w:color w:val="auto"/>
        </w:rPr>
      </w:pPr>
    </w:p>
    <w:p>
      <w:pPr>
        <w:jc w:val="both"/>
        <w:ind w:left="220" w:right="319" w:firstLine="345"/>
        <w:spacing w:after="0" w:line="261" w:lineRule="auto"/>
        <w:tabs>
          <w:tab w:leader="none" w:pos="753" w:val="left"/>
        </w:tabs>
        <w:numPr>
          <w:ilvl w:val="1"/>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Tenant is notified in writing of Landlord’s default under any deed of trust affecting the Premises and if Tenant is instructed in writing by the party giving notice to make Tenant’s rental payments to such beneficiary, Tenant shall comply with such request without liability to Landlord (and with full credit of any amounts paid to such party by Tenant to the corresponding amounts owed to Landlord) until Tenant receives written confirmation that such default has been cured by Landlord and that the deed of trust has been reinstated.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644" w:name="page645"/>
    <w:bookmarkEnd w:id="644"/>
    <w:p>
      <w:pPr>
        <w:ind w:left="220" w:right="399" w:firstLine="3"/>
        <w:spacing w:after="0" w:line="282" w:lineRule="auto"/>
        <w:tabs>
          <w:tab w:leader="none" w:pos="43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Termination Right</w:t>
      </w:r>
      <w:r>
        <w:rPr>
          <w:rFonts w:ascii="Times New Roman" w:cs="Times New Roman" w:eastAsia="Times New Roman" w:hAnsi="Times New Roman"/>
          <w:sz w:val="14"/>
          <w:szCs w:val="14"/>
          <w:color w:val="auto"/>
        </w:rPr>
        <w:t xml:space="preserve">. Except in a claim for eviction, Tenant shall not have the right to terminate this Lease as a result of any default by Landlord, and Tenant’s remedies in the event of a default by Landlord shall be limited to the remedy set forth in </w:t>
      </w:r>
      <w:r>
        <w:rPr>
          <w:rFonts w:ascii="Times New Roman" w:cs="Times New Roman" w:eastAsia="Times New Roman" w:hAnsi="Times New Roman"/>
          <w:sz w:val="14"/>
          <w:szCs w:val="14"/>
          <w:u w:val="single" w:color="auto"/>
          <w:color w:val="auto"/>
        </w:rPr>
        <w:t>Paragraph 22(c</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220" w:right="499" w:firstLine="3"/>
        <w:spacing w:after="0" w:line="256" w:lineRule="auto"/>
        <w:tabs>
          <w:tab w:leader="none" w:pos="43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Landlord’s Entry</w:t>
      </w:r>
      <w:r>
        <w:rPr>
          <w:rFonts w:ascii="Times New Roman" w:cs="Times New Roman" w:eastAsia="Times New Roman" w:hAnsi="Times New Roman"/>
          <w:sz w:val="14"/>
          <w:szCs w:val="14"/>
          <w:color w:val="auto"/>
        </w:rPr>
        <w:t>. Except in the case of an emergency and except for permitted entry during Tenant’s normal working hours, both of which may occur without prior notice to Tenant, but subject Tenant’s reasonable security/control procedures for its CLIA operations, Landlord and Landlord’s agents shall provide Tenant with at least one business day notice prior to entry of the Premises. Landlord may enter the Premises for any reasonable purpose related to Landlord’s ownership and operation of the Property. Such entry by Landlord and Landlord’s agents shall not impair Tenant’s operations more than reasonably necessary. Landlord may enter the Premises at any time without prior notice to Tenant if the Premises are vacant, if Tenant is no longer conducting its ordinary business at the Premises, or if Tenant has made a general assignment for the benefit of creditors.</w:t>
      </w:r>
    </w:p>
    <w:p>
      <w:pPr>
        <w:spacing w:after="0" w:line="60" w:lineRule="exact"/>
        <w:rPr>
          <w:rFonts w:ascii="Times New Roman" w:cs="Times New Roman" w:eastAsia="Times New Roman" w:hAnsi="Times New Roman"/>
          <w:sz w:val="14"/>
          <w:szCs w:val="14"/>
          <w:color w:val="auto"/>
        </w:rPr>
      </w:pPr>
    </w:p>
    <w:p>
      <w:pPr>
        <w:ind w:left="220" w:right="299" w:firstLine="3"/>
        <w:spacing w:after="0" w:line="261" w:lineRule="auto"/>
        <w:tabs>
          <w:tab w:leader="none" w:pos="43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Attorneys’ Fees</w:t>
      </w:r>
      <w:r>
        <w:rPr>
          <w:rFonts w:ascii="Times New Roman" w:cs="Times New Roman" w:eastAsia="Times New Roman" w:hAnsi="Times New Roman"/>
          <w:sz w:val="14"/>
          <w:szCs w:val="14"/>
          <w:color w:val="auto"/>
        </w:rPr>
        <w:t>. If any action at law or in equity shall be brought to recover any rent under this Lease, or for or on account of any breach of or to enforce or interpret any of the provisions of this Lease or for recovery of the possession of the Premises (including litigation, or a proceeding in a bankruptcy court), the prevailing party shall be entitled to recover from the other party costs of suit and reasonable attorneys’ fees, the amount of which shall be fixed by the court and shall be made a part of any judgment rendered.</w:t>
      </w:r>
    </w:p>
    <w:p>
      <w:pPr>
        <w:spacing w:after="0" w:line="55" w:lineRule="exact"/>
        <w:rPr>
          <w:rFonts w:ascii="Times New Roman" w:cs="Times New Roman" w:eastAsia="Times New Roman" w:hAnsi="Times New Roman"/>
          <w:sz w:val="14"/>
          <w:szCs w:val="14"/>
          <w:color w:val="auto"/>
        </w:rPr>
      </w:pPr>
    </w:p>
    <w:p>
      <w:pPr>
        <w:jc w:val="both"/>
        <w:ind w:left="220" w:right="299" w:firstLine="3"/>
        <w:spacing w:after="0" w:line="266" w:lineRule="auto"/>
        <w:tabs>
          <w:tab w:leader="none" w:pos="43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Quiet Enjoyment</w:t>
      </w:r>
      <w:r>
        <w:rPr>
          <w:rFonts w:ascii="Times New Roman" w:cs="Times New Roman" w:eastAsia="Times New Roman" w:hAnsi="Times New Roman"/>
          <w:sz w:val="14"/>
          <w:szCs w:val="14"/>
          <w:color w:val="auto"/>
        </w:rPr>
        <w:t>. Upon payment by Tenant of the rent for the Premises and the observance and performance of all of the covenants, conditions, and provisions on Tenant’s part to be observed and performed under this Lease within applicable notice and cure periods, Tenant shall have quiet enjoyment and possession of the Premises for the entire term hereof subject to all of the provisions of this Lease.</w:t>
      </w:r>
    </w:p>
    <w:p>
      <w:pPr>
        <w:spacing w:after="0" w:line="52" w:lineRule="exact"/>
        <w:rPr>
          <w:rFonts w:ascii="Times New Roman" w:cs="Times New Roman" w:eastAsia="Times New Roman" w:hAnsi="Times New Roman"/>
          <w:sz w:val="14"/>
          <w:szCs w:val="14"/>
          <w:color w:val="auto"/>
        </w:rPr>
      </w:pPr>
    </w:p>
    <w:p>
      <w:pPr>
        <w:ind w:left="220" w:right="259" w:firstLine="3"/>
        <w:spacing w:after="0" w:line="254" w:lineRule="auto"/>
        <w:tabs>
          <w:tab w:leader="none" w:pos="43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Information</w:t>
      </w:r>
      <w:r>
        <w:rPr>
          <w:rFonts w:ascii="Times New Roman" w:cs="Times New Roman" w:eastAsia="Times New Roman" w:hAnsi="Times New Roman"/>
          <w:sz w:val="14"/>
          <w:szCs w:val="14"/>
          <w:color w:val="auto"/>
        </w:rPr>
        <w:t>. Tenant represents and warrants to Landlord that all financial and other information that it has provided to Landlord prior to the date of this Lease is true, correct and complete. Within fourteen (14) days of Landlord’s written request therefor (but no more often than once per calendar year), Tenant shall promptly furnish to Landlord an audited financial statement with respect to Tenant for its most recent fiscal year prepared in accordance with generally accepted accounting principles and certified to be true and correct by Tenant; and if no such audited financial statement is available, then Tenant shall instead deliver to Landlord its most currently available balance sheet, income statement and unaudited financial statement and/or such other information, the type and form of which are acceptable to Landlord in Landlord’s reasonable discretion, which reflects the financial condition of Tenant. Landlord shall keep Tenant’s financial information and statement confidential and use such financial information or statements only for the purpose in connection with this Lease.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1" w:right="1440" w:bottom="1440" w:gutter="0" w:footer="0" w:header="0"/>
        </w:sectPr>
      </w:pPr>
    </w:p>
    <w:bookmarkStart w:id="645" w:name="page646"/>
    <w:bookmarkEnd w:id="645"/>
    <w:p>
      <w:pPr>
        <w:ind w:left="220" w:right="239" w:firstLine="3"/>
        <w:spacing w:after="0" w:line="252" w:lineRule="auto"/>
        <w:tabs>
          <w:tab w:leader="none" w:pos="43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SDN List</w:t>
      </w:r>
      <w:r>
        <w:rPr>
          <w:rFonts w:ascii="Times New Roman" w:cs="Times New Roman" w:eastAsia="Times New Roman" w:hAnsi="Times New Roman"/>
          <w:sz w:val="14"/>
          <w:szCs w:val="14"/>
          <w:color w:val="auto"/>
        </w:rPr>
        <w:t>. Tenant represents and warrants to Landlord that Tenant is not, and the entities or individuals that constitute Tenant, that may own or control Tenant, or that may be owned or controlled by Tenant (in all cases, other than through the ownership of publicly traded, direct or indirect ownership interests) (each a “Subject Tenant Party”) are not, (i) in violation of any laws relating to terrorism or money laundering, or (ii) among the individuals or entities identified on any list compiled pursuant to Executive Order 13224 or published by the Office of Foreign Assets Control, U.S. Department of the Treasury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xml:space="preserve">”) for the purpose of identifying suspected terrorists or on the most current list published by the OFAC at its official website, </w:t>
      </w:r>
      <w:r>
        <w:rPr>
          <w:rFonts w:ascii="Times New Roman" w:cs="Times New Roman" w:eastAsia="Times New Roman" w:hAnsi="Times New Roman"/>
          <w:sz w:val="14"/>
          <w:szCs w:val="14"/>
          <w:u w:val="single" w:color="auto"/>
          <w:color w:val="auto"/>
        </w:rPr>
        <w:t>http://www.treas.gov/ofac/tllsdn.pdf</w:t>
      </w:r>
      <w:r>
        <w:rPr>
          <w:rFonts w:ascii="Times New Roman" w:cs="Times New Roman" w:eastAsia="Times New Roman" w:hAnsi="Times New Roman"/>
          <w:sz w:val="14"/>
          <w:szCs w:val="14"/>
          <w:color w:val="auto"/>
        </w:rPr>
        <w:t xml:space="preserve"> or any replacement website or other replacement official publication of such list which identifies an “Specially Designated National” or “blocked person” (either of which are referred to herein as a “</w:t>
      </w:r>
      <w:r>
        <w:rPr>
          <w:rFonts w:ascii="Times New Roman" w:cs="Times New Roman" w:eastAsia="Times New Roman" w:hAnsi="Times New Roman"/>
          <w:sz w:val="14"/>
          <w:szCs w:val="14"/>
          <w:b w:val="1"/>
          <w:bCs w:val="1"/>
          <w:color w:val="auto"/>
        </w:rPr>
        <w:t>SDN</w:t>
      </w:r>
      <w:r>
        <w:rPr>
          <w:rFonts w:ascii="Times New Roman" w:cs="Times New Roman" w:eastAsia="Times New Roman" w:hAnsi="Times New Roman"/>
          <w:sz w:val="14"/>
          <w:szCs w:val="14"/>
          <w:color w:val="auto"/>
        </w:rPr>
        <w:t xml:space="preserve">”). If at any time during the Lease Term Landlord discovers that Tenant has breached the foregoing representations and warranties, or Landlord reasonably believes that Tenant or any Subject Tenant Party is in violation of any laws relating to terrorism or money laundering or that Tenant or any Subject Tenant Party is identified as an SDN, Tenant shall be deemed in default under this Lease following three (3) days written notice from Landlord to Tenant unless, within such three day period, Tenant delivers written evidence, reasonably acceptable to Landlord, that Tenant is not in violation of such laws or that Tenant (or the Subject Tenant Party, as applicable) is not a person or entity identified as an SDN. Except as otherwise expressly provided in the foregoing sentence, and without further notice, any default by Tenant under this </w:t>
      </w:r>
      <w:r>
        <w:rPr>
          <w:rFonts w:ascii="Times New Roman" w:cs="Times New Roman" w:eastAsia="Times New Roman" w:hAnsi="Times New Roman"/>
          <w:sz w:val="14"/>
          <w:szCs w:val="14"/>
          <w:u w:val="single" w:color="auto"/>
          <w:color w:val="auto"/>
        </w:rPr>
        <w:t>Paragraph 35</w:t>
      </w:r>
      <w:r>
        <w:rPr>
          <w:rFonts w:ascii="Times New Roman" w:cs="Times New Roman" w:eastAsia="Times New Roman" w:hAnsi="Times New Roman"/>
          <w:sz w:val="14"/>
          <w:szCs w:val="14"/>
          <w:color w:val="auto"/>
        </w:rPr>
        <w:t xml:space="preserve"> shall be deemed an incurable default by Tenant and, in addition to any other rights and remedies that Landlord may have upon such default, Landlord shall also have the right to immediately terminate this Lease upon written notice to Tenant and recover possession of the Premises.</w:t>
      </w:r>
    </w:p>
    <w:p>
      <w:pPr>
        <w:spacing w:after="0" w:line="66" w:lineRule="exact"/>
        <w:rPr>
          <w:rFonts w:ascii="Times New Roman" w:cs="Times New Roman" w:eastAsia="Times New Roman" w:hAnsi="Times New Roman"/>
          <w:sz w:val="14"/>
          <w:szCs w:val="14"/>
          <w:color w:val="auto"/>
        </w:rPr>
      </w:pPr>
    </w:p>
    <w:p>
      <w:pPr>
        <w:ind w:left="220" w:right="239" w:firstLine="3"/>
        <w:spacing w:after="0" w:line="253" w:lineRule="auto"/>
        <w:tabs>
          <w:tab w:leader="none" w:pos="43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Sustainable Practices for the Building</w:t>
      </w:r>
      <w:r>
        <w:rPr>
          <w:rFonts w:ascii="Times New Roman" w:cs="Times New Roman" w:eastAsia="Times New Roman" w:hAnsi="Times New Roman"/>
          <w:sz w:val="14"/>
          <w:szCs w:val="14"/>
          <w:color w:val="auto"/>
        </w:rPr>
        <w:t>. Landlord and Tenant acknowledge and agree that Landlord is committed to employing sustainable operating and maintenance practices for the Building. Tenant shall fully cooperate with Landlord in any reasonable programs in which Landlord may elect to participate relating to the Building’s (i) energy efficiency, management and conservation; (ii) water conservation and management; (iii) environmental standards and efficiency; (iv) recycling and reduction programs; and/or (v) safety, which participation may include, without limitation, the Leadership in Energy and Environmental Design (LEED) program and related Green Building Rating System promoted by the U.S. Green Building Council (“</w:t>
      </w:r>
      <w:r>
        <w:rPr>
          <w:rFonts w:ascii="Times New Roman" w:cs="Times New Roman" w:eastAsia="Times New Roman" w:hAnsi="Times New Roman"/>
          <w:sz w:val="14"/>
          <w:szCs w:val="14"/>
          <w:b w:val="1"/>
          <w:bCs w:val="1"/>
          <w:color w:val="auto"/>
        </w:rPr>
        <w:t>Green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Energy Programs</w:t>
      </w:r>
      <w:r>
        <w:rPr>
          <w:rFonts w:ascii="Times New Roman" w:cs="Times New Roman" w:eastAsia="Times New Roman" w:hAnsi="Times New Roman"/>
          <w:sz w:val="14"/>
          <w:szCs w:val="14"/>
          <w:color w:val="auto"/>
        </w:rPr>
        <w:t>”). All carbon tax credits and similar credits, offsets and deductions are the sole and exclusive property of Landlord. Tenant affirms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of these practices, and agrees to cooperate with Landlord by implementing reasonable conservation practices. Periodically, Landlord may offer additional examples, guidance and practices related to energy conservation measures, which Tenant agrees to consider for implementation. Notwithstanding anything herein to the contrary, Tenant shall not be restricted from operating its business in the fashion and manner which it deems appropriate for itself, in accordance with the Use provisions of this Lease. Should any specific practice(s) proposed by Landlord be deemed to be inconsistent with Tenant’s business operations, Tenant shall so advise Landlord in writing as its reason for declining to implement such specific practice(s).</w:t>
      </w:r>
    </w:p>
    <w:p>
      <w:pPr>
        <w:spacing w:after="0" w:line="62"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Intentionally Deleted</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Intentionally Deleted</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646" w:name="page647"/>
    <w:bookmarkEnd w:id="646"/>
    <w:p>
      <w:pPr>
        <w:ind w:left="220" w:right="239" w:firstLine="3"/>
        <w:spacing w:after="0" w:line="252" w:lineRule="auto"/>
        <w:tabs>
          <w:tab w:leader="none" w:pos="43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Landlord’s Renovations</w:t>
      </w:r>
      <w:r>
        <w:rPr>
          <w:rFonts w:ascii="Times New Roman" w:cs="Times New Roman" w:eastAsia="Times New Roman" w:hAnsi="Times New Roman"/>
          <w:sz w:val="14"/>
          <w:szCs w:val="14"/>
          <w:color w:val="auto"/>
        </w:rPr>
        <w:t>. Except as otherwise expressly set forth herein, it is specifically understood and agreed that Landlord has made no representation or warranty to Tenant and has no obligation and has made no promises to alter, remodel, improve, renovate, repair or decorate the Premises, Building, the Property or any part thereof and that no representations respecting the condition of the Property, Premises or the Building except as specifically set forth herein, or the areas in the vicinity of the Property have been made by Landlord to Tenant. However, Tenant hereby acknowledges that Landlord may during the Lease Term renovate, improve, alter, or modify (collectively, the “</w:t>
      </w:r>
      <w:r>
        <w:rPr>
          <w:rFonts w:ascii="Times New Roman" w:cs="Times New Roman" w:eastAsia="Times New Roman" w:hAnsi="Times New Roman"/>
          <w:sz w:val="14"/>
          <w:szCs w:val="14"/>
          <w:b w:val="1"/>
          <w:bCs w:val="1"/>
          <w:color w:val="auto"/>
        </w:rPr>
        <w:t>Renovations</w:t>
      </w:r>
      <w:r>
        <w:rPr>
          <w:rFonts w:ascii="Times New Roman" w:cs="Times New Roman" w:eastAsia="Times New Roman" w:hAnsi="Times New Roman"/>
          <w:sz w:val="14"/>
          <w:szCs w:val="14"/>
          <w:color w:val="auto"/>
        </w:rPr>
        <w:t>”) the Property and/or the Building, including, without limitation, the parking areas, Common Areas, systems and equipment, roof, and structural portions of the same. In connection with any Renovations, Landlord may, among other things, erect scaffolding or other necessary structures in the Premises and/or the Building, and limit or temporarily eliminate access to portions of the Property, including portions of the Common Areas, or perform work in the Premises or the Building, as applicable, which work may create noise, vibrations, dust or leave debris in the Building and/or the Premises. In connection with such Renovations, Landlord may enter the Premises at reasonable times and upon reasonable notice to Tenant, to construct such Renovations; provided, however, that Landlord agrees to perform any highly disruptive portion of the Renovations in the Premises during non-business hours. The scope and extent of such Renovations shall be determined by Landlord in its sole discretion. Certain areas, including areas of the Property and parking are that are currently being used by tenants of the Building, including by Tenant, may be temporarily unavailable for use by tenants of the Building, including Tenant, during portions of the Renovations. Tenant hereby agrees that such Renovations and Landlord’s actions in connection with such Renovations shall in no way constitute a constructive eviction of Tenant nor entitle Tenant to any abatement of Rent. Landlord shall use commercially reasonable efforts to minimize interference with Tenant’s use of and access to the Building and the Premises when performing such Renovations. Landlord shall have no responsibility or for any reason be liable to Tenant for any direct or indirect injury to or interference with Tenant’s business arising from the Renovations, nor shall Tenant be entitled to any compensation or damages from Landlord for loss resulting from the Renovations or Landlord’s actions in connection with such Renovations, or for any inconvenience or annoyance occasioned by such Renovations or Landlord’s actions.</w:t>
      </w:r>
    </w:p>
    <w:p>
      <w:pPr>
        <w:spacing w:after="0" w:line="62" w:lineRule="exact"/>
        <w:rPr>
          <w:rFonts w:ascii="Times New Roman" w:cs="Times New Roman" w:eastAsia="Times New Roman" w:hAnsi="Times New Roman"/>
          <w:sz w:val="14"/>
          <w:szCs w:val="14"/>
          <w:color w:val="auto"/>
        </w:rPr>
      </w:pPr>
    </w:p>
    <w:p>
      <w:pPr>
        <w:ind w:left="220" w:right="619" w:firstLine="3"/>
        <w:spacing w:after="0" w:line="261" w:lineRule="auto"/>
        <w:tabs>
          <w:tab w:leader="none" w:pos="43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Provisions</w:t>
      </w:r>
      <w:r>
        <w:rPr>
          <w:rFonts w:ascii="Times New Roman" w:cs="Times New Roman" w:eastAsia="Times New Roman" w:hAnsi="Times New Roman"/>
          <w:sz w:val="14"/>
          <w:szCs w:val="14"/>
          <w:color w:val="auto"/>
        </w:rPr>
        <w:t>. Nothing contained in this Lease shall be deemed or construed by the parties hereto or by any third person to create the relationship of principal and agent or of partnership or of joint venture of any association between Landlord and Tenant, and neither the method of computation of rent nor any other provisions contained in this Lease nor any acts of the parties hereto shall be deemed to create any relationship between Landlord and Tenant other than the relationship of landlord and tenant.</w:t>
      </w:r>
    </w:p>
    <w:p>
      <w:pPr>
        <w:spacing w:after="0" w:line="55" w:lineRule="exact"/>
        <w:rPr>
          <w:rFonts w:ascii="Times New Roman" w:cs="Times New Roman" w:eastAsia="Times New Roman" w:hAnsi="Times New Roman"/>
          <w:sz w:val="14"/>
          <w:szCs w:val="14"/>
          <w:color w:val="auto"/>
        </w:rPr>
      </w:pPr>
    </w:p>
    <w:p>
      <w:pPr>
        <w:ind w:left="220" w:right="279" w:firstLine="345"/>
        <w:spacing w:after="0" w:line="261" w:lineRule="auto"/>
        <w:tabs>
          <w:tab w:leader="none" w:pos="760"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and all of the provisions of this Lease shall be binding upon and inure to the benefit of the parties hereto, and except as otherwise specifically provided elsewhere in this Lease, their respective heirs, executors, administrators, successors, and assigns, subject at all times, nevertheless, to all agreements and restrictions contained elsewhere in this Lease with respect to the assignment, transfer, encumbering, or subletting of all or any part of Tenant’s interest in this Lease.</w:t>
      </w:r>
    </w:p>
    <w:p>
      <w:pPr>
        <w:spacing w:after="0" w:line="55" w:lineRule="exact"/>
        <w:rPr>
          <w:rFonts w:ascii="Times New Roman" w:cs="Times New Roman" w:eastAsia="Times New Roman" w:hAnsi="Times New Roman"/>
          <w:sz w:val="14"/>
          <w:szCs w:val="14"/>
          <w:color w:val="auto"/>
        </w:rPr>
      </w:pPr>
    </w:p>
    <w:p>
      <w:pPr>
        <w:ind w:left="220" w:right="619" w:firstLine="345"/>
        <w:spacing w:after="0" w:line="282" w:lineRule="auto"/>
        <w:tabs>
          <w:tab w:leader="none" w:pos="753"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captions of the paragraphs of this Lease are for convenience only and shall not be considered or referred to in resolving questions of interpretation or construction.</w:t>
      </w:r>
    </w:p>
    <w:p>
      <w:pPr>
        <w:spacing w:after="0" w:line="41" w:lineRule="exact"/>
        <w:rPr>
          <w:rFonts w:ascii="Times New Roman" w:cs="Times New Roman" w:eastAsia="Times New Roman" w:hAnsi="Times New Roman"/>
          <w:sz w:val="14"/>
          <w:szCs w:val="14"/>
          <w:color w:val="auto"/>
        </w:rPr>
      </w:pPr>
    </w:p>
    <w:p>
      <w:pPr>
        <w:ind w:left="220" w:right="259" w:firstLine="345"/>
        <w:spacing w:after="0" w:line="296" w:lineRule="auto"/>
        <w:tabs>
          <w:tab w:leader="none" w:pos="760" w:val="left"/>
        </w:tabs>
        <w:numPr>
          <w:ilvl w:val="1"/>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2" w:right="1440" w:bottom="1440" w:gutter="0" w:footer="0" w:header="0"/>
        </w:sectPr>
      </w:pPr>
    </w:p>
    <w:bookmarkStart w:id="647" w:name="page648"/>
    <w:bookmarkEnd w:id="647"/>
    <w:p>
      <w:pPr>
        <w:ind w:left="760" w:hanging="195"/>
        <w:spacing w:after="0"/>
        <w:tabs>
          <w:tab w:leader="none" w:pos="7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This Lease shall be governed by and construed pursuant to the laws of the State of California.</w:t>
      </w:r>
    </w:p>
    <w:p>
      <w:pPr>
        <w:spacing w:after="0" w:line="90" w:lineRule="exact"/>
        <w:rPr>
          <w:rFonts w:ascii="Times New Roman" w:cs="Times New Roman" w:eastAsia="Times New Roman" w:hAnsi="Times New Roman"/>
          <w:sz w:val="14"/>
          <w:szCs w:val="14"/>
          <w:color w:val="auto"/>
        </w:rPr>
      </w:pPr>
    </w:p>
    <w:p>
      <w:pPr>
        <w:ind w:left="220" w:right="259" w:firstLine="345"/>
        <w:spacing w:after="0" w:line="255" w:lineRule="auto"/>
        <w:tabs>
          <w:tab w:leader="none" w:pos="737"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by Tenant for breach of this Lease by Landlord shall be expressly limited to the amount of Landlord’s interest in the Property and the rents, issues, insurance, condemnation, and sales proceeds actually received by Landlord, and profits therefrom, and in the event of any such breach or default by Landlord, Tenant hereby waives the right to proceed against any other assets of Landlord or against any other assets of any manager, member, officer, partner, director, principal, trustee, beneficiary, employee or agent of Landlord, unless Tenant brings a successful action to pierce the corporate veil of Landlord relating to the liability under this Lease. In the event of a breach of default of this Lease by Tenant, Landlord hereby waives the right to proceed against any assets of any manager, member, officer, partner, director, principal, trustee, beneficiary, employee or agent of Tenant, unless Landlord brings a successful action to pierce the corporate veil of Tenant relating to the liability under this Lease.</w:t>
      </w:r>
    </w:p>
    <w:p>
      <w:pPr>
        <w:spacing w:after="0" w:line="61" w:lineRule="exact"/>
        <w:rPr>
          <w:rFonts w:ascii="Times New Roman" w:cs="Times New Roman" w:eastAsia="Times New Roman" w:hAnsi="Times New Roman"/>
          <w:sz w:val="14"/>
          <w:szCs w:val="14"/>
          <w:color w:val="auto"/>
        </w:rPr>
      </w:pPr>
    </w:p>
    <w:p>
      <w:pPr>
        <w:ind w:left="220" w:right="459" w:firstLine="345"/>
        <w:spacing w:after="0" w:line="322" w:lineRule="auto"/>
        <w:tabs>
          <w:tab w:leader="none" w:pos="760" w:val="left"/>
        </w:tabs>
        <w:numPr>
          <w:ilvl w:val="0"/>
          <w:numId w:val="4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or provisions of this Lease which shall be found to be invalid, void or illegal by a court of competent jurisdiction, shall in no way affect, impair, or invalidate any other provisions hereof, and the remaining provisions hereof shall nevertheless remain in full force and effect.</w:t>
      </w:r>
    </w:p>
    <w:p>
      <w:pPr>
        <w:spacing w:after="0" w:line="18" w:lineRule="exact"/>
        <w:rPr>
          <w:rFonts w:ascii="Times New Roman" w:cs="Times New Roman" w:eastAsia="Times New Roman" w:hAnsi="Times New Roman"/>
          <w:sz w:val="13"/>
          <w:szCs w:val="13"/>
          <w:color w:val="auto"/>
        </w:rPr>
      </w:pPr>
    </w:p>
    <w:p>
      <w:pPr>
        <w:ind w:left="220" w:right="239" w:firstLine="345"/>
        <w:spacing w:after="0" w:line="261" w:lineRule="auto"/>
        <w:tabs>
          <w:tab w:leader="none" w:pos="7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spacing w:after="0" w:line="55" w:lineRule="exact"/>
        <w:rPr>
          <w:rFonts w:ascii="Times New Roman" w:cs="Times New Roman" w:eastAsia="Times New Roman" w:hAnsi="Times New Roman"/>
          <w:sz w:val="14"/>
          <w:szCs w:val="14"/>
          <w:color w:val="auto"/>
        </w:rPr>
      </w:pPr>
    </w:p>
    <w:p>
      <w:pPr>
        <w:ind w:left="220" w:right="279" w:firstLine="345"/>
        <w:spacing w:after="0" w:line="261" w:lineRule="auto"/>
        <w:tabs>
          <w:tab w:leader="none" w:pos="729"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represents to the other that the person signing this Lease on its behalf is properly authorized to do so, and in the event this Lease is signed by an agent or other third party on behalf of either Landlord or Tenant, written authority to sign on behalf of such party in favor of the agent or third party shall be provided to the other party hereto either prior to or simultaneously with the return to such other party of a fully executed copy of this Lease.</w:t>
      </w:r>
    </w:p>
    <w:p>
      <w:pPr>
        <w:spacing w:after="0" w:line="55"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29"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binding agreement between the parties with respect to the Premises shall arise or become effective until this Lease has been duly executed by both Tenant and Landlord and a fully executed copy of this Lease has been delivered to both Tenant and Landlord.</w:t>
      </w:r>
    </w:p>
    <w:p>
      <w:pPr>
        <w:spacing w:after="0" w:line="41" w:lineRule="exact"/>
        <w:rPr>
          <w:rFonts w:ascii="Times New Roman" w:cs="Times New Roman" w:eastAsia="Times New Roman" w:hAnsi="Times New Roman"/>
          <w:sz w:val="14"/>
          <w:szCs w:val="14"/>
          <w:color w:val="auto"/>
        </w:rPr>
      </w:pPr>
    </w:p>
    <w:p>
      <w:pPr>
        <w:ind w:left="220" w:right="279" w:firstLine="345"/>
        <w:spacing w:after="0" w:line="255" w:lineRule="auto"/>
        <w:tabs>
          <w:tab w:leader="none" w:pos="7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acknowledges that the terms and conditions of this Lease constitute confidential information of Landlord. Tenant shall, not disclose the contents of this Lease, lease proposals, lease drafts, or other documentation containing the terms, identity of the parties, details or conditions contained herein in any manner to any third party without obtaining the prior written consent of the Landlord, except to the attorneys, accountants, brokers, lenders, investors, potential investors, potential business or merger partners, potential subtenants and assignees, or other authorized business representatives or agents of the parties, or except to the extent required to comply with applicable laws, including any filings by Tenant pursuant to state or federal securities laws. Tenant shall not make any public announcement of the consummation of this Lease transaction without the prior approval of the Landlord.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648" w:name="page649"/>
    <w:bookmarkEnd w:id="648"/>
    <w:p>
      <w:pPr>
        <w:ind w:left="220" w:right="379" w:firstLine="345"/>
        <w:spacing w:after="0" w:line="266" w:lineRule="auto"/>
        <w:tabs>
          <w:tab w:leader="none" w:pos="729"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Except as provided in </w:t>
      </w:r>
      <w:r>
        <w:rPr>
          <w:rFonts w:ascii="Times New Roman" w:cs="Times New Roman" w:eastAsia="Times New Roman" w:hAnsi="Times New Roman"/>
          <w:sz w:val="14"/>
          <w:szCs w:val="14"/>
          <w:u w:val="single" w:color="auto"/>
          <w:color w:val="auto"/>
        </w:rPr>
        <w:t>Paragraph 22(c)</w:t>
      </w:r>
      <w:r>
        <w:rPr>
          <w:rFonts w:ascii="Times New Roman" w:cs="Times New Roman" w:eastAsia="Times New Roman" w:hAnsi="Times New Roman"/>
          <w:sz w:val="14"/>
          <w:szCs w:val="14"/>
          <w:color w:val="auto"/>
        </w:rPr>
        <w:t>, the rights and remedies that either party may have under this Lease or at law or in equity, upon any breach, are distinct, separate and cumulative and shall not be deemed inconsistent with each other, and no one of them shall be deemed to be exclusive of any other.</w:t>
      </w:r>
    </w:p>
    <w:p>
      <w:pPr>
        <w:spacing w:after="0" w:line="52" w:lineRule="exact"/>
        <w:rPr>
          <w:rFonts w:ascii="Times New Roman" w:cs="Times New Roman" w:eastAsia="Times New Roman" w:hAnsi="Times New Roman"/>
          <w:sz w:val="14"/>
          <w:szCs w:val="14"/>
          <w:color w:val="auto"/>
        </w:rPr>
      </w:pPr>
    </w:p>
    <w:p>
      <w:pPr>
        <w:ind w:left="220" w:right="399" w:firstLine="345"/>
        <w:spacing w:after="0" w:line="282" w:lineRule="auto"/>
        <w:tabs>
          <w:tab w:leader="none" w:pos="799"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waives any claim for consequential damages which Tenant may have against Landlord for breach of or failure to perform or observe the requirements and obligations created by this Lease.</w:t>
      </w:r>
    </w:p>
    <w:p>
      <w:pPr>
        <w:spacing w:after="0" w:line="41" w:lineRule="exact"/>
        <w:rPr>
          <w:rFonts w:ascii="Times New Roman" w:cs="Times New Roman" w:eastAsia="Times New Roman" w:hAnsi="Times New Roman"/>
          <w:sz w:val="14"/>
          <w:szCs w:val="14"/>
          <w:color w:val="auto"/>
        </w:rPr>
      </w:pPr>
    </w:p>
    <w:p>
      <w:pPr>
        <w:ind w:left="220" w:right="339" w:firstLine="345"/>
        <w:spacing w:after="0" w:line="261" w:lineRule="auto"/>
        <w:tabs>
          <w:tab w:leader="none" w:pos="760"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and Tenant each agree to and they hereby do, to the maximum extent permitted by law,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 and any statutory remedy.</w:t>
      </w:r>
    </w:p>
    <w:p>
      <w:pPr>
        <w:spacing w:after="0" w:line="55"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Lease shall not be recorded.</w:t>
      </w:r>
    </w:p>
    <w:p>
      <w:pPr>
        <w:spacing w:after="0" w:line="90" w:lineRule="exact"/>
        <w:rPr>
          <w:rFonts w:ascii="Times New Roman" w:cs="Times New Roman" w:eastAsia="Times New Roman" w:hAnsi="Times New Roman"/>
          <w:sz w:val="14"/>
          <w:szCs w:val="14"/>
          <w:color w:val="auto"/>
        </w:rPr>
      </w:pPr>
    </w:p>
    <w:p>
      <w:pPr>
        <w:jc w:val="both"/>
        <w:ind w:left="220" w:right="259" w:firstLine="345"/>
        <w:spacing w:after="0" w:line="296" w:lineRule="auto"/>
        <w:tabs>
          <w:tab w:leader="none" w:pos="760" w:val="left"/>
        </w:tabs>
        <w:numPr>
          <w:ilvl w:val="1"/>
          <w:numId w:val="4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this Lease requires an approval, consent, determination, selection or judgment by either Landlord or Tenant, unless another standard is expressly set forth, such approval, consent, determination, selection or judgment and any conditions imposed thereby shall be reasonable and shall not be unreasonably withheld or delayed and, in exercising any right or remedy hereunder, each party shall at all times act reasonably and in good faith.</w:t>
      </w:r>
    </w:p>
    <w:p>
      <w:pPr>
        <w:spacing w:after="0" w:line="34" w:lineRule="exact"/>
        <w:rPr>
          <w:rFonts w:ascii="Times New Roman" w:cs="Times New Roman" w:eastAsia="Times New Roman" w:hAnsi="Times New Roman"/>
          <w:sz w:val="13"/>
          <w:szCs w:val="13"/>
          <w:color w:val="auto"/>
        </w:rPr>
      </w:pPr>
    </w:p>
    <w:p>
      <w:pPr>
        <w:ind w:left="220" w:right="239" w:firstLine="3"/>
        <w:spacing w:after="0" w:line="266" w:lineRule="auto"/>
        <w:tabs>
          <w:tab w:leader="none" w:pos="4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Electronic Signatures</w:t>
      </w:r>
      <w:r>
        <w:rPr>
          <w:rFonts w:ascii="Times New Roman" w:cs="Times New Roman" w:eastAsia="Times New Roman" w:hAnsi="Times New Roman"/>
          <w:sz w:val="14"/>
          <w:szCs w:val="14"/>
          <w:color w:val="auto"/>
        </w:rPr>
        <w:t>. This Lease may be executed in any number of counterparts, each of which, when so executed by a party, shall be deemed an original, but all such counterparts shall constitute but one and the same instrument. Electronic transmission signatures of any of the parties shall be deemed to be original signatures in connection with the execution of this Lease or any modification of this Lease.</w:t>
      </w:r>
    </w:p>
    <w:p>
      <w:pPr>
        <w:spacing w:after="0" w:line="52" w:lineRule="exact"/>
        <w:rPr>
          <w:rFonts w:ascii="Times New Roman" w:cs="Times New Roman" w:eastAsia="Times New Roman" w:hAnsi="Times New Roman"/>
          <w:sz w:val="14"/>
          <w:szCs w:val="14"/>
          <w:color w:val="auto"/>
        </w:rPr>
      </w:pPr>
    </w:p>
    <w:p>
      <w:pPr>
        <w:ind w:left="220" w:right="239" w:firstLine="3"/>
        <w:spacing w:after="0" w:line="261" w:lineRule="auto"/>
        <w:tabs>
          <w:tab w:leader="none" w:pos="4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spacing w:after="0" w:line="55" w:lineRule="exact"/>
        <w:rPr>
          <w:rFonts w:ascii="Times New Roman" w:cs="Times New Roman" w:eastAsia="Times New Roman" w:hAnsi="Times New Roman"/>
          <w:sz w:val="14"/>
          <w:szCs w:val="14"/>
          <w:color w:val="auto"/>
        </w:rPr>
      </w:pPr>
    </w:p>
    <w:p>
      <w:pPr>
        <w:ind w:left="440" w:hanging="217"/>
        <w:spacing w:after="0"/>
        <w:tabs>
          <w:tab w:leader="none" w:pos="44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Satellite Dish</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399" w:firstLine="345"/>
        <w:spacing w:after="0" w:line="256" w:lineRule="auto"/>
        <w:tabs>
          <w:tab w:leader="none" w:pos="752" w:val="left"/>
        </w:tabs>
        <w:numPr>
          <w:ilvl w:val="1"/>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Generally</w:t>
      </w:r>
      <w:r>
        <w:rPr>
          <w:rFonts w:ascii="Times New Roman" w:cs="Times New Roman" w:eastAsia="Times New Roman" w:hAnsi="Times New Roman"/>
          <w:sz w:val="14"/>
          <w:szCs w:val="14"/>
          <w:color w:val="auto"/>
        </w:rPr>
        <w:t>. During the Term so long as this Lease is in full force and effect and Tenant is not in default under this Lease beyond expiration of all applicable notice and cure periods, Landlord hereby grants to Tenant free of additional charge (but subject to the terms herein) a non-exclusive license to install, maintain and operate on the roof of the Building, at Tenant’s sole cost and expense, one (1) satellite dish and related required equipment, including necessary cables (collectively, the “</w:t>
      </w:r>
      <w:r>
        <w:rPr>
          <w:rFonts w:ascii="Times New Roman" w:cs="Times New Roman" w:eastAsia="Times New Roman" w:hAnsi="Times New Roman"/>
          <w:sz w:val="14"/>
          <w:szCs w:val="14"/>
          <w:b w:val="1"/>
          <w:bCs w:val="1"/>
          <w:color w:val="auto"/>
        </w:rPr>
        <w:t>Satellite Dish</w:t>
      </w:r>
      <w:r>
        <w:rPr>
          <w:rFonts w:ascii="Times New Roman" w:cs="Times New Roman" w:eastAsia="Times New Roman" w:hAnsi="Times New Roman"/>
          <w:sz w:val="14"/>
          <w:szCs w:val="14"/>
          <w:color w:val="auto"/>
        </w:rPr>
        <w:t>”), the size (not to exceed eighteen (18) inches in diameter in any event), type, weight, design and exact location (if any location is then available) of which shall be subject to Landlord’s prior written approval, which shall not be unreasonably withheld.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1" w:right="1440" w:bottom="1440" w:gutter="0" w:footer="0" w:header="0"/>
        </w:sectPr>
      </w:pPr>
    </w:p>
    <w:bookmarkStart w:id="649" w:name="page650"/>
    <w:bookmarkEnd w:id="649"/>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connection with any such request for approval, Tenant shall deliver to Landlord plans and specifications setting forth with specificity the size, weight, design and proposed location of the Satellite Dish. Tenant shall ensure that the Satellite Dish is not visible from the ground, and, if the Satellite Dish will be visible from the ground, Landlord may require that the Satellite Dish, at Tenant’s sole cost and expense, be painted to match the roof and properly screened so as to minimize visibility. The installation, maintenance and operation of the Satellite Dish shall be in accordance with the terms of this Lease, including, without limitation, the Rules and Regulations. Tenant shall ensure that the Satellite Dish is installed, maintained and operated in accordance with all Laws, including, without limitation, by obtaining all Federal Communications Commission and other licenses, permits or approvals required to operate the Satellite Dish, and Tenant shall promptly repair any damage to the Park (including, without limitation, the roof of the Building) caused in connection with the Satellite Dish. The Satellite Dish is and shall remain the property of Tenant, and Landlord and Tenant agree that the Satellite Dish is not, and installation of the Satellite Dish shall not cause the Satellite Dish to become, a fixture pursuant to this Lease or by operation of Law. The Satellite Dish shall be used solely in connection with Tenant’s permitted business operations in the Premises, and Tenant shall not receive any income from any third-party for the use of the Satellite Dish, otherwise use the Satellite Dish to generate revenue, or permit any service provider for the Satellite Dish to solicit business of other tenants or occupants of the Park.</w:t>
      </w:r>
    </w:p>
    <w:p>
      <w:pPr>
        <w:spacing w:after="0" w:line="62" w:lineRule="exact"/>
        <w:rPr>
          <w:sz w:val="20"/>
          <w:szCs w:val="20"/>
          <w:color w:val="auto"/>
        </w:rPr>
      </w:pPr>
    </w:p>
    <w:p>
      <w:pPr>
        <w:ind w:left="220" w:right="259" w:firstLine="345"/>
        <w:spacing w:after="0" w:line="252" w:lineRule="auto"/>
        <w:tabs>
          <w:tab w:leader="none" w:pos="760"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Operation</w:t>
      </w:r>
      <w:r>
        <w:rPr>
          <w:rFonts w:ascii="Times New Roman" w:cs="Times New Roman" w:eastAsia="Times New Roman" w:hAnsi="Times New Roman"/>
          <w:sz w:val="14"/>
          <w:szCs w:val="14"/>
          <w:color w:val="auto"/>
        </w:rPr>
        <w:t>. Tenant shall be responsible for the operation, repair and maintenance of the Satellite Dish at Tenant’s sole cost and expense, and upon the expiration or earlier termination of this Lease, Tenant shall remove the Satellite Dish, promptly repair any and all damage caused as a result of such removal, and restore all affected areas to their original condition existing immediately prior to the installation of the Satellite Dish, reasonable wear and tear excepted. Tenant shall use the roof of the Building solely for the operation of the Satellite Dish as set forth herein and for no other purpose. Tenant agrees to operate the Satellite Dish in such a manner so as not to materially interfere with or impair the operation of other satellite dish or other telecommunication equipment of Landlord or other tenants or occupants of the Park. If Tenant’s use of the Satellite Dish causes such interference or impairment, Tenant shall, at its sole cost and expense, promptly eliminate such condition by relocating (subject to obtaining Landlord’s prior written approval in accordance with the terms hereof) the Satellite Dish or, if such relocation would not eliminate such condition, removing the Satellite Dish in accordance with the terms herein. If Landlord repairs or replaces the roof of the Building, Tenant shall relocate the Satellite Dish to another location to be mutually agreed upon by the Parties, or remove the Satellite Dish if no such other location is available, in either case at Tenant’s sole cost and expense, within ten (10) business days after written request from Landlord. Tenant shall be able to return the Satellite Dish to its original location on the roof or another mutually acceptable location, at Tenant’s sole cost and expense, after the completion of such repair or replacement. Tenant shall notify Landlord prior to accessing the roof so that Landlord may have its representative(s) present in connection with any such access. Tenant shall obtain Landlord’s prior written consent to any roof penetrations and any such penetrations permitted by Landlord shall be performed by Landlord’s contractors at Tenant’s sole cost and expense.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sectPr>
      </w:pPr>
    </w:p>
    <w:bookmarkStart w:id="650" w:name="page651"/>
    <w:bookmarkEnd w:id="650"/>
    <w:p>
      <w:pPr>
        <w:ind w:left="220" w:right="259" w:firstLine="345"/>
        <w:spacing w:after="0" w:line="253" w:lineRule="auto"/>
        <w:tabs>
          <w:tab w:leader="none" w:pos="752"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Limitations</w:t>
      </w:r>
      <w:r>
        <w:rPr>
          <w:rFonts w:ascii="Times New Roman" w:cs="Times New Roman" w:eastAsia="Times New Roman" w:hAnsi="Times New Roman"/>
          <w:sz w:val="14"/>
          <w:szCs w:val="14"/>
          <w:color w:val="auto"/>
        </w:rPr>
        <w:t xml:space="preserve">. Landlord assumes no liability or responsibility for interference with the Satellite Dish, Tenant acknowledges and agrees that its installation, maintenance, operation and removal of the Satellite Dish is at its sole risk, and Tenant hereby absolves and fully releases Landlord from any and all cost, loss, damage, expense, liability, and causes of action, whether foreseeable or not, from any cause whatsoever, that Tenant may suffer to the Satellite Dish or that Tenant or any other party may suffer in connection with the Satellite Dish. The Satellite Dish shall be included within the coverage of all insurance policies required to be maintained by Tenant under this Lease. Tenant shall protect, defend, indemnify and hold Landlord harmless from and against any and all Claims in any way arising or resulting from or in connection with the Satellite Dish, and Tenant shall not permit any action or inaction in connection with the Satellite Dish to void any warranty for the roof of the Building. The rights respecting the Satellite Dish created in this </w:t>
      </w:r>
      <w:r>
        <w:rPr>
          <w:rFonts w:ascii="Times New Roman" w:cs="Times New Roman" w:eastAsia="Times New Roman" w:hAnsi="Times New Roman"/>
          <w:sz w:val="14"/>
          <w:szCs w:val="14"/>
          <w:u w:val="single" w:color="auto"/>
          <w:color w:val="auto"/>
        </w:rPr>
        <w:t>Paragraph 43</w:t>
      </w:r>
      <w:r>
        <w:rPr>
          <w:rFonts w:ascii="Times New Roman" w:cs="Times New Roman" w:eastAsia="Times New Roman" w:hAnsi="Times New Roman"/>
          <w:sz w:val="14"/>
          <w:szCs w:val="14"/>
          <w:color w:val="auto"/>
        </w:rPr>
        <w:t xml:space="preserve"> are personal to BillionToOne and its Permitted Transferees only, and shall not be exercisable by any assignee, subtenant or other transferee of or successor to any portion of the BillionToOne’s interest under this Lease or to the Premises, nor shall the Satellite Dish be used by any person who is not an occupant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-341630</wp:posOffset>
            </wp:positionV>
            <wp:extent cx="22225" cy="63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1" w:right="1440" w:bottom="1440" w:gutter="0" w:footer="0" w:header="0"/>
        </w:sectPr>
      </w:pPr>
    </w:p>
    <w:bookmarkStart w:id="651" w:name="page652"/>
    <w:bookmarkEnd w:id="651"/>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Landlord and Tenant have duly executed this Lease as of the date first set forth herein.</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WHIPPLE ROAD PORTFOLIO, LLC</w:t>
      </w:r>
      <w:r>
        <w:rPr>
          <w:rFonts w:ascii="Times New Roman" w:cs="Times New Roman" w:eastAsia="Times New Roman" w:hAnsi="Times New Roman"/>
          <w:sz w:val="14"/>
          <w:szCs w:val="14"/>
          <w:color w:val="auto"/>
        </w:rPr>
        <w:t>, a Delaware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limited liability company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HSRE-TARLTON III, its sole member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TPI INVESTORS 19, a member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TARLTON PROPERTIES, INC., its manager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Elizabeth Krietemeyer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Elizabeth Krietemeyer</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Senior Vice President</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  Chief Executive Officer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Address: The Premises</w:t>
      </w:r>
    </w:p>
    <w:p>
      <w:pPr>
        <w:sectPr>
          <w:pgSz w:w="11900" w:h="16838" w:orient="portrait"/>
          <w:cols w:equalWidth="0" w:num="1">
            <w:col w:w="9019"/>
          </w:cols>
          <w:pgMar w:left="1440" w:top="240" w:right="1440" w:bottom="1440" w:gutter="0" w:footer="0" w:header="0"/>
        </w:sectPr>
      </w:pPr>
    </w:p>
    <w:bookmarkStart w:id="652" w:name="page653"/>
    <w:bookmarkEnd w:id="65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DESCRIPTION</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Real property in the City of Union City, County of Alameda, State of California, described as follows: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PARCEL ONE:</w:t>
      </w:r>
    </w:p>
    <w:p>
      <w:pPr>
        <w:spacing w:after="0" w:line="175" w:lineRule="exact"/>
        <w:rPr>
          <w:sz w:val="20"/>
          <w:szCs w:val="20"/>
          <w:color w:val="auto"/>
        </w:rPr>
      </w:pPr>
    </w:p>
    <w:p>
      <w:pPr>
        <w:ind w:left="220" w:right="399"/>
        <w:spacing w:after="0" w:line="282" w:lineRule="auto"/>
        <w:rPr>
          <w:sz w:val="20"/>
          <w:szCs w:val="20"/>
          <w:color w:val="auto"/>
        </w:rPr>
      </w:pPr>
      <w:r>
        <w:rPr>
          <w:rFonts w:ascii="Times New Roman" w:cs="Times New Roman" w:eastAsia="Times New Roman" w:hAnsi="Times New Roman"/>
          <w:sz w:val="14"/>
          <w:szCs w:val="14"/>
          <w:color w:val="auto"/>
        </w:rPr>
        <w:t>LOTS 1, 2, 3 AND 4 OF PARCEL MAP NO. 7543 FILED APRIL 13, 2001 IN BOOK 256 OF MAPS AT GAGES 35-39, INCLUSIVE, ALAMEDA COUNTY RECORDS.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PARCEL TWO:</w:t>
      </w:r>
    </w:p>
    <w:p>
      <w:pPr>
        <w:spacing w:after="0" w:line="175" w:lineRule="exact"/>
        <w:rPr>
          <w:sz w:val="20"/>
          <w:szCs w:val="20"/>
          <w:color w:val="auto"/>
        </w:rPr>
      </w:pPr>
    </w:p>
    <w:p>
      <w:pPr>
        <w:ind w:left="220" w:right="379"/>
        <w:spacing w:after="0" w:line="261" w:lineRule="auto"/>
        <w:rPr>
          <w:sz w:val="20"/>
          <w:szCs w:val="20"/>
          <w:color w:val="auto"/>
        </w:rPr>
      </w:pPr>
      <w:r>
        <w:rPr>
          <w:rFonts w:ascii="Times New Roman" w:cs="Times New Roman" w:eastAsia="Times New Roman" w:hAnsi="Times New Roman"/>
          <w:sz w:val="14"/>
          <w:szCs w:val="14"/>
          <w:color w:val="auto"/>
        </w:rPr>
        <w:t>NON-EXCLUSIVE EASEMENTS FOR ACCESS, PARKING, UTILITIES, DRAINAGE AND TEMPORARY CONSTRUCTION AND STORAGE OF MATERIALS AND EQUIPMENT APPURTENANT TO PARCEL ONE AS DESCRIBED IN AND UPON THE TERMS AND CONDITIONS SET FORTH IN THE DECLARATION OF EASEMENTS AND COVENANTS BY PRINCIPAL DEVELOPMENT INVESTORS, L.L.C., A DELAWARE LIMITED LIABILITY COMPANY, RECORDED APRIL 13, 2001, SERIES NO. 2001-124405, OFFICIAL RECORDS.</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PARCEL THREE:</w:t>
      </w:r>
    </w:p>
    <w:p>
      <w:pPr>
        <w:spacing w:after="0" w:line="175" w:lineRule="exact"/>
        <w:rPr>
          <w:sz w:val="20"/>
          <w:szCs w:val="20"/>
          <w:color w:val="auto"/>
        </w:rPr>
      </w:pPr>
    </w:p>
    <w:p>
      <w:pPr>
        <w:ind w:left="220" w:right="299"/>
        <w:spacing w:after="0" w:line="282" w:lineRule="auto"/>
        <w:rPr>
          <w:sz w:val="20"/>
          <w:szCs w:val="20"/>
          <w:color w:val="auto"/>
        </w:rPr>
      </w:pPr>
      <w:r>
        <w:rPr>
          <w:rFonts w:ascii="Times New Roman" w:cs="Times New Roman" w:eastAsia="Times New Roman" w:hAnsi="Times New Roman"/>
          <w:sz w:val="14"/>
          <w:szCs w:val="14"/>
          <w:color w:val="auto"/>
        </w:rPr>
        <w:t>A NON-EXCLUSIVE EASEMENT FOR SLOPE AND EROSION CONTROL MAINTENANCE PURPOSES APPURTENANT TO PARCELS ONE AND TWO AS RESERVED BY PATRICIAN ASSOCIATES, INC., A CALIFORNIA CORPORATION IN THE GRANT DEED FROM SAID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PATRICIAN ASSOCIATES, INC., TO STANDARD PACIFIC CORP., A DELAWARE CORPORATION RECORDED JANUARY 28, 2000,</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SERIES NO. 2000-25883 ALAMEDA COUNTY OFFICIAL RECORDS, OVER AND ACROSS THE NORTHERLY 12 FEET OF “RESULTANT</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PARCEL A” SAID RESULTANT PARCEL A BEING DESCRIBED AS FOLLOWS: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RESULTANT PARCEL A, PARCEL MAP 5162, PURSUANT TO LOT LINE ADJUSTMENT, RECORDED SEPTEMBER 28, 1999, SERIES NO.</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99368595, OFFICIAL RECORDS, DESCRIBED AS FOLLOWS: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PORTION OF PARCEL “A” AS SHOWN ON PARCEL MAP 5162 FILED DECEMBER 8, 1998 IN BOOK 180 OF MAPS AT PAGE 58,</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ALAMEDA COUNTY RECORDS, MORE PARTICULARLY DESCRIBED AS FOLLOWS:</w:t>
      </w:r>
    </w:p>
    <w:p>
      <w:pPr>
        <w:spacing w:after="0" w:line="160" w:lineRule="exact"/>
        <w:rPr>
          <w:sz w:val="20"/>
          <w:szCs w:val="20"/>
          <w:color w:val="auto"/>
        </w:rPr>
      </w:pPr>
    </w:p>
    <w:p>
      <w:pPr>
        <w:ind w:left="220" w:right="319"/>
        <w:spacing w:after="0" w:line="273" w:lineRule="auto"/>
        <w:rPr>
          <w:sz w:val="20"/>
          <w:szCs w:val="20"/>
          <w:color w:val="auto"/>
        </w:rPr>
      </w:pPr>
      <w:r>
        <w:rPr>
          <w:rFonts w:ascii="Times New Roman" w:cs="Times New Roman" w:eastAsia="Times New Roman" w:hAnsi="Times New Roman"/>
          <w:sz w:val="13"/>
          <w:szCs w:val="13"/>
          <w:color w:val="auto"/>
        </w:rPr>
        <w:t>BEGINNING AT THE MOST SOUTHERLY CORNER OF SAID PARCEL “A”, SAID POINT BEING ON THE NORTHEASTERLY LINE OF PARCEL “B” AS SHOWN ON THAT MAP OF TRACT 4127, FILED FOR RECORD IN BOOK 115 OF MAPS AT RAGE 30, ALAMEDA COUNTY RECORDS; THENCE FROM SAID POINT OF BEGINNING, ON THE SOUTHWESTERLY LINE OF SAID PARCEL “A”, NORTH 42° 49’ 28” WEST, 602.70 FEET TO THE NORTHEASTERLY CORNER OF SAID PARCEL “B”, THENCE SOUTH 49° 03’ 29” WEST, 15.01 FEET TO THE SOUTHWESTERLY LINE OF SAID PARCEL “A”; THENCE ON SAID LINE NORTH 42° 49’ 28” WEST, 323.13 FEET; THENCE LEAVING SAID SOUTHWESTERLY LINE, NORTH 82° 46’ 54” EAST, 619.22 FEET TO THE EASTERLY LINE OF SAID PARCEL “A”;</w:t>
      </w:r>
    </w:p>
    <w:p>
      <w:pPr>
        <w:spacing w:after="0" w:line="2" w:lineRule="exact"/>
        <w:rPr>
          <w:sz w:val="20"/>
          <w:szCs w:val="20"/>
          <w:color w:val="auto"/>
        </w:rPr>
      </w:pPr>
    </w:p>
    <w:p>
      <w:pPr>
        <w:ind w:left="220" w:right="239"/>
        <w:spacing w:after="0" w:line="252" w:lineRule="auto"/>
        <w:rPr>
          <w:sz w:val="20"/>
          <w:szCs w:val="20"/>
          <w:color w:val="auto"/>
        </w:rPr>
      </w:pPr>
      <w:r>
        <w:rPr>
          <w:rFonts w:ascii="Times New Roman" w:cs="Times New Roman" w:eastAsia="Times New Roman" w:hAnsi="Times New Roman"/>
          <w:sz w:val="14"/>
          <w:szCs w:val="14"/>
          <w:color w:val="auto"/>
        </w:rPr>
        <w:t>THENCE ON SAID LINE, SOUTH 16° 35’ 30” EAST, 93.92 FEET TO A TANGENT CURVE TO THE LEFT; THENCE ON SAID CURVE WITH A RADIUS OF 538.00 FEET, THROUGH A CENTRAL ANGLE OF 30° 49’ 36” FOR AN ARC DISTANCE OF 289.46 FEET TO THE MOST NORTHERLY CORNER OF THE LANDS OF THE CITY OF UNION CITY AS SHOWN ON SAID PARCEL MAP; THENCE SOUTH 23° 10’ 46” WEST, 40.47 FEET; THENCE SOUTH 04° 22’ 23” WEST, 114.54 FEET TO A TANGENT CURVE TO THE LEFT; THENCE ON SAID CURVE WITH A RADIUS OF 50.00 FEET THROUGH A CENTRAL ANGLE OF 26° 03’ 56” FOR AN ARC DISTANCE OF 22.75 FEET, THENCE SOUTH 21° 41’ 33” EAST, 66.59 FEET; THENCE SOUTH 40° 58’ 20” WEST, 236.96 FEET TO THE POINT OF BEGINNING.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9019"/>
          </w:cols>
          <w:pgMar w:left="1440" w:top="239" w:right="1440" w:bottom="1440" w:gutter="0" w:footer="0" w:header="0"/>
        </w:sectPr>
      </w:pPr>
    </w:p>
    <w:bookmarkStart w:id="653" w:name="page654"/>
    <w:bookmarkEnd w:id="65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B</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Union City Labs</w:t>
      </w:r>
    </w:p>
    <w:p>
      <w:pPr>
        <w:spacing w:after="0" w:line="209" w:lineRule="exact"/>
        <w:rPr>
          <w:sz w:val="20"/>
          <w:szCs w:val="20"/>
          <w:color w:val="auto"/>
        </w:rPr>
      </w:pPr>
    </w:p>
    <w:p>
      <w:pPr>
        <w:ind w:left="560" w:hanging="253"/>
        <w:spacing w:after="0"/>
        <w:tabs>
          <w:tab w:leader="none" w:pos="56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3200 Whipple Rd</w:t>
      </w:r>
    </w:p>
    <w:p>
      <w:pPr>
        <w:spacing w:after="0" w:line="101" w:lineRule="exact"/>
        <w:rPr>
          <w:rFonts w:ascii="Times New Roman" w:cs="Times New Roman" w:eastAsia="Times New Roman" w:hAnsi="Times New Roman"/>
          <w:sz w:val="14"/>
          <w:szCs w:val="14"/>
          <w:color w:val="auto"/>
        </w:rPr>
      </w:pPr>
    </w:p>
    <w:p>
      <w:pPr>
        <w:ind w:left="560" w:hanging="253"/>
        <w:spacing w:after="0"/>
        <w:tabs>
          <w:tab w:leader="none" w:pos="56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3240 Whipple Rd</w:t>
      </w:r>
    </w:p>
    <w:p>
      <w:pPr>
        <w:spacing w:after="0" w:line="101" w:lineRule="exact"/>
        <w:rPr>
          <w:rFonts w:ascii="Times New Roman" w:cs="Times New Roman" w:eastAsia="Times New Roman" w:hAnsi="Times New Roman"/>
          <w:sz w:val="14"/>
          <w:szCs w:val="14"/>
          <w:color w:val="auto"/>
        </w:rPr>
      </w:pPr>
    </w:p>
    <w:p>
      <w:pPr>
        <w:ind w:left="560" w:hanging="253"/>
        <w:spacing w:after="0"/>
        <w:tabs>
          <w:tab w:leader="none" w:pos="56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3242 Whipple Rd</w:t>
      </w:r>
    </w:p>
    <w:p>
      <w:pPr>
        <w:spacing w:after="0" w:line="101" w:lineRule="exact"/>
        <w:rPr>
          <w:rFonts w:ascii="Times New Roman" w:cs="Times New Roman" w:eastAsia="Times New Roman" w:hAnsi="Times New Roman"/>
          <w:sz w:val="14"/>
          <w:szCs w:val="14"/>
          <w:color w:val="auto"/>
        </w:rPr>
      </w:pPr>
    </w:p>
    <w:p>
      <w:pPr>
        <w:ind w:left="560" w:hanging="253"/>
        <w:spacing w:after="0"/>
        <w:tabs>
          <w:tab w:leader="none" w:pos="56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3280 Whipple 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w:t>
      </w:r>
    </w:p>
    <w:p>
      <w:pPr>
        <w:sectPr>
          <w:pgSz w:w="11900" w:h="16838" w:orient="portrait"/>
          <w:cols w:equalWidth="0" w:num="1">
            <w:col w:w="9019"/>
          </w:cols>
          <w:pgMar w:left="1440" w:top="239" w:right="1440" w:bottom="1440" w:gutter="0" w:footer="0" w:header="0"/>
        </w:sectPr>
      </w:pPr>
    </w:p>
    <w:bookmarkStart w:id="654" w:name="page655"/>
    <w:bookmarkEnd w:id="65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Floor Plan of Premises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C</w:t>
      </w:r>
    </w:p>
    <w:p>
      <w:pPr>
        <w:sectPr>
          <w:pgSz w:w="11900" w:h="16838" w:orient="portrait"/>
          <w:cols w:equalWidth="0" w:num="1">
            <w:col w:w="9019"/>
          </w:cols>
          <w:pgMar w:left="1440" w:top="239" w:right="1440" w:bottom="1440" w:gutter="0" w:footer="0" w:header="0"/>
        </w:sectPr>
      </w:pPr>
    </w:p>
    <w:bookmarkStart w:id="655" w:name="page656"/>
    <w:bookmarkEnd w:id="65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Commencement Memorandum</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D</w:t>
      </w:r>
    </w:p>
    <w:p>
      <w:pPr>
        <w:sectPr>
          <w:pgSz w:w="11900" w:h="16838" w:orient="portrait"/>
          <w:cols w:equalWidth="0" w:num="1">
            <w:col w:w="9019"/>
          </w:cols>
          <w:pgMar w:left="1440" w:top="238" w:right="1440" w:bottom="1440" w:gutter="0" w:footer="0" w:header="0"/>
        </w:sectPr>
      </w:pPr>
    </w:p>
    <w:bookmarkStart w:id="656" w:name="page657"/>
    <w:bookmarkEnd w:id="65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Tenant’s Hazardous Materials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E</w:t>
      </w:r>
    </w:p>
    <w:p>
      <w:pPr>
        <w:sectPr>
          <w:pgSz w:w="11900" w:h="16838" w:orient="portrait"/>
          <w:cols w:equalWidth="0" w:num="1">
            <w:col w:w="9019"/>
          </w:cols>
          <w:pgMar w:left="1440" w:top="240" w:right="1440" w:bottom="1440" w:gutter="0" w:footer="0" w:header="0"/>
        </w:sectPr>
      </w:pPr>
    </w:p>
    <w:bookmarkStart w:id="657" w:name="page658"/>
    <w:bookmarkEnd w:id="65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Work Letter</w:t>
      </w:r>
    </w:p>
    <w:p>
      <w:pPr>
        <w:spacing w:after="0" w:line="175" w:lineRule="exact"/>
        <w:rPr>
          <w:sz w:val="20"/>
          <w:szCs w:val="20"/>
          <w:color w:val="auto"/>
        </w:rPr>
      </w:pPr>
    </w:p>
    <w:p>
      <w:pPr>
        <w:ind w:left="220" w:right="239" w:firstLine="342"/>
        <w:spacing w:after="0" w:line="262" w:lineRule="auto"/>
        <w:rPr>
          <w:sz w:val="20"/>
          <w:szCs w:val="20"/>
          <w:color w:val="auto"/>
        </w:rPr>
      </w:pPr>
      <w:r>
        <w:rPr>
          <w:rFonts w:ascii="Times New Roman" w:cs="Times New Roman" w:eastAsia="Times New Roman" w:hAnsi="Times New Roman"/>
          <w:sz w:val="14"/>
          <w:szCs w:val="14"/>
          <w:color w:val="auto"/>
        </w:rPr>
        <w:t>This Work Letter (“</w:t>
      </w:r>
      <w:r>
        <w:rPr>
          <w:rFonts w:ascii="Times New Roman" w:cs="Times New Roman" w:eastAsia="Times New Roman" w:hAnsi="Times New Roman"/>
          <w:sz w:val="14"/>
          <w:szCs w:val="14"/>
          <w:b w:val="1"/>
          <w:bCs w:val="1"/>
          <w:color w:val="auto"/>
        </w:rPr>
        <w:t>Work Letter</w:t>
      </w:r>
      <w:r>
        <w:rPr>
          <w:rFonts w:ascii="Times New Roman" w:cs="Times New Roman" w:eastAsia="Times New Roman" w:hAnsi="Times New Roman"/>
          <w:sz w:val="14"/>
          <w:szCs w:val="14"/>
          <w:color w:val="auto"/>
        </w:rPr>
        <w:t xml:space="preserve">”) sets forth the terms and conditions relating to the construction of Tenant Improvements for the Premises. All references in this Work Letter to the Lease shall mean the relevant portions of the Lease between WHIPPLE ROAD PORTFOLIO, LLC, a Delaware limited liability company, as Landlord, and BillionToOne, Inc., a Delaware corporation, as Tenant, for the Premises to which this Work Letter is attached as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consideration of the mutual covenants contained below, Landlord and Tenant agree as follows:</w:t>
      </w:r>
    </w:p>
    <w:p>
      <w:pPr>
        <w:spacing w:after="0" w:line="91" w:lineRule="exact"/>
        <w:rPr>
          <w:sz w:val="20"/>
          <w:szCs w:val="20"/>
          <w:color w:val="auto"/>
        </w:rPr>
      </w:pPr>
    </w:p>
    <w:p>
      <w:pPr>
        <w:ind w:left="220" w:right="259" w:firstLine="345"/>
        <w:spacing w:after="0" w:line="266" w:lineRule="auto"/>
        <w:tabs>
          <w:tab w:leader="none" w:pos="702"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xml:space="preserve">. For purposes of this Work Letter, (i) capitalized terms not defined in this Work Letter but defined in the Lease shall have the same meaning ascribed to such terms in the Lease and (ii) other terms used in this Work Letter shall have the meaning ascribed to such term as set forth in this </w:t>
      </w:r>
      <w:r>
        <w:rPr>
          <w:rFonts w:ascii="Times New Roman" w:cs="Times New Roman" w:eastAsia="Times New Roman" w:hAnsi="Times New Roman"/>
          <w:sz w:val="14"/>
          <w:szCs w:val="14"/>
          <w:u w:val="single" w:color="auto"/>
          <w:color w:val="auto"/>
        </w:rPr>
        <w:t>paragraph 1</w:t>
      </w:r>
      <w:r>
        <w:rPr>
          <w:rFonts w:ascii="Times New Roman" w:cs="Times New Roman" w:eastAsia="Times New Roman" w:hAnsi="Times New Roman"/>
          <w:sz w:val="14"/>
          <w:szCs w:val="14"/>
          <w:color w:val="auto"/>
        </w:rPr>
        <w:t xml:space="preserve"> or elsewhere in this Work Letter.</w:t>
      </w:r>
    </w:p>
    <w:p>
      <w:pPr>
        <w:spacing w:after="0" w:line="50" w:lineRule="exact"/>
        <w:rPr>
          <w:rFonts w:ascii="Times New Roman" w:cs="Times New Roman" w:eastAsia="Times New Roman" w:hAnsi="Times New Roman"/>
          <w:sz w:val="14"/>
          <w:szCs w:val="14"/>
          <w:color w:val="auto"/>
        </w:rPr>
      </w:pPr>
    </w:p>
    <w:p>
      <w:pPr>
        <w:jc w:val="both"/>
        <w:ind w:left="220" w:right="299" w:firstLine="773"/>
        <w:spacing w:after="0" w:line="267" w:lineRule="auto"/>
        <w:tabs>
          <w:tab w:leader="none" w:pos="1123"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Tenant Improvements</w:t>
      </w:r>
      <w:r>
        <w:rPr>
          <w:rFonts w:ascii="Times New Roman" w:cs="Times New Roman" w:eastAsia="Times New Roman" w:hAnsi="Times New Roman"/>
          <w:sz w:val="14"/>
          <w:szCs w:val="14"/>
          <w:color w:val="auto"/>
        </w:rPr>
        <w:t>” shall mean the work and improvements to be performed by Landlord as shown on the Construction Drawings (as hereinafter defined). All such work shall be performed by Landlord at Tenant’s sole cost and expense, subject to reimbursement in the amount of the Tenant Improvement Allowance (as hereinafter defined).</w:t>
      </w:r>
    </w:p>
    <w:p>
      <w:pPr>
        <w:spacing w:after="0" w:line="50" w:lineRule="exact"/>
        <w:rPr>
          <w:rFonts w:ascii="Times New Roman" w:cs="Times New Roman" w:eastAsia="Times New Roman" w:hAnsi="Times New Roman"/>
          <w:sz w:val="14"/>
          <w:szCs w:val="14"/>
          <w:color w:val="auto"/>
        </w:rPr>
      </w:pPr>
    </w:p>
    <w:p>
      <w:pPr>
        <w:ind w:left="1140" w:hanging="147"/>
        <w:spacing w:after="0"/>
        <w:tabs>
          <w:tab w:leader="none" w:pos="1140"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Budget</w:t>
      </w:r>
      <w:r>
        <w:rPr>
          <w:rFonts w:ascii="Times New Roman" w:cs="Times New Roman" w:eastAsia="Times New Roman" w:hAnsi="Times New Roman"/>
          <w:sz w:val="14"/>
          <w:szCs w:val="14"/>
          <w:color w:val="auto"/>
        </w:rPr>
        <w:t xml:space="preserve">” shall mean the initial budget for the Tenant Improvements attached as </w:t>
      </w:r>
      <w:r>
        <w:rPr>
          <w:rFonts w:ascii="Times New Roman" w:cs="Times New Roman" w:eastAsia="Times New Roman" w:hAnsi="Times New Roman"/>
          <w:sz w:val="14"/>
          <w:szCs w:val="14"/>
          <w:u w:val="single" w:color="auto"/>
          <w:color w:val="auto"/>
        </w:rPr>
        <w:t>Exhibit “F-2”</w:t>
      </w:r>
      <w:r>
        <w:rPr>
          <w:rFonts w:ascii="Times New Roman" w:cs="Times New Roman" w:eastAsia="Times New Roman" w:hAnsi="Times New Roman"/>
          <w:sz w:val="14"/>
          <w:szCs w:val="14"/>
          <w:color w:val="auto"/>
        </w:rPr>
        <w:t xml:space="preserve"> to the Lease.</w:t>
      </w:r>
    </w:p>
    <w:p>
      <w:pPr>
        <w:spacing w:after="0" w:line="90" w:lineRule="exact"/>
        <w:rPr>
          <w:rFonts w:ascii="Times New Roman" w:cs="Times New Roman" w:eastAsia="Times New Roman" w:hAnsi="Times New Roman"/>
          <w:sz w:val="14"/>
          <w:szCs w:val="14"/>
          <w:color w:val="auto"/>
        </w:rPr>
      </w:pPr>
    </w:p>
    <w:p>
      <w:pPr>
        <w:ind w:left="220" w:right="259" w:firstLine="773"/>
        <w:spacing w:after="0" w:line="256" w:lineRule="auto"/>
        <w:tabs>
          <w:tab w:leader="none" w:pos="1123"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Substantially Completed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Substantial Completion</w:t>
      </w:r>
      <w:r>
        <w:rPr>
          <w:rFonts w:ascii="Times New Roman" w:cs="Times New Roman" w:eastAsia="Times New Roman" w:hAnsi="Times New Roman"/>
          <w:sz w:val="14"/>
          <w:szCs w:val="14"/>
          <w:color w:val="auto"/>
        </w:rPr>
        <w:t>” shall mean Landlord has completed the Tenant Improvements and received the final sign-off and any required certificate of occupancy by the applicable authorities that allows the Premises to be occupied, subject only to items which need correction or completion and are of a nature and degree as to typically appear on a construction project punch list (“</w:t>
      </w:r>
      <w:r>
        <w:rPr>
          <w:rFonts w:ascii="Times New Roman" w:cs="Times New Roman" w:eastAsia="Times New Roman" w:hAnsi="Times New Roman"/>
          <w:sz w:val="14"/>
          <w:szCs w:val="14"/>
          <w:b w:val="1"/>
          <w:bCs w:val="1"/>
          <w:color w:val="auto"/>
        </w:rPr>
        <w:t>Punch List Items</w:t>
      </w:r>
      <w:r>
        <w:rPr>
          <w:rFonts w:ascii="Times New Roman" w:cs="Times New Roman" w:eastAsia="Times New Roman" w:hAnsi="Times New Roman"/>
          <w:sz w:val="14"/>
          <w:szCs w:val="14"/>
          <w:color w:val="auto"/>
        </w:rPr>
        <w:t>”) and excluding Tenant’s installation of its trade fixtures, furniture, equipment, cabling, telecommunications and similar alterations within the Premises, which installation shall be Tenant’s responsibility, at Tenant’s cost. Within five (5) business days after Substantial Completion, Landlord and Tenant shall perform a joint walk-through of the Premises and mutually and reasonably identify in a written statement executed by each of them (“</w:t>
      </w:r>
      <w:r>
        <w:rPr>
          <w:rFonts w:ascii="Times New Roman" w:cs="Times New Roman" w:eastAsia="Times New Roman" w:hAnsi="Times New Roman"/>
          <w:sz w:val="14"/>
          <w:szCs w:val="14"/>
          <w:b w:val="1"/>
          <w:bCs w:val="1"/>
          <w:color w:val="auto"/>
        </w:rPr>
        <w:t>Punch List</w:t>
      </w:r>
      <w:r>
        <w:rPr>
          <w:rFonts w:ascii="Times New Roman" w:cs="Times New Roman" w:eastAsia="Times New Roman" w:hAnsi="Times New Roman"/>
          <w:sz w:val="14"/>
          <w:szCs w:val="14"/>
          <w:color w:val="auto"/>
        </w:rPr>
        <w:t>”) the remaining Punch List Items. Landlord shall cause the Punch List Items to be corrected or completed as soon as reasonably possible.</w:t>
      </w:r>
    </w:p>
    <w:p>
      <w:pPr>
        <w:spacing w:after="0" w:line="59" w:lineRule="exact"/>
        <w:rPr>
          <w:rFonts w:ascii="Times New Roman" w:cs="Times New Roman" w:eastAsia="Times New Roman" w:hAnsi="Times New Roman"/>
          <w:sz w:val="14"/>
          <w:szCs w:val="14"/>
          <w:color w:val="auto"/>
        </w:rPr>
      </w:pPr>
    </w:p>
    <w:p>
      <w:pPr>
        <w:ind w:left="220" w:right="319" w:firstLine="345"/>
        <w:spacing w:after="0" w:line="261" w:lineRule="auto"/>
        <w:tabs>
          <w:tab w:leader="none" w:pos="702"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Shell and Core. Subject to completion of Landlord Improvement and Section 2(a) of the Lease, Tenant hereby accepts the base, shell and core of the Premises (collectively, the “Base, Shell and Core”), in its current “AS IS” condition existing as of the date of the Lease and the Commencement Date. Except with respect to the Landlord Improvements set forth in Paragraph 13(a) of the Lease and the Tenant Improvement Allowance set forth below, Landlord shall not be obligated to make or pay for any alterations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F-1</w:t>
      </w:r>
    </w:p>
    <w:p>
      <w:pPr>
        <w:sectPr>
          <w:pgSz w:w="11900" w:h="16838" w:orient="portrait"/>
          <w:cols w:equalWidth="0" w:num="1">
            <w:col w:w="9019"/>
          </w:cols>
          <w:pgMar w:left="1440" w:top="239" w:right="1440" w:bottom="1440" w:gutter="0" w:footer="0" w:header="0"/>
        </w:sectPr>
      </w:pPr>
    </w:p>
    <w:bookmarkStart w:id="658" w:name="page659"/>
    <w:bookmarkEnd w:id="658"/>
    <w:p>
      <w:pPr>
        <w:ind w:left="220" w:right="3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or improvements to the Premises, the Building or the Park. Tenant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 Any exception to the foregoing provisions must be made by express written agreement by both parties.</w:t>
      </w:r>
    </w:p>
    <w:p>
      <w:pPr>
        <w:spacing w:after="0" w:line="55" w:lineRule="exact"/>
        <w:rPr>
          <w:sz w:val="20"/>
          <w:szCs w:val="20"/>
          <w:color w:val="auto"/>
        </w:rPr>
      </w:pPr>
    </w:p>
    <w:p>
      <w:pPr>
        <w:ind w:left="220" w:right="239" w:firstLine="345"/>
        <w:spacing w:after="0" w:line="271" w:lineRule="auto"/>
        <w:tabs>
          <w:tab w:leader="none" w:pos="702" w:val="left"/>
        </w:tabs>
        <w:numPr>
          <w:ilvl w:val="1"/>
          <w:numId w:val="4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Construction Drawings for the Premises. Prior to the execution of this Lease, Landlord and Tenant have approved a detailed space plan for the construction of certain improvements in the Premises, which space plan is attached hereto as Schedule 1 (the “Final </w:t>
      </w:r>
      <w:r>
        <w:rPr>
          <w:rFonts w:ascii="Times New Roman" w:cs="Times New Roman" w:eastAsia="Times New Roman" w:hAnsi="Times New Roman"/>
          <w:sz w:val="13"/>
          <w:szCs w:val="13"/>
          <w:u w:val="single" w:color="auto"/>
          <w:color w:val="auto"/>
        </w:rPr>
        <w:t>Space</w:t>
      </w:r>
      <w:r>
        <w:rPr>
          <w:rFonts w:ascii="Times New Roman" w:cs="Times New Roman" w:eastAsia="Times New Roman" w:hAnsi="Times New Roman"/>
          <w:sz w:val="13"/>
          <w:szCs w:val="13"/>
          <w:color w:val="auto"/>
        </w:rPr>
        <w:t xml:space="preserve"> Plan”). Based upon and in conformity with the Final Space Plan, Landlord shall cause its architect and engineers to prepare and deliver to Tenant, for Tenant’s approval, detailed specifications and engineered working drawings for the tenant improvements shown on the Final Space Plan (the “Working Drawings”). 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Property’s standard tenant improvement items, as determined by Landlord. Within seven (7) business days after Tenant’s receipt of the Working Drawings, Tenant shall approve or disapprove the same, which approval shall not be unreasonably withheld; provided, however, that Tenant may only disapprove the Working Drawings to the extent such Working Drawings are inconsistent with the Final Space Plan and only if Tenant delivers to Landlord, within such seven</w:t>
      </w:r>
    </w:p>
    <w:p>
      <w:pPr>
        <w:spacing w:after="0" w:line="5" w:lineRule="exact"/>
        <w:rPr>
          <w:rFonts w:ascii="Times New Roman" w:cs="Times New Roman" w:eastAsia="Times New Roman" w:hAnsi="Times New Roman"/>
          <w:sz w:val="13"/>
          <w:szCs w:val="13"/>
          <w:color w:val="auto"/>
        </w:rPr>
      </w:pPr>
    </w:p>
    <w:p>
      <w:pPr>
        <w:ind w:left="220" w:right="259" w:firstLine="3"/>
        <w:spacing w:after="0" w:line="251" w:lineRule="auto"/>
        <w:tabs>
          <w:tab w:leader="none" w:pos="418"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 period, specific changes proposed by Tenant which are consistent with the Final Space Plan and do not constitute changes which would result in any of the circumstances described in items (i) through (iv) 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 the same are finally approved by Landlord and Tenant. Upon Landlord’s and Tenant’s approval of the Working Drawings, the same shall be known as the “Approved Working Drawings”. Once the Approved Working Drawings have been approved by Landlord and Tenant, Tenant shall make no changes, change orders or modifications thereto except in accordance with Section 4(c) below. The Final Space Plan, Working Drawings and Approved Working Drawings shall be collectively referred to herein as, the “Construction Drawings.”</w:t>
      </w:r>
    </w:p>
    <w:p>
      <w:pPr>
        <w:spacing w:after="0" w:line="65"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 Process/Working Drawings</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20" w:right="279" w:firstLine="771"/>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Architect and Contractor</w:t>
      </w:r>
      <w:r>
        <w:rPr>
          <w:rFonts w:ascii="Times New Roman" w:cs="Times New Roman" w:eastAsia="Times New Roman" w:hAnsi="Times New Roman"/>
          <w:sz w:val="14"/>
          <w:szCs w:val="14"/>
          <w:color w:val="auto"/>
        </w:rPr>
        <w:t>. Upon execution of the Lease, Landlord will retain the services of an architect (“</w:t>
      </w:r>
      <w:r>
        <w:rPr>
          <w:rFonts w:ascii="Times New Roman" w:cs="Times New Roman" w:eastAsia="Times New Roman" w:hAnsi="Times New Roman"/>
          <w:sz w:val="14"/>
          <w:szCs w:val="14"/>
          <w:b w:val="1"/>
          <w:bCs w:val="1"/>
          <w:color w:val="auto"/>
        </w:rPr>
        <w:t>Architect</w:t>
      </w:r>
      <w:r>
        <w:rPr>
          <w:rFonts w:ascii="Times New Roman" w:cs="Times New Roman" w:eastAsia="Times New Roman" w:hAnsi="Times New Roman"/>
          <w:sz w:val="14"/>
          <w:szCs w:val="14"/>
          <w:color w:val="auto"/>
        </w:rPr>
        <w:t>”) and Dome Construction (the “</w:t>
      </w:r>
      <w:r>
        <w:rPr>
          <w:rFonts w:ascii="Times New Roman" w:cs="Times New Roman" w:eastAsia="Times New Roman" w:hAnsi="Times New Roman"/>
          <w:sz w:val="14"/>
          <w:szCs w:val="14"/>
          <w:b w:val="1"/>
          <w:bCs w:val="1"/>
          <w:color w:val="auto"/>
        </w:rPr>
        <w:t>Contractor</w:t>
      </w:r>
      <w:r>
        <w:rPr>
          <w:rFonts w:ascii="Times New Roman" w:cs="Times New Roman" w:eastAsia="Times New Roman" w:hAnsi="Times New Roman"/>
          <w:sz w:val="14"/>
          <w:szCs w:val="14"/>
          <w:color w:val="auto"/>
        </w:rPr>
        <w:t>”). Any contract with Contractor to construct the Tenant Improvements shall be based upon a stipulated sum or guaranteed maximum price. The contract with the Architect shall not impose limitations of liabilities for its errors or omissions less than $2,000,000 and any such contracts with the Contractor shall be not based upon time and materials without a guaranteed maximum price. All contracts shall provide customary warranties of not less than one (1) year from completion of the Tenant Improvements.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F-2</w:t>
      </w:r>
    </w:p>
    <w:p>
      <w:pPr>
        <w:sectPr>
          <w:pgSz w:w="11900" w:h="16838" w:orient="portrait"/>
          <w:cols w:equalWidth="0" w:num="1">
            <w:col w:w="9019"/>
          </w:cols>
          <w:pgMar w:left="1440" w:top="241" w:right="1440" w:bottom="1440" w:gutter="0" w:footer="0" w:header="0"/>
        </w:sectPr>
      </w:pPr>
    </w:p>
    <w:bookmarkStart w:id="659" w:name="page660"/>
    <w:bookmarkEnd w:id="659"/>
    <w:p>
      <w:pPr>
        <w:ind w:left="220" w:right="259" w:firstLine="771"/>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b. </w:t>
      </w:r>
      <w:r>
        <w:rPr>
          <w:rFonts w:ascii="Times New Roman" w:cs="Times New Roman" w:eastAsia="Times New Roman" w:hAnsi="Times New Roman"/>
          <w:sz w:val="13"/>
          <w:szCs w:val="13"/>
          <w:u w:val="single" w:color="auto"/>
          <w:color w:val="auto"/>
        </w:rPr>
        <w:t>Commencement of Construction</w:t>
      </w:r>
      <w:r>
        <w:rPr>
          <w:rFonts w:ascii="Times New Roman" w:cs="Times New Roman" w:eastAsia="Times New Roman" w:hAnsi="Times New Roman"/>
          <w:sz w:val="13"/>
          <w:szCs w:val="13"/>
          <w:color w:val="auto"/>
        </w:rPr>
        <w:t xml:space="preserve">. At such time as all necessary governmental permits and other required approvals have been obtained by Landlord, Landlord shall commence construction of and, once commenced, shall diligently pursue the completion of the Tenant Improvements substantially in compliance with the Construction Drawings, the Budget and this Work Letter. Following completion of the Construction Drawings, Landlord shall apply for and diligently pursue all permits and other required approvals for the Tenant Improvements. Prior to the execution of the Lease, Landlord and Tenant approved a preliminary schedule for the Tenant Improvements, which is attached to the Lease as </w:t>
      </w:r>
      <w:r>
        <w:rPr>
          <w:rFonts w:ascii="Times New Roman" w:cs="Times New Roman" w:eastAsia="Times New Roman" w:hAnsi="Times New Roman"/>
          <w:sz w:val="13"/>
          <w:szCs w:val="13"/>
          <w:u w:val="single" w:color="auto"/>
          <w:color w:val="auto"/>
        </w:rPr>
        <w:t>Exhibit F-3</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Schedule</w:t>
      </w:r>
      <w:r>
        <w:rPr>
          <w:rFonts w:ascii="Times New Roman" w:cs="Times New Roman" w:eastAsia="Times New Roman" w:hAnsi="Times New Roman"/>
          <w:sz w:val="13"/>
          <w:szCs w:val="13"/>
          <w:color w:val="auto"/>
        </w:rPr>
        <w:t>”). Landlord shall construct the Excluded Work in a manner that will not materially interfere with Tenant’s use of the Premises or its business activities conducted from the Premises. Landlord shall schedule the portion of the Excluded Work consisting of installation of permanently installed casework in the laboratory portion of the Premises, power upgrades, and such other work which the parties mutually agree would be disruptive to Tenant at least one</w:t>
      </w:r>
    </w:p>
    <w:p>
      <w:pPr>
        <w:spacing w:after="0" w:line="3" w:lineRule="exact"/>
        <w:rPr>
          <w:sz w:val="20"/>
          <w:szCs w:val="20"/>
          <w:color w:val="auto"/>
        </w:rPr>
      </w:pPr>
    </w:p>
    <w:p>
      <w:pPr>
        <w:ind w:left="220" w:right="439" w:firstLine="3"/>
        <w:spacing w:after="0" w:line="260" w:lineRule="auto"/>
        <w:tabs>
          <w:tab w:leader="none" w:pos="418"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week prior to performing such work and shall perform such disruptive portion of the Excluded Work after normal business hours. For purposes of this </w:t>
      </w:r>
      <w:r>
        <w:rPr>
          <w:rFonts w:ascii="Times New Roman" w:cs="Times New Roman" w:eastAsia="Times New Roman" w:hAnsi="Times New Roman"/>
          <w:sz w:val="14"/>
          <w:szCs w:val="14"/>
          <w:u w:val="single" w:color="auto"/>
          <w:color w:val="auto"/>
        </w:rPr>
        <w:t>Paragraph 4(b)</w:t>
      </w:r>
      <w:r>
        <w:rPr>
          <w:rFonts w:ascii="Times New Roman" w:cs="Times New Roman" w:eastAsia="Times New Roman" w:hAnsi="Times New Roman"/>
          <w:sz w:val="14"/>
          <w:szCs w:val="14"/>
          <w:color w:val="auto"/>
        </w:rPr>
        <w:t xml:space="preserve"> only, “normal business hours” shall mean 7:00am – 11:30pm Monday through Friday and 9:00am to 5:00pm on Saturday.</w:t>
      </w:r>
    </w:p>
    <w:p>
      <w:pPr>
        <w:spacing w:after="0" w:line="56" w:lineRule="exact"/>
        <w:rPr>
          <w:rFonts w:ascii="Times New Roman" w:cs="Times New Roman" w:eastAsia="Times New Roman" w:hAnsi="Times New Roman"/>
          <w:sz w:val="14"/>
          <w:szCs w:val="14"/>
          <w:color w:val="auto"/>
        </w:rPr>
      </w:pPr>
    </w:p>
    <w:p>
      <w:pPr>
        <w:ind w:left="220" w:right="319" w:firstLine="773"/>
        <w:spacing w:after="0" w:line="254" w:lineRule="auto"/>
        <w:tabs>
          <w:tab w:leader="none" w:pos="1123" w:val="left"/>
        </w:tabs>
        <w:numPr>
          <w:ilvl w:val="2"/>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Orders</w:t>
      </w:r>
      <w:r>
        <w:rPr>
          <w:rFonts w:ascii="Times New Roman" w:cs="Times New Roman" w:eastAsia="Times New Roman" w:hAnsi="Times New Roman"/>
          <w:sz w:val="14"/>
          <w:szCs w:val="14"/>
          <w:color w:val="auto"/>
        </w:rPr>
        <w:t>. Landlord’s approval is required in advance of all changes to, and deviations from, the Construction Drawings (each a “</w:t>
      </w:r>
      <w:r>
        <w:rPr>
          <w:rFonts w:ascii="Times New Roman" w:cs="Times New Roman" w:eastAsia="Times New Roman" w:hAnsi="Times New Roman"/>
          <w:sz w:val="14"/>
          <w:szCs w:val="14"/>
          <w:b w:val="1"/>
          <w:bCs w:val="1"/>
          <w:color w:val="auto"/>
        </w:rPr>
        <w:t>Change Order</w:t>
      </w:r>
      <w:r>
        <w:rPr>
          <w:rFonts w:ascii="Times New Roman" w:cs="Times New Roman" w:eastAsia="Times New Roman" w:hAnsi="Times New Roman"/>
          <w:sz w:val="14"/>
          <w:szCs w:val="14"/>
          <w:color w:val="auto"/>
        </w:rPr>
        <w:t>”); which approval shall not be unreasonably withheld, conditioned or delayed, but may be withheld in Landlord’s sole discretion if such change or modification would: (i) be of a quality lower than the quality of the standard tenant improvement items for the Building; (ii) materially increase the expected date of Substantial Completion for (y) the Tenant Improvements excluding the Excluded Work or (z) the Excluded Work; and/or (iii) require any changes to the base, shell and core or structural improvements or systems of the Building. In the event that Tenant requests any Change Order (which Landlord approves) which increases the cost to construct the Tenant Improvements above the Tenant Improvement Allowance (and, if properly requested by Tenant pursuant to Section 5(c), the Additional Allowance), such increased cost shall become part of the Excess Cost (as hereinafter defined) and shall be paid by Tenant to Landlord within ten (10) days of receipt of Landlord’s invoice.</w:t>
      </w:r>
    </w:p>
    <w:p>
      <w:pPr>
        <w:spacing w:after="0" w:line="64"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1"/>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 Improvement Allowance; Additional Allowance</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220" w:right="299" w:firstLine="773"/>
        <w:spacing w:after="0" w:line="277" w:lineRule="auto"/>
        <w:tabs>
          <w:tab w:leader="none" w:pos="1123" w:val="left"/>
        </w:tabs>
        <w:numPr>
          <w:ilvl w:val="2"/>
          <w:numId w:val="4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Landlord shall contribute up to, but not exceeding One Hundred Ninety and 00/100 Dollars ($190.00) pre rentable square foot of the Premises (i.e., up to Seventeen Million One Hundred Thousand and 00/100 Dollars ($17,100,000.00)), for costs relating to the initial design and construction of the Tenant Improvements (the “</w:t>
      </w:r>
      <w:r>
        <w:rPr>
          <w:rFonts w:ascii="Times New Roman" w:cs="Times New Roman" w:eastAsia="Times New Roman" w:hAnsi="Times New Roman"/>
          <w:sz w:val="13"/>
          <w:szCs w:val="13"/>
          <w:b w:val="1"/>
          <w:bCs w:val="1"/>
          <w:color w:val="auto"/>
        </w:rPr>
        <w:t>Tenant Improvement Allowance</w:t>
      </w:r>
      <w:r>
        <w:rPr>
          <w:rFonts w:ascii="Times New Roman" w:cs="Times New Roman" w:eastAsia="Times New Roman" w:hAnsi="Times New Roman"/>
          <w:sz w:val="13"/>
          <w:szCs w:val="13"/>
          <w:color w:val="auto"/>
        </w:rPr>
        <w:t>”). The Tenant Improvement Allowance shall be used to pay for the cost of (i) the Construction Drawings for the Tenant Improvements within the Premises, (ii) engineering required in connection with the performance of such work, (iii) all permit fees required by any administrative or governmental agency in connection with the performance of the Tenant Improvements or other costs expended in obtaining approvals and permits, (iv) actual contractor costs and charges for materials, supplies and labor, contractor’s profit, overhead and general conditions, (v) any other costs incurred in connection with the hard and soft costs of construction of the Tenant Improvements, including without limitation, any costs, fees and expenses associated with any modifications, improvements or alterations to the Premises,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F-3</w:t>
      </w:r>
    </w:p>
    <w:p>
      <w:pPr>
        <w:sectPr>
          <w:pgSz w:w="11900" w:h="16838" w:orient="portrait"/>
          <w:cols w:equalWidth="0" w:num="1">
            <w:col w:w="9019"/>
          </w:cols>
          <w:pgMar w:left="1440" w:top="241" w:right="1440" w:bottom="1440" w:gutter="0" w:footer="0" w:header="0"/>
        </w:sectPr>
      </w:pPr>
    </w:p>
    <w:bookmarkStart w:id="660" w:name="page661"/>
    <w:bookmarkEnd w:id="660"/>
    <w:p>
      <w:pPr>
        <w:ind w:left="220" w:right="25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Building, the Common Areas and/or Park required to comply with Laws arising from the Tenant Improvements; (vi) built-in furniture which are fixtures are remain in the Premises at the end of the Term, (vii) data cabling, and (viii) Change Orders. Tenant shall be solely responsible for all costs of Tenant Improvements in excess of the Tenant Improvement Allowance. Prior to the execution of the Lease, Landlord and Tenant approved a preliminary budget for the Tenant Improvements, which is attached to the Lease as </w:t>
      </w:r>
      <w:r>
        <w:rPr>
          <w:rFonts w:ascii="Times New Roman" w:cs="Times New Roman" w:eastAsia="Times New Roman" w:hAnsi="Times New Roman"/>
          <w:sz w:val="14"/>
          <w:szCs w:val="14"/>
          <w:u w:val="single" w:color="auto"/>
          <w:color w:val="auto"/>
        </w:rPr>
        <w:t>Exhibit F-2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Budget</w:t>
      </w:r>
      <w:r>
        <w:rPr>
          <w:rFonts w:ascii="Times New Roman" w:cs="Times New Roman" w:eastAsia="Times New Roman" w:hAnsi="Times New Roman"/>
          <w:sz w:val="14"/>
          <w:szCs w:val="14"/>
          <w:color w:val="auto"/>
        </w:rPr>
        <w:t>”). The amount by which the estimated costs of the Tenant Improvement exceed the Tenant Improvement Allowance shall mean the “</w:t>
      </w:r>
      <w:r>
        <w:rPr>
          <w:rFonts w:ascii="Times New Roman" w:cs="Times New Roman" w:eastAsia="Times New Roman" w:hAnsi="Times New Roman"/>
          <w:sz w:val="14"/>
          <w:szCs w:val="14"/>
          <w:b w:val="1"/>
          <w:bCs w:val="1"/>
          <w:color w:val="auto"/>
        </w:rPr>
        <w:t>Excess Cost</w:t>
      </w:r>
      <w:r>
        <w:rPr>
          <w:rFonts w:ascii="Times New Roman" w:cs="Times New Roman" w:eastAsia="Times New Roman" w:hAnsi="Times New Roman"/>
          <w:sz w:val="14"/>
          <w:szCs w:val="14"/>
          <w:color w:val="auto"/>
        </w:rPr>
        <w:t>” and the percentage amount of the Excess Cost divided by the Budget shall mean the “</w:t>
      </w:r>
      <w:r>
        <w:rPr>
          <w:rFonts w:ascii="Times New Roman" w:cs="Times New Roman" w:eastAsia="Times New Roman" w:hAnsi="Times New Roman"/>
          <w:sz w:val="14"/>
          <w:szCs w:val="14"/>
          <w:b w:val="1"/>
          <w:bCs w:val="1"/>
          <w:color w:val="auto"/>
        </w:rPr>
        <w:t>Percentage Contribution</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220" w:right="319" w:firstLine="771"/>
        <w:spacing w:after="0" w:line="258" w:lineRule="auto"/>
        <w:rPr>
          <w:sz w:val="20"/>
          <w:szCs w:val="20"/>
          <w:color w:val="auto"/>
        </w:rPr>
      </w:pPr>
      <w:r>
        <w:rPr>
          <w:rFonts w:ascii="Times New Roman" w:cs="Times New Roman" w:eastAsia="Times New Roman" w:hAnsi="Times New Roman"/>
          <w:sz w:val="14"/>
          <w:szCs w:val="14"/>
          <w:color w:val="auto"/>
        </w:rPr>
        <w:t>b. The cost of the Tenant Improvements shall be paid on a pari passu basis as follows: No more often than once per month, Landlord shall deliver to Tenant a written demand for payment of the Excess Cost together with all invoices paid by Landlord for labor rendered and materials delivered with respect to the applicable payment request. Within thirty (30) days following receipt of such demand, Tenant shall pay its Percentage Contribution of the amount of labor rendered and materials delivered as shown on the invoices; provided however, if the Tenant Improvement Allowance is exhausted, Tenant shall pay for the entire amount of the labor rendered and materials delivered.</w:t>
      </w:r>
    </w:p>
    <w:p>
      <w:pPr>
        <w:spacing w:after="0" w:line="58" w:lineRule="exact"/>
        <w:rPr>
          <w:sz w:val="20"/>
          <w:szCs w:val="20"/>
          <w:color w:val="auto"/>
        </w:rPr>
      </w:pPr>
    </w:p>
    <w:p>
      <w:pPr>
        <w:ind w:left="220" w:right="279" w:firstLine="771"/>
        <w:spacing w:after="0" w:line="256" w:lineRule="auto"/>
        <w:rPr>
          <w:sz w:val="20"/>
          <w:szCs w:val="20"/>
          <w:color w:val="auto"/>
        </w:rPr>
      </w:pPr>
      <w:r>
        <w:rPr>
          <w:rFonts w:ascii="Times New Roman" w:cs="Times New Roman" w:eastAsia="Times New Roman" w:hAnsi="Times New Roman"/>
          <w:sz w:val="14"/>
          <w:szCs w:val="14"/>
          <w:color w:val="auto"/>
        </w:rPr>
        <w:t>c. Tenant shall have the option of increasing the Tenant Improvement Allowance up to an additional $45.00 per rentable square foot of the Premises (</w:t>
      </w:r>
      <w:r>
        <w:rPr>
          <w:rFonts w:ascii="Times New Roman" w:cs="Times New Roman" w:eastAsia="Times New Roman" w:hAnsi="Times New Roman"/>
          <w:sz w:val="14"/>
          <w:szCs w:val="14"/>
          <w:u w:val="single" w:color="auto"/>
          <w:color w:val="auto"/>
        </w:rPr>
        <w:t>i.e.</w:t>
      </w:r>
      <w:r>
        <w:rPr>
          <w:rFonts w:ascii="Times New Roman" w:cs="Times New Roman" w:eastAsia="Times New Roman" w:hAnsi="Times New Roman"/>
          <w:sz w:val="14"/>
          <w:szCs w:val="14"/>
          <w:color w:val="auto"/>
        </w:rPr>
        <w:t>, up to an additional Four Million Fifty Thousand and 00/100 Dollars ($4,050,000.00)) (the “</w:t>
      </w:r>
      <w:r>
        <w:rPr>
          <w:rFonts w:ascii="Times New Roman" w:cs="Times New Roman" w:eastAsia="Times New Roman" w:hAnsi="Times New Roman"/>
          <w:sz w:val="14"/>
          <w:szCs w:val="14"/>
          <w:b w:val="1"/>
          <w:bCs w:val="1"/>
          <w:color w:val="auto"/>
        </w:rPr>
        <w:t>Additional Allowance</w:t>
      </w:r>
      <w:r>
        <w:rPr>
          <w:rFonts w:ascii="Times New Roman" w:cs="Times New Roman" w:eastAsia="Times New Roman" w:hAnsi="Times New Roman"/>
          <w:sz w:val="14"/>
          <w:szCs w:val="14"/>
          <w:color w:val="auto"/>
        </w:rPr>
        <w:t>”) for the costs reasonably relating to the design and construction of the Tenant Improvements, upon written notice to Landlord prior to the Commencement Date. Any portion of the Additional Allowance used shall be amortized into the Monthly Base Rent at nine percent (9%) per annum over the Term commencing on the Commencement Date and shall be memorialized through an amendment to this Lease. Following Tenant’s election to increase the Tenant Improvement Allowance by the Additional Allowance, the Excess Cost and Percentage Contribution shall be recalculated accordingly.</w:t>
      </w:r>
    </w:p>
    <w:p>
      <w:pPr>
        <w:spacing w:after="0" w:line="61" w:lineRule="exact"/>
        <w:rPr>
          <w:sz w:val="20"/>
          <w:szCs w:val="20"/>
          <w:color w:val="auto"/>
        </w:rPr>
      </w:pPr>
    </w:p>
    <w:p>
      <w:pPr>
        <w:ind w:left="220" w:right="239" w:firstLine="771"/>
        <w:spacing w:after="0" w:line="254" w:lineRule="auto"/>
        <w:rPr>
          <w:sz w:val="20"/>
          <w:szCs w:val="20"/>
          <w:color w:val="auto"/>
        </w:rPr>
      </w:pPr>
      <w:r>
        <w:rPr>
          <w:rFonts w:ascii="Times New Roman" w:cs="Times New Roman" w:eastAsia="Times New Roman" w:hAnsi="Times New Roman"/>
          <w:sz w:val="14"/>
          <w:szCs w:val="14"/>
          <w:color w:val="auto"/>
        </w:rPr>
        <w:t>d. If any portion of the Tenant Improvement Allowance or Additional Allowance, if any, is not used by Tenant within eighteen (18) months following the Commencement Date (the “</w:t>
      </w:r>
      <w:r>
        <w:rPr>
          <w:rFonts w:ascii="Times New Roman" w:cs="Times New Roman" w:eastAsia="Times New Roman" w:hAnsi="Times New Roman"/>
          <w:sz w:val="14"/>
          <w:szCs w:val="14"/>
          <w:b w:val="1"/>
          <w:bCs w:val="1"/>
          <w:color w:val="auto"/>
        </w:rPr>
        <w:t>Outside Date</w:t>
      </w:r>
      <w:r>
        <w:rPr>
          <w:rFonts w:ascii="Times New Roman" w:cs="Times New Roman" w:eastAsia="Times New Roman" w:hAnsi="Times New Roman"/>
          <w:sz w:val="14"/>
          <w:szCs w:val="14"/>
          <w:color w:val="auto"/>
        </w:rPr>
        <w:t>”), such portion shall be deemed waived with no further obligation by Landlord with respect thereto; provided, however, (a) if construction of the Tenant Improvements has commenced prior to the Outside Date, but has not been completed, then Tenant shall have an additional period from the Outside Date to use the Tenant Improvement Allowance or Additional Allowance, if any, to complete such work; provided, however, in no event shall such additional period exceed six (6) months. In no event shall Landlord be obligated to make disbursements pursuant to this Work Letter in a total amount that exceeds the Tenant Improvement Allowance as may be increased by the Additional Allowance, if any, and in no event shall Tenant be entitled to any excess, credit, deduction or offset against Rent for any unused portion of the Tenant Improvement Allowance or Additional Allowance.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F-4</w:t>
      </w:r>
    </w:p>
    <w:p>
      <w:pPr>
        <w:sectPr>
          <w:pgSz w:w="11900" w:h="16838" w:orient="portrait"/>
          <w:cols w:equalWidth="0" w:num="1">
            <w:col w:w="9019"/>
          </w:cols>
          <w:pgMar w:left="1440" w:top="241" w:right="1440" w:bottom="1440" w:gutter="0" w:footer="0" w:header="0"/>
        </w:sectPr>
      </w:pPr>
    </w:p>
    <w:bookmarkStart w:id="661" w:name="page662"/>
    <w:bookmarkEnd w:id="661"/>
    <w:p>
      <w:pPr>
        <w:ind w:left="220" w:right="359" w:firstLine="345"/>
        <w:spacing w:after="0" w:line="255" w:lineRule="auto"/>
        <w:tabs>
          <w:tab w:leader="none" w:pos="702"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Consents/Approvals/Representatives</w:t>
      </w:r>
      <w:r>
        <w:rPr>
          <w:rFonts w:ascii="Times New Roman" w:cs="Times New Roman" w:eastAsia="Times New Roman" w:hAnsi="Times New Roman"/>
          <w:sz w:val="14"/>
          <w:szCs w:val="14"/>
          <w:color w:val="auto"/>
        </w:rPr>
        <w:t>. Landlord has appointed Ron Krietemeyer, as its authorized representative (“</w:t>
      </w:r>
      <w:r>
        <w:rPr>
          <w:rFonts w:ascii="Times New Roman" w:cs="Times New Roman" w:eastAsia="Times New Roman" w:hAnsi="Times New Roman"/>
          <w:sz w:val="14"/>
          <w:szCs w:val="14"/>
          <w:b w:val="1"/>
          <w:bCs w:val="1"/>
          <w:color w:val="auto"/>
        </w:rPr>
        <w:t>Landlord’s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Representative</w:t>
      </w:r>
      <w:r>
        <w:rPr>
          <w:rFonts w:ascii="Times New Roman" w:cs="Times New Roman" w:eastAsia="Times New Roman" w:hAnsi="Times New Roman"/>
          <w:sz w:val="14"/>
          <w:szCs w:val="14"/>
          <w:color w:val="auto"/>
        </w:rPr>
        <w:t>”) to act for Landlord in all matters covered by this Work Letter. Tenant hereby designates Oguzhan At, as its authorized representative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Tenant’s Representative</w:t>
      </w:r>
      <w:r>
        <w:rPr>
          <w:rFonts w:ascii="Times New Roman" w:cs="Times New Roman" w:eastAsia="Times New Roman" w:hAnsi="Times New Roman"/>
          <w:sz w:val="14"/>
          <w:szCs w:val="14"/>
          <w:color w:val="auto"/>
        </w:rPr>
        <w:t xml:space="preserve">”) with full power and authority to bind Tenant for all actions taken with regard to the Tenant Improvements. Except as otherwise provided in this Work Letter, within three (3) Business Days of receipt of any requested </w:t>
      </w:r>
      <w:r>
        <w:rPr>
          <w:rFonts w:ascii="Times New Roman" w:cs="Times New Roman" w:eastAsia="Times New Roman" w:hAnsi="Times New Roman"/>
          <w:sz w:val="14"/>
          <w:szCs w:val="14"/>
          <w:u w:val="single" w:color="auto"/>
          <w:color w:val="auto"/>
        </w:rPr>
        <w:t>approval</w:t>
      </w:r>
      <w:r>
        <w:rPr>
          <w:rFonts w:ascii="Times New Roman" w:cs="Times New Roman" w:eastAsia="Times New Roman" w:hAnsi="Times New Roman"/>
          <w:sz w:val="14"/>
          <w:szCs w:val="14"/>
          <w:color w:val="auto"/>
        </w:rPr>
        <w:t xml:space="preserve"> of any item or document, Landlord’s Representative shall approve or disapprove (with sufficient detail) any such request, unless the scope of Tenant’s request is such that Landlord’s Representative cannot, using commercially reasonable efforts, complete the required modifications within three (3) Business Days, in which case such three (3) Business Day period shall be extended for such period after Landlord receives the request as is reasonably necessary to respond to such request.</w:t>
      </w:r>
    </w:p>
    <w:p>
      <w:pPr>
        <w:spacing w:after="0" w:line="60" w:lineRule="exact"/>
        <w:rPr>
          <w:rFonts w:ascii="Times New Roman" w:cs="Times New Roman" w:eastAsia="Times New Roman" w:hAnsi="Times New Roman"/>
          <w:sz w:val="14"/>
          <w:szCs w:val="14"/>
          <w:color w:val="auto"/>
        </w:rPr>
      </w:pPr>
    </w:p>
    <w:p>
      <w:pPr>
        <w:ind w:left="220" w:right="319" w:firstLine="345"/>
        <w:spacing w:after="0" w:line="261" w:lineRule="auto"/>
        <w:tabs>
          <w:tab w:leader="none" w:pos="702"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Management Fee</w:t>
      </w:r>
      <w:r>
        <w:rPr>
          <w:rFonts w:ascii="Times New Roman" w:cs="Times New Roman" w:eastAsia="Times New Roman" w:hAnsi="Times New Roman"/>
          <w:sz w:val="14"/>
          <w:szCs w:val="14"/>
          <w:color w:val="auto"/>
        </w:rPr>
        <w:t xml:space="preserve">. Landlord shall employ Tarlton Properties, Inc. as the construction manager for construction of the Tenant Improvements at a fee equal to four </w:t>
      </w:r>
      <w:r>
        <w:rPr>
          <w:rFonts w:ascii="Times New Roman" w:cs="Times New Roman" w:eastAsia="Times New Roman" w:hAnsi="Times New Roman"/>
          <w:sz w:val="14"/>
          <w:szCs w:val="14"/>
          <w:u w:val="single" w:color="auto"/>
          <w:color w:val="auto"/>
        </w:rPr>
        <w:t>percent</w:t>
      </w:r>
      <w:r>
        <w:rPr>
          <w:rFonts w:ascii="Times New Roman" w:cs="Times New Roman" w:eastAsia="Times New Roman" w:hAnsi="Times New Roman"/>
          <w:sz w:val="14"/>
          <w:szCs w:val="14"/>
          <w:color w:val="auto"/>
        </w:rPr>
        <w:t xml:space="preserve"> (4%) of hard construction costs of the Tenant Improvements (i.e., amounts paid to any general contractor, subcontractors, vendors and suppliers of labor and materials for the construction of the Tenant Improvements). Such construction management fee shall be a cost of the Tenant Improvements.</w:t>
      </w:r>
    </w:p>
    <w:p>
      <w:pPr>
        <w:spacing w:after="0" w:line="55" w:lineRule="exact"/>
        <w:rPr>
          <w:rFonts w:ascii="Times New Roman" w:cs="Times New Roman" w:eastAsia="Times New Roman" w:hAnsi="Times New Roman"/>
          <w:sz w:val="14"/>
          <w:szCs w:val="14"/>
          <w:color w:val="auto"/>
        </w:rPr>
      </w:pPr>
    </w:p>
    <w:p>
      <w:pPr>
        <w:ind w:left="220" w:right="259" w:firstLine="345"/>
        <w:spacing w:after="0" w:line="266" w:lineRule="auto"/>
        <w:tabs>
          <w:tab w:leader="none" w:pos="702"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xml:space="preserve">. In the event of any defects in the Tenant Improvements, upon written notice from Tenant describing with specificity such defect, Landlord shall enforce all warranties </w:t>
      </w:r>
      <w:r>
        <w:rPr>
          <w:rFonts w:ascii="Times New Roman" w:cs="Times New Roman" w:eastAsia="Times New Roman" w:hAnsi="Times New Roman"/>
          <w:sz w:val="14"/>
          <w:szCs w:val="14"/>
          <w:u w:val="single" w:color="auto"/>
          <w:color w:val="auto"/>
        </w:rPr>
        <w:t>against</w:t>
      </w:r>
      <w:r>
        <w:rPr>
          <w:rFonts w:ascii="Times New Roman" w:cs="Times New Roman" w:eastAsia="Times New Roman" w:hAnsi="Times New Roman"/>
          <w:sz w:val="14"/>
          <w:szCs w:val="14"/>
          <w:color w:val="auto"/>
        </w:rPr>
        <w:t xml:space="preserve"> the Architect and/or Contractor for correction of such defects. In the event of a conflict between the Lease (including the Work Letter) and the Approved Construction Drawings, the Approved Construction Drawings shall control.</w:t>
      </w:r>
    </w:p>
    <w:p>
      <w:pPr>
        <w:spacing w:after="0" w:line="52" w:lineRule="exact"/>
        <w:rPr>
          <w:rFonts w:ascii="Times New Roman" w:cs="Times New Roman" w:eastAsia="Times New Roman" w:hAnsi="Times New Roman"/>
          <w:sz w:val="14"/>
          <w:szCs w:val="14"/>
          <w:color w:val="auto"/>
        </w:rPr>
      </w:pPr>
    </w:p>
    <w:p>
      <w:pPr>
        <w:ind w:left="220" w:right="279" w:firstLine="345"/>
        <w:spacing w:after="0" w:line="258" w:lineRule="auto"/>
        <w:tabs>
          <w:tab w:leader="none" w:pos="702"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of the Tenant Improvements</w:t>
      </w:r>
      <w:r>
        <w:rPr>
          <w:rFonts w:ascii="Times New Roman" w:cs="Times New Roman" w:eastAsia="Times New Roman" w:hAnsi="Times New Roman"/>
          <w:sz w:val="14"/>
          <w:szCs w:val="14"/>
          <w:color w:val="auto"/>
        </w:rPr>
        <w:t xml:space="preserve">. All materials (as well as methods and processes) used in the performance of the Tenant Improvements shall be new and of good quality and conform to all reasonable standards of the Building. All of the Tenant Improvements shall be performed in a good and workmanlike manner and in accordance with any and all applicable </w:t>
      </w:r>
      <w:r>
        <w:rPr>
          <w:rFonts w:ascii="Times New Roman" w:cs="Times New Roman" w:eastAsia="Times New Roman" w:hAnsi="Times New Roman"/>
          <w:sz w:val="14"/>
          <w:szCs w:val="14"/>
          <w:u w:val="single" w:color="auto"/>
          <w:color w:val="auto"/>
        </w:rPr>
        <w:t>codes</w:t>
      </w:r>
      <w:r>
        <w:rPr>
          <w:rFonts w:ascii="Times New Roman" w:cs="Times New Roman" w:eastAsia="Times New Roman" w:hAnsi="Times New Roman"/>
          <w:sz w:val="14"/>
          <w:szCs w:val="14"/>
          <w:color w:val="auto"/>
        </w:rPr>
        <w:t>, statutes, rules, regulations, ordinances and orders of any federal, state, county or municipal agency or other governmental body having jurisdiction over the Premises, and in substantial compliance with the Construction Drawings and Budget.</w:t>
      </w:r>
    </w:p>
    <w:p>
      <w:pPr>
        <w:spacing w:after="0" w:line="58" w:lineRule="exact"/>
        <w:rPr>
          <w:rFonts w:ascii="Times New Roman" w:cs="Times New Roman" w:eastAsia="Times New Roman" w:hAnsi="Times New Roman"/>
          <w:sz w:val="14"/>
          <w:szCs w:val="14"/>
          <w:color w:val="auto"/>
        </w:rPr>
      </w:pPr>
    </w:p>
    <w:p>
      <w:pPr>
        <w:ind w:left="220" w:right="339" w:firstLine="345"/>
        <w:spacing w:after="0" w:line="281" w:lineRule="auto"/>
        <w:tabs>
          <w:tab w:leader="none" w:pos="772" w:val="left"/>
        </w:tabs>
        <w:numPr>
          <w:ilvl w:val="1"/>
          <w:numId w:val="4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Non-chargeable construction costs</w:t>
      </w:r>
      <w:r>
        <w:rPr>
          <w:rFonts w:ascii="Times New Roman" w:cs="Times New Roman" w:eastAsia="Times New Roman" w:hAnsi="Times New Roman"/>
          <w:sz w:val="13"/>
          <w:szCs w:val="13"/>
          <w:color w:val="auto"/>
        </w:rPr>
        <w:t xml:space="preserve">. During the period of design, construction of the Tenant Improvements, Landlord shall no deduct from the Tenant Improvement Allowance or otherwise charge Tenant </w:t>
      </w:r>
      <w:r>
        <w:rPr>
          <w:rFonts w:ascii="Times New Roman" w:cs="Times New Roman" w:eastAsia="Times New Roman" w:hAnsi="Times New Roman"/>
          <w:sz w:val="13"/>
          <w:szCs w:val="13"/>
          <w:u w:val="single" w:color="auto"/>
          <w:color w:val="auto"/>
        </w:rPr>
        <w:t>for</w:t>
      </w:r>
      <w:r>
        <w:rPr>
          <w:rFonts w:ascii="Times New Roman" w:cs="Times New Roman" w:eastAsia="Times New Roman" w:hAnsi="Times New Roman"/>
          <w:sz w:val="13"/>
          <w:szCs w:val="13"/>
          <w:color w:val="auto"/>
        </w:rPr>
        <w:t>: (i) parking; (ii) exterior staging areas; (iii) non-exclusive access to freight elevators;</w:t>
      </w:r>
    </w:p>
    <w:p>
      <w:pPr>
        <w:ind w:left="460" w:hanging="237"/>
        <w:spacing w:after="0"/>
        <w:tabs>
          <w:tab w:leader="none" w:pos="46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non-exclusive use of loading docks; or (v) utilities or temporary HVAC during building hours.</w:t>
      </w:r>
    </w:p>
    <w:p>
      <w:pPr>
        <w:spacing w:after="0" w:line="76" w:lineRule="exact"/>
        <w:rPr>
          <w:rFonts w:ascii="Times New Roman" w:cs="Times New Roman" w:eastAsia="Times New Roman" w:hAnsi="Times New Roman"/>
          <w:sz w:val="14"/>
          <w:szCs w:val="14"/>
          <w:color w:val="auto"/>
        </w:rPr>
      </w:pPr>
    </w:p>
    <w:p>
      <w:pPr>
        <w:ind w:left="220" w:right="279" w:firstLine="345"/>
        <w:spacing w:after="0" w:line="254" w:lineRule="auto"/>
        <w:tabs>
          <w:tab w:leader="none" w:pos="767" w:val="left"/>
        </w:tabs>
        <w:numPr>
          <w:ilvl w:val="1"/>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 Delays</w:t>
      </w:r>
      <w:r>
        <w:rPr>
          <w:rFonts w:ascii="Times New Roman" w:cs="Times New Roman" w:eastAsia="Times New Roman" w:hAnsi="Times New Roman"/>
          <w:sz w:val="14"/>
          <w:szCs w:val="14"/>
          <w:color w:val="auto"/>
        </w:rPr>
        <w:t>. Any delay related to or arising from any interference by Tenant or its employees, agents or contractors with Landlord’s completion of the Tenant Improvements, or any default by Tenant under the Lease or failure to comply with the terms of this Work Letter which causes delay in the Substantial Completion of the Tenant Improvements shall constitute a “</w:t>
      </w:r>
      <w:r>
        <w:rPr>
          <w:rFonts w:ascii="Times New Roman" w:cs="Times New Roman" w:eastAsia="Times New Roman" w:hAnsi="Times New Roman"/>
          <w:sz w:val="14"/>
          <w:szCs w:val="14"/>
          <w:b w:val="1"/>
          <w:bCs w:val="1"/>
          <w:color w:val="auto"/>
        </w:rPr>
        <w:t>Tenant Delay</w:t>
      </w:r>
      <w:r>
        <w:rPr>
          <w:rFonts w:ascii="Times New Roman" w:cs="Times New Roman" w:eastAsia="Times New Roman" w:hAnsi="Times New Roman"/>
          <w:sz w:val="14"/>
          <w:szCs w:val="14"/>
          <w:color w:val="auto"/>
        </w:rPr>
        <w:t>”. Landlord shall give Tenant written notice of any claimed Tenant Delay within two (2) business days after the beginning of the delay, which notice includes a specific description of the claimed Tenant Delay. Should a Tenant Delay occur, Landlord shall not be responsible for such Tenant Delay, including without limitation, increased construction costs, increased general condition costs and other costs, the construction schedule and Tenant’s ability to conduct business or occupy the Premises and notwithstanding anything to the contrary set forth in the Lease or this Work Letter and regardless of the actual date of Substantial Completion, the Commencement Date (as set forth in the Basic Lease Information) shall be deemed to be the date the Lease Commencement Date would have occurred if no Tenant Delay or Delays, as set forth above, had occurred.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F-5</w:t>
      </w:r>
    </w:p>
    <w:p>
      <w:pPr>
        <w:sectPr>
          <w:pgSz w:w="11900" w:h="16838" w:orient="portrait"/>
          <w:cols w:equalWidth="0" w:num="1">
            <w:col w:w="9019"/>
          </w:cols>
          <w:pgMar w:left="1440" w:top="238" w:right="1440" w:bottom="1440" w:gutter="0" w:footer="0" w:header="0"/>
        </w:sectPr>
      </w:pPr>
    </w:p>
    <w:bookmarkStart w:id="662" w:name="page663"/>
    <w:bookmarkEnd w:id="662"/>
    <w:p>
      <w:pPr>
        <w:ind w:left="780" w:hanging="215"/>
        <w:spacing w:after="0"/>
        <w:tabs>
          <w:tab w:leader="none" w:pos="7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Tenant Default</w:t>
      </w:r>
      <w:r>
        <w:rPr>
          <w:rFonts w:ascii="Times New Roman" w:cs="Times New Roman" w:eastAsia="Times New Roman" w:hAnsi="Times New Roman"/>
          <w:sz w:val="14"/>
          <w:szCs w:val="14"/>
          <w:color w:val="auto"/>
        </w:rPr>
        <w:t>. Notwithstanding any provision to the contrary contained in the Lease, if an event of default by Tenant as described in</w:t>
      </w:r>
    </w:p>
    <w:p>
      <w:pPr>
        <w:spacing w:after="0" w:line="21" w:lineRule="exact"/>
        <w:rPr>
          <w:rFonts w:ascii="Times New Roman" w:cs="Times New Roman" w:eastAsia="Times New Roman" w:hAnsi="Times New Roman"/>
          <w:sz w:val="14"/>
          <w:szCs w:val="14"/>
          <w:color w:val="auto"/>
        </w:rPr>
      </w:pPr>
    </w:p>
    <w:p>
      <w:pPr>
        <w:ind w:left="220" w:right="2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Paragraph 20</w:t>
      </w:r>
      <w:r>
        <w:rPr>
          <w:rFonts w:ascii="Times New Roman" w:cs="Times New Roman" w:eastAsia="Times New Roman" w:hAnsi="Times New Roman"/>
          <w:sz w:val="14"/>
          <w:szCs w:val="14"/>
          <w:color w:val="auto"/>
        </w:rPr>
        <w:t xml:space="preserve"> of the Lease or any default by Tenant under this Work Letter has occurred and not cured within the applicable cure period at any time on or </w:t>
      </w:r>
      <w:r>
        <w:rPr>
          <w:rFonts w:ascii="Times New Roman" w:cs="Times New Roman" w:eastAsia="Times New Roman" w:hAnsi="Times New Roman"/>
          <w:sz w:val="14"/>
          <w:szCs w:val="14"/>
          <w:u w:val="single" w:color="auto"/>
          <w:color w:val="auto"/>
        </w:rPr>
        <w:t>before</w:t>
      </w:r>
      <w:r>
        <w:rPr>
          <w:rFonts w:ascii="Times New Roman" w:cs="Times New Roman" w:eastAsia="Times New Roman" w:hAnsi="Times New Roman"/>
          <w:sz w:val="14"/>
          <w:szCs w:val="14"/>
          <w:color w:val="auto"/>
        </w:rPr>
        <w:t xml:space="preserve"> the Substantial Completion of the Premises, then (i) in addition to all other rights and remedies granted to Landlord pursuant to the Lease, at law or in equity, Landlord shall have the right to withhold payment of all or any portion of the Tenant Improvement Allowance, the Additional Allowance, if any, and/or Landlord may cause Contractor to cease the construction of the Tenant Improvements (in which case, Tenant shall be responsible for any delay in the Substantial Completion of the Premises caused by such work stoppage), and (ii) all other obligations of Landlord under the terms of this Work Letter shall be suspended, until such time as such default is cured pursuant to the terms of the Lease (in which case, Tenant shall be responsible for any delay in Substantial Completion of the Premises caused by such inaction by Landlord). In addition, if the Lease is terminated prior to the Lease Commencement Date, due to a default by Tenant as described in Paragraph 20 of the Lease or under this Work Letter, in addition to any other remedies available to Landlord under the Lease, at law and/or in equity, Tenant shall pay to Landlord, as Additional Rent under the Lease, within five (5) days of receipt of a statement therefor, any and all costs incurred by Landlord (including any portion of the Tenant Improvement Allowance and Additional Allowance, if any,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spacing w:after="0" w:line="63" w:lineRule="exact"/>
        <w:rPr>
          <w:rFonts w:ascii="Times New Roman" w:cs="Times New Roman" w:eastAsia="Times New Roman" w:hAnsi="Times New Roman"/>
          <w:sz w:val="14"/>
          <w:szCs w:val="14"/>
          <w:color w:val="auto"/>
        </w:rPr>
      </w:pPr>
    </w:p>
    <w:p>
      <w:pPr>
        <w:ind w:left="220" w:right="279" w:firstLine="345"/>
        <w:spacing w:after="0" w:line="261" w:lineRule="auto"/>
        <w:tabs>
          <w:tab w:leader="none" w:pos="772"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Time of the Essence in this Work Letter</w:t>
      </w:r>
      <w:r>
        <w:rPr>
          <w:rFonts w:ascii="Times New Roman" w:cs="Times New Roman" w:eastAsia="Times New Roman" w:hAnsi="Times New Roman"/>
          <w:sz w:val="14"/>
          <w:szCs w:val="14"/>
          <w:color w:val="auto"/>
        </w:rPr>
        <w:t xml:space="preserve">. Unless otherwise indicated, all references herein to a “number of days” shall mean and refer to calendar days. In all instances where Tenant is required to approve or deliver an item, if no written notice of approval is given or the item is not </w:t>
      </w:r>
      <w:r>
        <w:rPr>
          <w:rFonts w:ascii="Times New Roman" w:cs="Times New Roman" w:eastAsia="Times New Roman" w:hAnsi="Times New Roman"/>
          <w:sz w:val="14"/>
          <w:szCs w:val="14"/>
          <w:u w:val="single" w:color="auto"/>
          <w:color w:val="auto"/>
        </w:rPr>
        <w:t>delivered</w:t>
      </w:r>
      <w:r>
        <w:rPr>
          <w:rFonts w:ascii="Times New Roman" w:cs="Times New Roman" w:eastAsia="Times New Roman" w:hAnsi="Times New Roman"/>
          <w:sz w:val="14"/>
          <w:szCs w:val="14"/>
          <w:color w:val="auto"/>
        </w:rPr>
        <w:t xml:space="preserve"> within the stated time period, at Landlord’s sole option, at the end of said period the item shall automatically be deemed approved or delivered by Tenant and the next succeeding time period shall commence.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F-6</w:t>
      </w:r>
    </w:p>
    <w:p>
      <w:pPr>
        <w:sectPr>
          <w:pgSz w:w="11900" w:h="16838" w:orient="portrait"/>
          <w:cols w:equalWidth="0" w:num="1">
            <w:col w:w="9019"/>
          </w:cols>
          <w:pgMar w:left="1440" w:top="242" w:right="1440" w:bottom="1440" w:gutter="0" w:footer="0" w:header="0"/>
        </w:sectPr>
      </w:pPr>
    </w:p>
    <w:bookmarkStart w:id="663" w:name="page664"/>
    <w:bookmarkEnd w:id="66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F-1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Landlord Improvements/Warm-Shell Improvements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In accordance with </w:t>
      </w:r>
      <w:r>
        <w:rPr>
          <w:rFonts w:ascii="Times New Roman" w:cs="Times New Roman" w:eastAsia="Times New Roman" w:hAnsi="Times New Roman"/>
          <w:sz w:val="14"/>
          <w:szCs w:val="14"/>
          <w:u w:val="single" w:color="auto"/>
          <w:color w:val="auto"/>
        </w:rPr>
        <w:t>Paragraph 13</w:t>
      </w:r>
      <w:r>
        <w:rPr>
          <w:rFonts w:ascii="Times New Roman" w:cs="Times New Roman" w:eastAsia="Times New Roman" w:hAnsi="Times New Roman"/>
          <w:sz w:val="14"/>
          <w:szCs w:val="14"/>
          <w:color w:val="auto"/>
        </w:rPr>
        <w:t>, Landlord, at Landlord’s cost, shall complete the following improvements: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OCCUPANCY</w:t>
      </w:r>
    </w:p>
    <w:p>
      <w:pPr>
        <w:spacing w:after="0" w:line="103" w:lineRule="exact"/>
        <w:rPr>
          <w:sz w:val="20"/>
          <w:szCs w:val="20"/>
          <w:color w:val="auto"/>
        </w:rPr>
      </w:pPr>
    </w:p>
    <w:p>
      <w:pPr>
        <w:ind w:left="980" w:hanging="337"/>
        <w:spacing w:after="0"/>
        <w:tabs>
          <w:tab w:leader="none" w:pos="98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to accommodate “B” and “L” occupancies.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SITE / PARKING</w:t>
      </w:r>
    </w:p>
    <w:p>
      <w:pPr>
        <w:spacing w:after="0" w:line="103" w:lineRule="exact"/>
        <w:rPr>
          <w:sz w:val="20"/>
          <w:szCs w:val="20"/>
          <w:color w:val="auto"/>
        </w:rPr>
      </w:pPr>
    </w:p>
    <w:p>
      <w:pPr>
        <w:ind w:left="980" w:right="259" w:hanging="337"/>
        <w:spacing w:after="0" w:line="282" w:lineRule="auto"/>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Exterior hardscape and landscape including site lighting, curbs, sidewalks and drive aisles, miscellaneous site furnishings. (Part of sitewide improvements)</w:t>
      </w:r>
    </w:p>
    <w:p>
      <w:pPr>
        <w:spacing w:after="0" w:line="5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Caterpillar emergency generator with enclosure for life-safety and tenant back-up power (750kW / 900 kVA/60Hz).</w:t>
      </w:r>
    </w:p>
    <w:p>
      <w:pPr>
        <w:spacing w:after="0" w:line="10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 connection to Alameda Creek pedestrian/bicycle trail connecting to Union Landing (5-minute bicycle ride).</w:t>
      </w:r>
    </w:p>
    <w:p>
      <w:pPr>
        <w:spacing w:after="0" w:line="10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279 parking spaces (3.1/1000 SF).</w:t>
      </w:r>
    </w:p>
    <w:p>
      <w:pPr>
        <w:spacing w:after="0" w:line="353" w:lineRule="exact"/>
        <w:rPr>
          <w:sz w:val="20"/>
          <w:szCs w:val="20"/>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20 new Level 2 EV Charging station adjacent to building.</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screened outdoor seating area adjacent to building.</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new park entry monuments. (Part of sitewide improvements)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new Monument at building entry (if center entry option selected).</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bike racks in park. (Part of sitewide improvements)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park-wide bike share program. (Part of sitewide improvements)</w:t>
      </w:r>
    </w:p>
    <w:p>
      <w:pPr>
        <w:spacing w:after="0" w:line="101" w:lineRule="exact"/>
        <w:rPr>
          <w:rFonts w:ascii="Times New Roman" w:cs="Times New Roman" w:eastAsia="Times New Roman" w:hAnsi="Times New Roman"/>
          <w:sz w:val="14"/>
          <w:szCs w:val="14"/>
          <w:color w:val="auto"/>
        </w:rPr>
      </w:pPr>
    </w:p>
    <w:p>
      <w:pPr>
        <w:ind w:left="1840" w:right="319" w:hanging="421"/>
        <w:spacing w:after="0" w:line="282" w:lineRule="auto"/>
        <w:tabs>
          <w:tab w:leader="none" w:pos="184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Upgrade park wide landscaping to native plant, drought resistant, low water design and irrigation system. (Part of sitewide improvements)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STRUCTURE</w:t>
      </w:r>
    </w:p>
    <w:p>
      <w:pPr>
        <w:spacing w:after="0" w:line="103" w:lineRule="exact"/>
        <w:rPr>
          <w:sz w:val="20"/>
          <w:szCs w:val="20"/>
          <w:color w:val="auto"/>
        </w:rPr>
      </w:pPr>
    </w:p>
    <w:p>
      <w:pPr>
        <w:ind w:left="980" w:hanging="337"/>
        <w:spacing w:after="0"/>
        <w:tabs>
          <w:tab w:leader="none" w:pos="98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Reinforced slab on grade supported by a perimeter footing and grade beams.</w:t>
      </w:r>
    </w:p>
    <w:p>
      <w:pPr>
        <w:spacing w:after="0" w:line="10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Panelized wood roof supported by open-web steel joists, open-web steel trusses, steel tube columns, and reinforced concrete tilt-up walls.</w:t>
      </w:r>
    </w:p>
    <w:p>
      <w:pPr>
        <w:spacing w:after="0" w:line="101" w:lineRule="exact"/>
        <w:rPr>
          <w:rFonts w:ascii="Times New Roman" w:cs="Times New Roman" w:eastAsia="Times New Roman" w:hAnsi="Times New Roman"/>
          <w:sz w:val="14"/>
          <w:szCs w:val="14"/>
          <w:color w:val="auto"/>
        </w:rPr>
      </w:pPr>
    </w:p>
    <w:p>
      <w:pPr>
        <w:ind w:left="980" w:right="719" w:hanging="337"/>
        <w:spacing w:after="0" w:line="282" w:lineRule="auto"/>
        <w:tabs>
          <w:tab w:leader="none" w:pos="98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lateral load-resisting system consisting of a flexible wood structural panel sheathed roof diaphragm and both perimeter and interior concrete tilt-up shear walls.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F1-1</w:t>
      </w:r>
    </w:p>
    <w:p>
      <w:pPr>
        <w:sectPr>
          <w:pgSz w:w="11900" w:h="16838" w:orient="portrait"/>
          <w:cols w:equalWidth="0" w:num="1">
            <w:col w:w="9019"/>
          </w:cols>
          <w:pgMar w:left="1440" w:top="239" w:right="1440" w:bottom="1440" w:gutter="0" w:footer="0" w:header="0"/>
        </w:sectPr>
      </w:pPr>
    </w:p>
    <w:bookmarkStart w:id="664" w:name="page665"/>
    <w:bookmarkEnd w:id="664"/>
    <w:p>
      <w:pPr>
        <w:ind w:left="90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Structural Landlord Warm Shell Project Scope</w:t>
      </w:r>
    </w:p>
    <w:p>
      <w:pPr>
        <w:spacing w:after="0" w:line="101" w:lineRule="exact"/>
        <w:rPr>
          <w:sz w:val="20"/>
          <w:szCs w:val="20"/>
          <w:color w:val="auto"/>
        </w:rPr>
      </w:pPr>
    </w:p>
    <w:p>
      <w:pPr>
        <w:ind w:left="1840" w:hanging="421"/>
        <w:spacing w:after="0"/>
        <w:tabs>
          <w:tab w:leader="none" w:pos="184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 upgrades as necessary to support Warm Shell mechanical scope of work.</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Modifications and patch back as required for Warm Shell underground scope of work.</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envelope modifications as required to support Warm Shell lobby scope of work.</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BUILDING/INTERIOR</w:t>
      </w:r>
    </w:p>
    <w:p>
      <w:pPr>
        <w:spacing w:after="0" w:line="103" w:lineRule="exact"/>
        <w:rPr>
          <w:sz w:val="20"/>
          <w:szCs w:val="20"/>
          <w:color w:val="auto"/>
        </w:rPr>
      </w:pPr>
    </w:p>
    <w:p>
      <w:pPr>
        <w:ind w:left="980" w:hanging="337"/>
        <w:spacing w:after="0"/>
        <w:tabs>
          <w:tab w:leader="none" w:pos="98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dock high doors (10’ x 10’) and 4 grade level doors (12’ x 15’).</w:t>
      </w:r>
    </w:p>
    <w:p>
      <w:pPr>
        <w:spacing w:after="0" w:line="10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Wet-pipe automatic fire suppression (sprinkler) systems with flow switches and alarms.</w:t>
      </w:r>
    </w:p>
    <w:p>
      <w:pPr>
        <w:spacing w:after="0" w:line="101" w:lineRule="exact"/>
        <w:rPr>
          <w:rFonts w:ascii="Times New Roman" w:cs="Times New Roman" w:eastAsia="Times New Roman" w:hAnsi="Times New Roman"/>
          <w:sz w:val="14"/>
          <w:szCs w:val="14"/>
          <w:color w:val="auto"/>
        </w:rPr>
      </w:pPr>
    </w:p>
    <w:p>
      <w:pPr>
        <w:ind w:left="980" w:hanging="337"/>
        <w:spacing w:after="0"/>
        <w:tabs>
          <w:tab w:leader="none" w:pos="98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Telecom main point of entry (MPOE) room at grade.</w:t>
      </w:r>
    </w:p>
    <w:p>
      <w:pPr>
        <w:spacing w:after="0" w:line="101" w:lineRule="exact"/>
        <w:rPr>
          <w:rFonts w:ascii="Times New Roman" w:cs="Times New Roman" w:eastAsia="Times New Roman" w:hAnsi="Times New Roman"/>
          <w:sz w:val="14"/>
          <w:szCs w:val="14"/>
          <w:color w:val="auto"/>
        </w:rPr>
      </w:pPr>
    </w:p>
    <w:p>
      <w:pPr>
        <w:ind w:left="900" w:right="1159" w:hanging="257"/>
        <w:spacing w:after="0" w:line="383" w:lineRule="auto"/>
        <w:tabs>
          <w:tab w:leader="none" w:pos="971"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New Double-height ground floor lobby, complete with main greeting/security desk, and all interior finishes, FF&amp;E and art. </w:t>
      </w:r>
      <w:r>
        <w:rPr>
          <w:rFonts w:ascii="Times New Roman" w:cs="Times New Roman" w:eastAsia="Times New Roman" w:hAnsi="Times New Roman"/>
          <w:sz w:val="14"/>
          <w:szCs w:val="14"/>
          <w:u w:val="single" w:color="auto"/>
          <w:color w:val="auto"/>
        </w:rPr>
        <w:t>Building/Interior Landlord Warm Shell Project Scope</w:t>
      </w:r>
    </w:p>
    <w:p>
      <w:pPr>
        <w:ind w:left="1840" w:right="459" w:hanging="421"/>
        <w:spacing w:after="0" w:line="282" w:lineRule="auto"/>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2 restroom cores with a maximum of 21 fixtures and 9 sinks at locations to be determined by tenant floor plan (Tarlton standard finishes).</w:t>
      </w:r>
    </w:p>
    <w:p>
      <w:pPr>
        <w:spacing w:after="0" w:line="51" w:lineRule="exact"/>
        <w:rPr>
          <w:rFonts w:ascii="Times New Roman" w:cs="Times New Roman" w:eastAsia="Times New Roman" w:hAnsi="Times New Roman"/>
          <w:sz w:val="14"/>
          <w:szCs w:val="14"/>
          <w:color w:val="auto"/>
        </w:rPr>
      </w:pPr>
    </w:p>
    <w:p>
      <w:pPr>
        <w:ind w:left="1840" w:right="559" w:hanging="421"/>
        <w:spacing w:after="0" w:line="282" w:lineRule="auto"/>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1 IDF room at a location to be determined by tenant floor plan with power supplied to a dedicated panel (24 circuits) and empty conduit for tenant data connection to MPOE.</w:t>
      </w:r>
    </w:p>
    <w:p>
      <w:pPr>
        <w:spacing w:after="0" w:line="51" w:lineRule="exact"/>
        <w:rPr>
          <w:rFonts w:ascii="Times New Roman" w:cs="Times New Roman" w:eastAsia="Times New Roman" w:hAnsi="Times New Roman"/>
          <w:sz w:val="14"/>
          <w:szCs w:val="14"/>
          <w:color w:val="auto"/>
        </w:rPr>
      </w:pPr>
    </w:p>
    <w:p>
      <w:pPr>
        <w:ind w:left="1840" w:right="399" w:hanging="421"/>
        <w:spacing w:after="0" w:line="282" w:lineRule="auto"/>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new exterior entry with defined architectural element and other exterior architectural improvements to enhance overall building appearance, per an agreed upon design.</w:t>
      </w:r>
    </w:p>
    <w:p>
      <w:pPr>
        <w:spacing w:after="0" w:line="5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new interior lobby (1800 square feet maximum with Tarlton standard lobby finishes).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new code compliant Fire Alarm/Monitoring system.</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two existing hot water heaters.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Install/upgrade building card access system to allow exterior card access.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existing skylights (14 total) with new prismatic skylights.</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warm shell and building site will be delivered in compliance with the Americans with Disabilities Act (ADA).</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warm shell scope will be delivered CA Title 24 compliant.</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warm shell scope will be delivered in compliance with local Building and Fire codes.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F1-2</w:t>
      </w:r>
    </w:p>
    <w:p>
      <w:pPr>
        <w:sectPr>
          <w:pgSz w:w="11900" w:h="16838" w:orient="portrait"/>
          <w:cols w:equalWidth="0" w:num="1">
            <w:col w:w="9019"/>
          </w:cols>
          <w:pgMar w:left="1440" w:top="241" w:right="1440" w:bottom="1440" w:gutter="0" w:footer="0" w:header="0"/>
        </w:sectPr>
      </w:pPr>
    </w:p>
    <w:bookmarkStart w:id="665" w:name="page666"/>
    <w:bookmarkEnd w:id="665"/>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MECHANICAL</w:t>
      </w:r>
    </w:p>
    <w:p>
      <w:pPr>
        <w:spacing w:after="0" w:line="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u w:val="single" w:color="auto"/>
          <w:color w:val="auto"/>
        </w:rPr>
        <w:t>Mechanical Landlord Warm Shell Project Scope</w:t>
      </w:r>
    </w:p>
    <w:p>
      <w:pPr>
        <w:spacing w:after="0" w:line="101" w:lineRule="exact"/>
        <w:rPr>
          <w:sz w:val="20"/>
          <w:szCs w:val="20"/>
          <w:color w:val="auto"/>
        </w:rPr>
      </w:pPr>
    </w:p>
    <w:p>
      <w:pPr>
        <w:ind w:left="1840" w:right="339" w:hanging="421"/>
        <w:spacing w:after="0" w:line="266" w:lineRule="auto"/>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install up to 275 tons of new mechanical capacity (undistributed—units installed on roof, plenums dropped) to support laboratory buildout for tenant improvement project. This capacity would accommodate a laboratory buildout for 60% (~54,000 square feet) of the building at 1 ton per 200 square feet of mechanical capacity (2CFM/SF).</w:t>
      </w:r>
    </w:p>
    <w:p>
      <w:pPr>
        <w:spacing w:after="0" w:line="62" w:lineRule="exact"/>
        <w:rPr>
          <w:rFonts w:ascii="Times New Roman" w:cs="Times New Roman" w:eastAsia="Times New Roman" w:hAnsi="Times New Roman"/>
          <w:sz w:val="14"/>
          <w:szCs w:val="14"/>
          <w:color w:val="auto"/>
        </w:rPr>
      </w:pPr>
    </w:p>
    <w:p>
      <w:pPr>
        <w:ind w:left="1840" w:right="399" w:hanging="421"/>
        <w:spacing w:after="0" w:line="282" w:lineRule="auto"/>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to provide reuse of minimum four (4) 10 ton and four (4) 12.5 ton (100 tons total) existing mechanical units for use on the office area buildout of the tenant improvement project (to be installed as part of TI).</w:t>
      </w:r>
    </w:p>
    <w:p>
      <w:pPr>
        <w:spacing w:after="0" w:line="5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air distribution and exhaust fans in new warm shell scope restroom cores.</w:t>
      </w:r>
    </w:p>
    <w:p>
      <w:pPr>
        <w:spacing w:after="0" w:line="101" w:lineRule="exact"/>
        <w:rPr>
          <w:rFonts w:ascii="Times New Roman" w:cs="Times New Roman" w:eastAsia="Times New Roman" w:hAnsi="Times New Roman"/>
          <w:sz w:val="14"/>
          <w:szCs w:val="14"/>
          <w:color w:val="auto"/>
        </w:rPr>
      </w:pPr>
    </w:p>
    <w:p>
      <w:pPr>
        <w:ind w:left="1840" w:right="239" w:hanging="421"/>
        <w:spacing w:after="0" w:line="282" w:lineRule="auto"/>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 new Building Management system (BMS) to support warm shell buildout. System will be capable of supporting final tenant improvement project buildout.</w:t>
      </w:r>
    </w:p>
    <w:p>
      <w:pPr>
        <w:spacing w:after="0" w:line="5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distributed HVAC to new warm shell lobby buildout.</w:t>
      </w:r>
    </w:p>
    <w:p>
      <w:pPr>
        <w:spacing w:after="0" w:line="101"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dedicated unit (3 ton maximum), distributed to warm shell IDF room buildout.</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ELECTRICAL</w:t>
      </w:r>
    </w:p>
    <w:p>
      <w:pPr>
        <w:spacing w:after="0" w:line="103" w:lineRule="exact"/>
        <w:rPr>
          <w:sz w:val="20"/>
          <w:szCs w:val="20"/>
          <w:color w:val="auto"/>
        </w:rPr>
      </w:pPr>
    </w:p>
    <w:p>
      <w:pPr>
        <w:ind w:left="900" w:right="1999" w:hanging="257"/>
        <w:spacing w:after="0" w:line="383" w:lineRule="auto"/>
        <w:tabs>
          <w:tab w:leader="none" w:pos="971"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Existing 750KW diesel generator, automatic transfer switch (ATS) and emergency power distribution panel. </w:t>
      </w:r>
      <w:r>
        <w:rPr>
          <w:rFonts w:ascii="Times New Roman" w:cs="Times New Roman" w:eastAsia="Times New Roman" w:hAnsi="Times New Roman"/>
          <w:sz w:val="14"/>
          <w:szCs w:val="14"/>
          <w:u w:val="single" w:color="auto"/>
          <w:color w:val="auto"/>
        </w:rPr>
        <w:t>Electrical Landlord Warm Shell Project Scope</w:t>
      </w:r>
    </w:p>
    <w:p>
      <w:pPr>
        <w:ind w:left="1840" w:right="339" w:hanging="421"/>
        <w:spacing w:after="0" w:line="266" w:lineRule="auto"/>
        <w:tabs>
          <w:tab w:leader="none" w:pos="1840" w:val="left"/>
        </w:tabs>
        <w:numPr>
          <w:ilvl w:val="1"/>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new 4,000 amp service (480V, 3 phase, 4 wire), distribution switchgear in MPOE and distribution to warm shell project scope. Based on a 60% lab buildout (~54,000 square feet) this will provide 40 watts/SF for laboratory areas and 14 watts/SF for office areas to support a tenant improvement project.</w:t>
      </w:r>
    </w:p>
    <w:p>
      <w:pPr>
        <w:spacing w:after="0" w:line="62" w:lineRule="exact"/>
        <w:rPr>
          <w:rFonts w:ascii="Times New Roman" w:cs="Times New Roman" w:eastAsia="Times New Roman" w:hAnsi="Times New Roman"/>
          <w:sz w:val="14"/>
          <w:szCs w:val="14"/>
          <w:color w:val="auto"/>
        </w:rPr>
      </w:pPr>
    </w:p>
    <w:p>
      <w:pPr>
        <w:ind w:left="1840" w:hanging="421"/>
        <w:spacing w:after="0"/>
        <w:tabs>
          <w:tab w:leader="none" w:pos="1840" w:val="left"/>
        </w:tabs>
        <w:numPr>
          <w:ilvl w:val="1"/>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lighting for all areas in warm shell scope.</w:t>
      </w:r>
    </w:p>
    <w:p>
      <w:pPr>
        <w:spacing w:after="0" w:line="101" w:lineRule="exact"/>
        <w:rPr>
          <w:rFonts w:ascii="Times New Roman" w:cs="Times New Roman" w:eastAsia="Times New Roman" w:hAnsi="Times New Roman"/>
          <w:sz w:val="14"/>
          <w:szCs w:val="14"/>
          <w:color w:val="auto"/>
        </w:rPr>
      </w:pPr>
    </w:p>
    <w:p>
      <w:pPr>
        <w:ind w:left="1840" w:right="239" w:hanging="421"/>
        <w:spacing w:after="0" w:line="282" w:lineRule="auto"/>
        <w:tabs>
          <w:tab w:leader="none" w:pos="1840" w:val="left"/>
        </w:tabs>
        <w:numPr>
          <w:ilvl w:val="1"/>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Convenience power distributed to all areas in warm shell scope. Power supplied to new 20 circuit panel in warm shell scope IDF room.</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F1-3</w:t>
      </w:r>
    </w:p>
    <w:p>
      <w:pPr>
        <w:sectPr>
          <w:pgSz w:w="11900" w:h="16838" w:orient="portrait"/>
          <w:cols w:equalWidth="0" w:num="1">
            <w:col w:w="9019"/>
          </w:cols>
          <w:pgMar w:left="1440" w:top="239" w:right="1440" w:bottom="1440" w:gutter="0" w:footer="0" w:header="0"/>
        </w:sectPr>
      </w:pPr>
    </w:p>
    <w:bookmarkStart w:id="666" w:name="page667"/>
    <w:bookmarkEnd w:id="66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F-2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Preliminary Budget</w:t>
      </w:r>
    </w:p>
    <w:p>
      <w:pPr>
        <w:sectPr>
          <w:pgSz w:w="11900" w:h="16838" w:orient="portrait"/>
          <w:cols w:equalWidth="0" w:num="1">
            <w:col w:w="9019"/>
          </w:cols>
          <w:pgMar w:left="1440" w:top="238" w:right="1440" w:bottom="1440" w:gutter="0" w:footer="0" w:header="0"/>
        </w:sectPr>
      </w:pPr>
    </w:p>
    <w:bookmarkStart w:id="667" w:name="page668"/>
    <w:bookmarkEnd w:id="667"/>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F-3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Preliminary Schedule</w:t>
      </w:r>
    </w:p>
    <w:p>
      <w:pPr>
        <w:sectPr>
          <w:pgSz w:w="11900" w:h="16838" w:orient="portrait"/>
          <w:cols w:equalWidth="0" w:num="1">
            <w:col w:w="9019"/>
          </w:cols>
          <w:pgMar w:left="1440" w:top="239" w:right="1440" w:bottom="1440" w:gutter="0" w:footer="0" w:header="0"/>
        </w:sectPr>
      </w:pPr>
    </w:p>
    <w:bookmarkStart w:id="668" w:name="page669"/>
    <w:bookmarkEnd w:id="6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Final Space Plan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Schedule-1</w:t>
      </w:r>
    </w:p>
    <w:p>
      <w:pPr>
        <w:sectPr>
          <w:pgSz w:w="11900" w:h="16838" w:orient="portrait"/>
          <w:cols w:equalWidth="0" w:num="1">
            <w:col w:w="9019"/>
          </w:cols>
          <w:pgMar w:left="1440" w:top="239" w:right="1440" w:bottom="1440" w:gutter="0" w:footer="0" w:header="0"/>
        </w:sectPr>
      </w:pPr>
    </w:p>
    <w:bookmarkStart w:id="669" w:name="page670"/>
    <w:bookmarkEnd w:id="66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Hazardous Materials Disclosure Certificate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G</w:t>
      </w:r>
    </w:p>
    <w:p>
      <w:pPr>
        <w:sectPr>
          <w:pgSz w:w="11900" w:h="16838" w:orient="portrait"/>
          <w:cols w:equalWidth="0" w:num="1">
            <w:col w:w="9019"/>
          </w:cols>
          <w:pgMar w:left="1440" w:top="239" w:right="1440" w:bottom="1440" w:gutter="0" w:footer="0" w:header="0"/>
        </w:sectPr>
      </w:pPr>
    </w:p>
    <w:bookmarkStart w:id="670" w:name="page671"/>
    <w:bookmarkEnd w:id="670"/>
    <w:p>
      <w:pPr>
        <w:ind w:left="8060"/>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FIRST AMENDMENT TO LEASE</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3200 Whipple Road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Union City, California</w:t>
      </w:r>
    </w:p>
    <w:p>
      <w:pPr>
        <w:spacing w:after="0" w:line="158" w:lineRule="exact"/>
        <w:rPr>
          <w:sz w:val="20"/>
          <w:szCs w:val="20"/>
          <w:color w:val="auto"/>
        </w:rPr>
      </w:pPr>
    </w:p>
    <w:p>
      <w:pPr>
        <w:ind w:left="220" w:right="339" w:firstLine="342"/>
        <w:spacing w:after="0" w:line="267" w:lineRule="auto"/>
        <w:rPr>
          <w:sz w:val="20"/>
          <w:szCs w:val="20"/>
          <w:color w:val="auto"/>
        </w:rPr>
      </w:pPr>
      <w:r>
        <w:rPr>
          <w:rFonts w:ascii="Times New Roman" w:cs="Times New Roman" w:eastAsia="Times New Roman" w:hAnsi="Times New Roman"/>
          <w:sz w:val="14"/>
          <w:szCs w:val="14"/>
          <w:color w:val="auto"/>
        </w:rPr>
        <w:t>THIS FIRST AMENDMENT TO LEASE (this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made as of October 11, 2023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xml:space="preserve">”), by and between </w:t>
      </w:r>
      <w:r>
        <w:rPr>
          <w:rFonts w:ascii="Times New Roman" w:cs="Times New Roman" w:eastAsia="Times New Roman" w:hAnsi="Times New Roman"/>
          <w:sz w:val="14"/>
          <w:szCs w:val="14"/>
          <w:b w:val="1"/>
          <w:bCs w:val="1"/>
          <w:color w:val="auto"/>
        </w:rPr>
        <w:t>WHIPPLE ROAD PORTFOLIO, LLC</w:t>
      </w:r>
      <w:r>
        <w:rPr>
          <w:rFonts w:ascii="Times New Roman" w:cs="Times New Roman" w:eastAsia="Times New Roman" w:hAnsi="Times New Roman"/>
          <w:sz w:val="14"/>
          <w:szCs w:val="14"/>
          <w:color w:val="auto"/>
        </w:rPr>
        <w:t>, a Delaware limited liability company (“</w:t>
      </w:r>
      <w:r>
        <w:rPr>
          <w:rFonts w:ascii="Times New Roman" w:cs="Times New Roman" w:eastAsia="Times New Roman" w:hAnsi="Times New Roman"/>
          <w:sz w:val="14"/>
          <w:szCs w:val="14"/>
          <w:b w:val="1"/>
          <w:bCs w:val="1"/>
          <w:color w:val="auto"/>
        </w:rPr>
        <w:t>Landlord</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BILLIONTOONE, INC.</w:t>
      </w:r>
      <w:r>
        <w:rPr>
          <w:rFonts w:ascii="Times New Roman" w:cs="Times New Roman" w:eastAsia="Times New Roman" w:hAnsi="Times New Roman"/>
          <w:sz w:val="14"/>
          <w:szCs w:val="14"/>
          <w:color w:val="auto"/>
        </w:rPr>
        <w:t>, a Delaware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Tenant</w:t>
      </w:r>
      <w:r>
        <w:rPr>
          <w:rFonts w:ascii="Times New Roman" w:cs="Times New Roman" w:eastAsia="Times New Roman" w:hAnsi="Times New Roman"/>
          <w:sz w:val="14"/>
          <w:szCs w:val="14"/>
          <w:color w:val="auto"/>
        </w:rPr>
        <w: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RECITALS</w:t>
      </w:r>
    </w:p>
    <w:p>
      <w:pPr>
        <w:spacing w:after="0" w:line="173" w:lineRule="exact"/>
        <w:rPr>
          <w:sz w:val="20"/>
          <w:szCs w:val="20"/>
          <w:color w:val="auto"/>
        </w:rPr>
      </w:pPr>
    </w:p>
    <w:p>
      <w:pPr>
        <w:ind w:left="220" w:right="279" w:firstLine="342"/>
        <w:spacing w:after="0" w:line="285" w:lineRule="auto"/>
        <w:rPr>
          <w:sz w:val="20"/>
          <w:szCs w:val="20"/>
          <w:color w:val="auto"/>
        </w:rPr>
      </w:pPr>
      <w:r>
        <w:rPr>
          <w:rFonts w:ascii="Times New Roman" w:cs="Times New Roman" w:eastAsia="Times New Roman" w:hAnsi="Times New Roman"/>
          <w:sz w:val="14"/>
          <w:szCs w:val="14"/>
          <w:color w:val="auto"/>
        </w:rPr>
        <w:t>WHEREAS, Landlord and Tenant are parties to that certain Lease Agreement dated April 10, 2022 (the “</w:t>
      </w: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 with respect to certain premises identified in the Lease as 3200 Whipple Road, Union City, California (the “</w:t>
      </w:r>
      <w:r>
        <w:rPr>
          <w:rFonts w:ascii="Times New Roman" w:cs="Times New Roman" w:eastAsia="Times New Roman" w:hAnsi="Times New Roman"/>
          <w:sz w:val="14"/>
          <w:szCs w:val="14"/>
          <w:b w:val="1"/>
          <w:bCs w:val="1"/>
          <w:color w:val="auto"/>
        </w:rPr>
        <w:t>Premises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Landlord and Tenant desire to amend the Lease on the terms set forth herein, all as more particularly set forth herein.</w:t>
      </w:r>
    </w:p>
    <w:p>
      <w:pPr>
        <w:spacing w:after="0" w:line="175"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mutual covenants herein contained, and other good and valuable consideration, the receipt and sufficiency of which are hereby acknowledged, Landlord and Tenant agree as follows:</w:t>
      </w:r>
    </w:p>
    <w:p>
      <w:pPr>
        <w:spacing w:after="0" w:line="41" w:lineRule="exact"/>
        <w:rPr>
          <w:sz w:val="20"/>
          <w:szCs w:val="20"/>
          <w:color w:val="auto"/>
        </w:rPr>
      </w:pPr>
    </w:p>
    <w:p>
      <w:pPr>
        <w:ind w:left="220" w:right="339" w:firstLine="345"/>
        <w:spacing w:after="0" w:line="282" w:lineRule="auto"/>
        <w:tabs>
          <w:tab w:leader="none" w:pos="702"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Capitalized terms defined in the Lease which are used in this Amendment shall have the same meaning as in the Lease, except as otherwise provided in this Amendment.</w:t>
      </w:r>
    </w:p>
    <w:p>
      <w:pPr>
        <w:spacing w:after="0" w:line="41" w:lineRule="exact"/>
        <w:rPr>
          <w:rFonts w:ascii="Times New Roman" w:cs="Times New Roman" w:eastAsia="Times New Roman" w:hAnsi="Times New Roman"/>
          <w:sz w:val="14"/>
          <w:szCs w:val="14"/>
          <w:color w:val="auto"/>
        </w:rPr>
      </w:pPr>
    </w:p>
    <w:p>
      <w:pPr>
        <w:ind w:left="220" w:right="239" w:firstLine="345"/>
        <w:spacing w:after="0" w:line="258" w:lineRule="auto"/>
        <w:tabs>
          <w:tab w:leader="none" w:pos="702"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Allowance</w:t>
      </w:r>
      <w:r>
        <w:rPr>
          <w:rFonts w:ascii="Times New Roman" w:cs="Times New Roman" w:eastAsia="Times New Roman" w:hAnsi="Times New Roman"/>
          <w:sz w:val="14"/>
          <w:szCs w:val="14"/>
          <w:color w:val="auto"/>
        </w:rPr>
        <w:t xml:space="preserve">. Pursuant to </w:t>
      </w:r>
      <w:r>
        <w:rPr>
          <w:rFonts w:ascii="Times New Roman" w:cs="Times New Roman" w:eastAsia="Times New Roman" w:hAnsi="Times New Roman"/>
          <w:sz w:val="14"/>
          <w:szCs w:val="14"/>
          <w:u w:val="single" w:color="auto"/>
          <w:color w:val="auto"/>
        </w:rPr>
        <w:t>Section 5(c)</w:t>
      </w:r>
      <w:r>
        <w:rPr>
          <w:rFonts w:ascii="Times New Roman" w:cs="Times New Roman" w:eastAsia="Times New Roman" w:hAnsi="Times New Roman"/>
          <w:sz w:val="14"/>
          <w:szCs w:val="14"/>
          <w:color w:val="auto"/>
        </w:rPr>
        <w:t xml:space="preserve"> of the Work Letter attached to the Lease, Tenant has exercised its option use a portion of the Additional Allowance to increase the Tenant Improvement Allowance by an additional Five Hundred Seventy-Two Thousand Eight Hundred Eighty-One and 65/100 Dollars ($572,881.65) (such portion referred to as the “</w:t>
      </w:r>
      <w:r>
        <w:rPr>
          <w:rFonts w:ascii="Times New Roman" w:cs="Times New Roman" w:eastAsia="Times New Roman" w:hAnsi="Times New Roman"/>
          <w:sz w:val="14"/>
          <w:szCs w:val="14"/>
          <w:b w:val="1"/>
          <w:bCs w:val="1"/>
          <w:color w:val="auto"/>
        </w:rPr>
        <w:t>Increased Allowance</w:t>
      </w:r>
      <w:r>
        <w:rPr>
          <w:rFonts w:ascii="Times New Roman" w:cs="Times New Roman" w:eastAsia="Times New Roman" w:hAnsi="Times New Roman"/>
          <w:sz w:val="14"/>
          <w:szCs w:val="14"/>
          <w:color w:val="auto"/>
        </w:rPr>
        <w:t>”) to be used for the costs reasonably relating to the design and construction of the Tenant Improvements. The Increased Allowance shall be disbursed in accordance with the terms and conditions pertaining to the Tenant Improvement Allowance as set forth in the Lease.</w:t>
      </w:r>
    </w:p>
    <w:p>
      <w:pPr>
        <w:spacing w:after="0" w:line="58" w:lineRule="exact"/>
        <w:rPr>
          <w:rFonts w:ascii="Times New Roman" w:cs="Times New Roman" w:eastAsia="Times New Roman" w:hAnsi="Times New Roman"/>
          <w:sz w:val="14"/>
          <w:szCs w:val="14"/>
          <w:color w:val="auto"/>
        </w:rPr>
      </w:pPr>
    </w:p>
    <w:p>
      <w:pPr>
        <w:ind w:left="220" w:right="299" w:firstLine="345"/>
        <w:spacing w:after="0" w:line="261" w:lineRule="auto"/>
        <w:tabs>
          <w:tab w:leader="none" w:pos="702"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Rent</w:t>
      </w:r>
      <w:r>
        <w:rPr>
          <w:rFonts w:ascii="Times New Roman" w:cs="Times New Roman" w:eastAsia="Times New Roman" w:hAnsi="Times New Roman"/>
          <w:sz w:val="14"/>
          <w:szCs w:val="14"/>
          <w:color w:val="auto"/>
        </w:rPr>
        <w:t xml:space="preserve">. Pursuant to the terms of the Lease, the Increased Allowance shall be amortized into the Monthly Base Rent at nine percent (9%) per annum over the Term. Accordingly, effective as of October 1, 2023, the Monthly Base Rent shall be increased by an amount equal to Seven Thousand Three Hundred Seventy-Two and 17/100 Dollars ($7,372.17), and the Base Rent chart set forth in </w:t>
      </w:r>
      <w:r>
        <w:rPr>
          <w:rFonts w:ascii="Times New Roman" w:cs="Times New Roman" w:eastAsia="Times New Roman" w:hAnsi="Times New Roman"/>
          <w:sz w:val="14"/>
          <w:szCs w:val="14"/>
          <w:u w:val="single" w:color="auto"/>
          <w:color w:val="auto"/>
        </w:rPr>
        <w:t>Paragraph 4(a)</w:t>
      </w:r>
      <w:r>
        <w:rPr>
          <w:rFonts w:ascii="Times New Roman" w:cs="Times New Roman" w:eastAsia="Times New Roman" w:hAnsi="Times New Roman"/>
          <w:sz w:val="14"/>
          <w:szCs w:val="14"/>
          <w:color w:val="auto"/>
        </w:rPr>
        <w:t xml:space="preserve"> of the Lease is hereby revised and replaced with the following Base Rent chart below:</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Months</w:t>
            </w:r>
          </w:p>
        </w:tc>
        <w:tc>
          <w:tcPr>
            <w:tcW w:w="640" w:type="dxa"/>
            <w:vAlign w:val="bottom"/>
          </w:tcPr>
          <w:p>
            <w:pPr>
              <w:spacing w:after="0"/>
              <w:rPr>
                <w:sz w:val="11"/>
                <w:szCs w:val="11"/>
                <w:color w:val="auto"/>
              </w:rPr>
            </w:pPr>
          </w:p>
        </w:tc>
        <w:tc>
          <w:tcPr>
            <w:tcW w:w="1460" w:type="dxa"/>
            <w:vAlign w:val="bottom"/>
            <w:vMerge w:val="restart"/>
          </w:tcPr>
          <w:p>
            <w:pPr>
              <w:jc w:val="right"/>
              <w:ind w:right="417"/>
              <w:spacing w:after="0"/>
              <w:rPr>
                <w:sz w:val="20"/>
                <w:szCs w:val="20"/>
                <w:color w:val="auto"/>
              </w:rPr>
            </w:pPr>
            <w:r>
              <w:rPr>
                <w:rFonts w:ascii="Times New Roman" w:cs="Times New Roman" w:eastAsia="Times New Roman" w:hAnsi="Times New Roman"/>
                <w:sz w:val="11"/>
                <w:szCs w:val="11"/>
                <w:color w:val="auto"/>
              </w:rPr>
              <w:t>Square Feet</w:t>
            </w:r>
          </w:p>
        </w:tc>
        <w:tc>
          <w:tcPr>
            <w:tcW w:w="80" w:type="dxa"/>
            <w:vAlign w:val="bottom"/>
          </w:tcPr>
          <w:p>
            <w:pPr>
              <w:spacing w:after="0"/>
              <w:rPr>
                <w:sz w:val="11"/>
                <w:szCs w:val="11"/>
                <w:color w:val="auto"/>
              </w:rPr>
            </w:pPr>
          </w:p>
        </w:tc>
        <w:tc>
          <w:tcPr>
            <w:tcW w:w="144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color w:val="auto"/>
              </w:rPr>
              <w:t>$/SF/Mo./NNN</w:t>
            </w:r>
          </w:p>
        </w:tc>
        <w:tc>
          <w:tcPr>
            <w:tcW w:w="80" w:type="dxa"/>
            <w:vAlign w:val="bottom"/>
          </w:tcPr>
          <w:p>
            <w:pPr>
              <w:spacing w:after="0"/>
              <w:rPr>
                <w:sz w:val="11"/>
                <w:szCs w:val="1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Monthly Base</w:t>
            </w:r>
          </w:p>
        </w:tc>
        <w:tc>
          <w:tcPr>
            <w:tcW w:w="80" w:type="dxa"/>
            <w:vAlign w:val="bottom"/>
          </w:tcPr>
          <w:p>
            <w:pPr>
              <w:spacing w:after="0"/>
              <w:rPr>
                <w:sz w:val="11"/>
                <w:szCs w:val="11"/>
                <w:color w:val="auto"/>
              </w:rPr>
            </w:pP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1"/>
                <w:szCs w:val="11"/>
                <w:color w:val="auto"/>
              </w:rPr>
              <w:t>$/SF/Mo./NNN</w:t>
            </w:r>
          </w:p>
        </w:tc>
        <w:tc>
          <w:tcPr>
            <w:tcW w:w="0" w:type="dxa"/>
            <w:vAlign w:val="bottom"/>
          </w:tcPr>
          <w:p>
            <w:pPr>
              <w:spacing w:after="0"/>
              <w:rPr>
                <w:sz w:val="1"/>
                <w:szCs w:val="1"/>
                <w:color w:val="auto"/>
              </w:rPr>
            </w:pPr>
          </w:p>
        </w:tc>
      </w:tr>
      <w:tr>
        <w:trPr>
          <w:trHeight w:val="143"/>
        </w:trPr>
        <w:tc>
          <w:tcPr>
            <w:tcW w:w="18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Rent</w:t>
            </w:r>
          </w:p>
        </w:tc>
        <w:tc>
          <w:tcPr>
            <w:tcW w:w="80" w:type="dxa"/>
            <w:vAlign w:val="bottom"/>
          </w:tcPr>
          <w:p>
            <w:pPr>
              <w:spacing w:after="0"/>
              <w:rPr>
                <w:sz w:val="12"/>
                <w:szCs w:val="12"/>
                <w:color w:val="auto"/>
              </w:rPr>
            </w:pP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1"/>
                <w:szCs w:val="11"/>
                <w:color w:val="auto"/>
              </w:rPr>
              <w:t>With ATIA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1-8*</w:t>
            </w:r>
          </w:p>
        </w:tc>
        <w:tc>
          <w:tcPr>
            <w:tcW w:w="640" w:type="dxa"/>
            <w:vAlign w:val="bottom"/>
          </w:tcPr>
          <w:p>
            <w:pPr>
              <w:spacing w:after="0"/>
              <w:rPr>
                <w:sz w:val="12"/>
                <w:szCs w:val="12"/>
                <w:color w:val="auto"/>
              </w:rPr>
            </w:pPr>
          </w:p>
        </w:tc>
        <w:tc>
          <w:tcPr>
            <w:tcW w:w="1460" w:type="dxa"/>
            <w:vAlign w:val="bottom"/>
            <w:tcBorders>
              <w:top w:val="single" w:sz="8" w:color="auto"/>
            </w:tcBorders>
          </w:tcPr>
          <w:p>
            <w:pPr>
              <w:jc w:val="right"/>
              <w:ind w:right="1017"/>
              <w:spacing w:after="0" w:line="144" w:lineRule="exact"/>
              <w:rPr>
                <w:sz w:val="20"/>
                <w:szCs w:val="20"/>
                <w:color w:val="auto"/>
              </w:rPr>
            </w:pPr>
            <w:r>
              <w:rPr>
                <w:rFonts w:ascii="Times New Roman" w:cs="Times New Roman" w:eastAsia="Times New Roman" w:hAnsi="Times New Roman"/>
                <w:sz w:val="14"/>
                <w:szCs w:val="14"/>
                <w:color w:val="auto"/>
                <w:w w:val="93"/>
              </w:rPr>
              <w:t>22,500</w:t>
            </w:r>
          </w:p>
        </w:tc>
        <w:tc>
          <w:tcPr>
            <w:tcW w:w="80" w:type="dxa"/>
            <w:vAlign w:val="bottom"/>
          </w:tcPr>
          <w:p>
            <w:pPr>
              <w:spacing w:after="0"/>
              <w:rPr>
                <w:sz w:val="12"/>
                <w:szCs w:val="12"/>
                <w:color w:val="auto"/>
              </w:rPr>
            </w:pPr>
          </w:p>
        </w:tc>
        <w:tc>
          <w:tcPr>
            <w:tcW w:w="1440" w:type="dxa"/>
            <w:vAlign w:val="bottom"/>
            <w:tcBorders>
              <w:top w:val="single" w:sz="8" w:color="auto"/>
            </w:tcBorders>
          </w:tcPr>
          <w:p>
            <w:pPr>
              <w:jc w:val="right"/>
              <w:ind w:right="1077"/>
              <w:spacing w:after="0" w:line="144" w:lineRule="exact"/>
              <w:rPr>
                <w:sz w:val="20"/>
                <w:szCs w:val="20"/>
                <w:color w:val="auto"/>
              </w:rPr>
            </w:pPr>
            <w:r>
              <w:rPr>
                <w:rFonts w:ascii="Times New Roman" w:cs="Times New Roman" w:eastAsia="Times New Roman" w:hAnsi="Times New Roman"/>
                <w:sz w:val="14"/>
                <w:szCs w:val="14"/>
                <w:color w:val="auto"/>
                <w:w w:val="88"/>
              </w:rPr>
              <w:t>$4.95</w:t>
            </w:r>
          </w:p>
        </w:tc>
        <w:tc>
          <w:tcPr>
            <w:tcW w:w="80" w:type="dxa"/>
            <w:vAlign w:val="bottom"/>
          </w:tcPr>
          <w:p>
            <w:pPr>
              <w:spacing w:after="0"/>
              <w:rPr>
                <w:sz w:val="12"/>
                <w:szCs w:val="12"/>
                <w:color w:val="auto"/>
              </w:rPr>
            </w:pPr>
          </w:p>
        </w:tc>
        <w:tc>
          <w:tcPr>
            <w:tcW w:w="14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$111,375.00</w:t>
            </w:r>
          </w:p>
        </w:tc>
        <w:tc>
          <w:tcPr>
            <w:tcW w:w="80" w:type="dxa"/>
            <w:vAlign w:val="bottom"/>
          </w:tcPr>
          <w:p>
            <w:pPr>
              <w:spacing w:after="0"/>
              <w:rPr>
                <w:sz w:val="12"/>
                <w:szCs w:val="12"/>
                <w:color w:val="auto"/>
              </w:rPr>
            </w:pPr>
          </w:p>
        </w:tc>
        <w:tc>
          <w:tcPr>
            <w:tcW w:w="1540" w:type="dxa"/>
            <w:vAlign w:val="bottom"/>
            <w:tcBorders>
              <w:top w:val="single" w:sz="8" w:color="auto"/>
            </w:tcBorders>
          </w:tcPr>
          <w:p>
            <w:pPr>
              <w:jc w:val="right"/>
              <w:ind w:right="1179"/>
              <w:spacing w:after="0" w:line="144" w:lineRule="exact"/>
              <w:rPr>
                <w:sz w:val="20"/>
                <w:szCs w:val="20"/>
                <w:color w:val="auto"/>
              </w:rPr>
            </w:pPr>
            <w:r>
              <w:rPr>
                <w:rFonts w:ascii="Times New Roman" w:cs="Times New Roman" w:eastAsia="Times New Roman" w:hAnsi="Times New Roman"/>
                <w:sz w:val="14"/>
                <w:szCs w:val="14"/>
                <w:color w:val="auto"/>
                <w:w w:val="88"/>
              </w:rPr>
              <w:t>$4.95</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45,000</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$4.95</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$222,750.00</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10-12*</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45,000</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$4.95</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$230,122.17</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13-24</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$5.12</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$468,305.85</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25-36</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$5.30</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$484,438.53</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37-48</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$5.49</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$501,135.85</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49-60</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$5.68</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$518,417.58</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61-72</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$5.88</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$536,304.17</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73-84</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$6.08</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$554,816.79</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85-96</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$6.30</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$573,977.35</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97-108</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$6.52</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$593,808.53</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6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109-120</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$6.75</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$614,333.80</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83"/>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121-126</w:t>
            </w:r>
          </w:p>
        </w:tc>
        <w:tc>
          <w:tcPr>
            <w:tcW w:w="2100" w:type="dxa"/>
            <w:vAlign w:val="bottom"/>
            <w:gridSpan w:val="2"/>
          </w:tcPr>
          <w:p>
            <w:pPr>
              <w:jc w:val="right"/>
              <w:ind w:right="1017"/>
              <w:spacing w:after="0"/>
              <w:rPr>
                <w:sz w:val="20"/>
                <w:szCs w:val="20"/>
                <w:color w:val="auto"/>
              </w:rPr>
            </w:pPr>
            <w:r>
              <w:rPr>
                <w:rFonts w:ascii="Times New Roman" w:cs="Times New Roman" w:eastAsia="Times New Roman" w:hAnsi="Times New Roman"/>
                <w:sz w:val="14"/>
                <w:szCs w:val="14"/>
                <w:color w:val="auto"/>
              </w:rPr>
              <w:t>89,969</w:t>
            </w:r>
          </w:p>
        </w:tc>
        <w:tc>
          <w:tcPr>
            <w:tcW w:w="1520" w:type="dxa"/>
            <w:vAlign w:val="bottom"/>
            <w:gridSpan w:val="2"/>
          </w:tcPr>
          <w:p>
            <w:pPr>
              <w:jc w:val="right"/>
              <w:ind w:right="1077"/>
              <w:spacing w:after="0"/>
              <w:rPr>
                <w:sz w:val="20"/>
                <w:szCs w:val="20"/>
                <w:color w:val="auto"/>
              </w:rPr>
            </w:pPr>
            <w:r>
              <w:rPr>
                <w:rFonts w:ascii="Times New Roman" w:cs="Times New Roman" w:eastAsia="Times New Roman" w:hAnsi="Times New Roman"/>
                <w:sz w:val="14"/>
                <w:szCs w:val="14"/>
                <w:color w:val="auto"/>
              </w:rPr>
              <w:t>$6.98</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$635,577.46</w:t>
            </w:r>
          </w:p>
        </w:tc>
        <w:tc>
          <w:tcPr>
            <w:tcW w:w="162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gridSpan w:val="2"/>
          </w:tcPr>
          <w:p>
            <w:pPr>
              <w:jc w:val="right"/>
              <w:ind w:right="1037"/>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671" w:name="page672"/>
    <w:bookmarkEnd w:id="671"/>
    <w:p>
      <w:pPr>
        <w:ind w:left="220" w:right="2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Monthly Base Rent shall be increased to include repayment of the Increased Allowance as provided herein; provided, that, notwithstanding anything to the contrary contained herein, any portion of the Monthly Base Rent that consists of such repayment of the Increased Allowance shall not be subject to abatement for any reason whatsoever, even if other Monthly Base Rent is subject to abatement, it being the specific intent of the Parties that such repayment of the Increased Allowance be made by Tenant in full and without any abatement.</w:t>
      </w:r>
    </w:p>
    <w:p>
      <w:pPr>
        <w:spacing w:after="0" w:line="55" w:lineRule="exact"/>
        <w:rPr>
          <w:sz w:val="20"/>
          <w:szCs w:val="20"/>
          <w:color w:val="auto"/>
        </w:rPr>
      </w:pPr>
    </w:p>
    <w:p>
      <w:pPr>
        <w:ind w:left="220" w:right="239" w:firstLine="345"/>
        <w:spacing w:after="0" w:line="276" w:lineRule="auto"/>
        <w:tabs>
          <w:tab w:leader="none" w:pos="702" w:val="left"/>
        </w:tabs>
        <w:numPr>
          <w:ilvl w:val="0"/>
          <w:numId w:val="4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Remaining Balance of Additional Allowance</w:t>
      </w:r>
      <w:r>
        <w:rPr>
          <w:rFonts w:ascii="Times New Roman" w:cs="Times New Roman" w:eastAsia="Times New Roman" w:hAnsi="Times New Roman"/>
          <w:sz w:val="13"/>
          <w:szCs w:val="13"/>
          <w:color w:val="auto"/>
        </w:rPr>
        <w:t>. Section 5(c) of the Work Letter attached to the Lease is hereby revised to provide that Tenant may use all or any portion of the remaining balance of the Additional Allowance, such balance equal to the amount of Three Million Four Hundred Seventy-Seven Thousand One Hundred Eighteen and 35/100 Dollars ($3,477,118.35) (the “</w:t>
      </w:r>
      <w:r>
        <w:rPr>
          <w:rFonts w:ascii="Times New Roman" w:cs="Times New Roman" w:eastAsia="Times New Roman" w:hAnsi="Times New Roman"/>
          <w:sz w:val="13"/>
          <w:szCs w:val="13"/>
          <w:b w:val="1"/>
          <w:bCs w:val="1"/>
          <w:color w:val="auto"/>
        </w:rPr>
        <w:t>Remaining Balance</w:t>
      </w:r>
      <w:r>
        <w:rPr>
          <w:rFonts w:ascii="Times New Roman" w:cs="Times New Roman" w:eastAsia="Times New Roman" w:hAnsi="Times New Roman"/>
          <w:sz w:val="13"/>
          <w:szCs w:val="13"/>
          <w:color w:val="auto"/>
        </w:rPr>
        <w:t xml:space="preserve">”) for the costs reasonably relating to the design and construction of Alterations done in accordance with the terms and conditions set forth in </w:t>
      </w:r>
      <w:r>
        <w:rPr>
          <w:rFonts w:ascii="Times New Roman" w:cs="Times New Roman" w:eastAsia="Times New Roman" w:hAnsi="Times New Roman"/>
          <w:sz w:val="13"/>
          <w:szCs w:val="13"/>
          <w:u w:val="single" w:color="auto"/>
          <w:color w:val="auto"/>
        </w:rPr>
        <w:t>Paragraph 14(d)</w:t>
      </w:r>
      <w:r>
        <w:rPr>
          <w:rFonts w:ascii="Times New Roman" w:cs="Times New Roman" w:eastAsia="Times New Roman" w:hAnsi="Times New Roman"/>
          <w:sz w:val="13"/>
          <w:szCs w:val="13"/>
          <w:color w:val="auto"/>
        </w:rPr>
        <w:t xml:space="preserve"> of the Lease following completion of the Tenant Improvements. Any portion of the Remaining Allowance used by Tenant shall be amortized into the Monthly Base Rent at nine percent (9%) per annum over the Term commencing on the Commencement Date and shall be memorialized through an amendment to the Lease. If any portion of the Remaining Balance is not used by Tenant prior to December 7, 2024, such portion shall be deemed waived with no further obligation by Landlord with respect thereto. In no event shall Landlord be obligated to make disbursements in a total amount that exceeds the Remaining Balance and in no event shall Tenant be entitled to any abatement, credit, deduction, offset or other reduction against Rent for any unused portion of the Remaining Balance.</w:t>
      </w:r>
    </w:p>
    <w:p>
      <w:pPr>
        <w:spacing w:after="0" w:line="47" w:lineRule="exact"/>
        <w:rPr>
          <w:rFonts w:ascii="Times New Roman" w:cs="Times New Roman" w:eastAsia="Times New Roman" w:hAnsi="Times New Roman"/>
          <w:sz w:val="13"/>
          <w:szCs w:val="13"/>
          <w:color w:val="auto"/>
        </w:rPr>
      </w:pPr>
    </w:p>
    <w:p>
      <w:pPr>
        <w:ind w:left="220" w:right="359" w:firstLine="345"/>
        <w:spacing w:after="0" w:line="280" w:lineRule="auto"/>
        <w:tabs>
          <w:tab w:leader="none" w:pos="702" w:val="left"/>
        </w:tabs>
        <w:numPr>
          <w:ilvl w:val="0"/>
          <w:numId w:val="4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Civil Code Section 1938 Disclosure</w:t>
      </w:r>
      <w:r>
        <w:rPr>
          <w:rFonts w:ascii="Times New Roman" w:cs="Times New Roman" w:eastAsia="Times New Roman" w:hAnsi="Times New Roman"/>
          <w:sz w:val="13"/>
          <w:szCs w:val="13"/>
          <w:color w:val="auto"/>
        </w:rPr>
        <w:t xml:space="preserve">. For purposes of Section 1938(a) of the California Civil Code, Landlord hereby discloses to Tenant, and Tenant hereby acknowledges, that neither the Building nor the Premises has undergone inspection by a Certified Access Specialist (CASp) (defined by California Civil Code Section 55.52). Pursuant to California Civil Code Section 1938, Tenant is hereby notified that a CASp can inspect the Premises and determine whether the Premises complies with all of the applicable construction-related accessibility standards under state law. Although state law does not require a CASp inspection of the Premises, Landlord may not prohibit Tenant from obtaining a CASp inspection of the Premises for the occupancy of the Tenant, if requested by Tenant. If Tenant desires a CASp inspection, the terms of </w:t>
      </w:r>
      <w:r>
        <w:rPr>
          <w:rFonts w:ascii="Times New Roman" w:cs="Times New Roman" w:eastAsia="Times New Roman" w:hAnsi="Times New Roman"/>
          <w:sz w:val="13"/>
          <w:szCs w:val="13"/>
          <w:u w:val="single" w:color="auto"/>
          <w:color w:val="auto"/>
        </w:rPr>
        <w:t>Paragraph 14(k)</w:t>
      </w:r>
      <w:r>
        <w:rPr>
          <w:rFonts w:ascii="Times New Roman" w:cs="Times New Roman" w:eastAsia="Times New Roman" w:hAnsi="Times New Roman"/>
          <w:sz w:val="13"/>
          <w:szCs w:val="13"/>
          <w:color w:val="auto"/>
        </w:rPr>
        <w:t xml:space="preserve"> of the Lease shall apply.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672" w:name="page673"/>
    <w:bookmarkEnd w:id="672"/>
    <w:p>
      <w:pPr>
        <w:ind w:left="220" w:right="279" w:firstLine="345"/>
        <w:spacing w:after="0" w:line="256" w:lineRule="auto"/>
        <w:tabs>
          <w:tab w:leader="none" w:pos="70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OFAC List Representation</w:t>
      </w:r>
      <w:r>
        <w:rPr>
          <w:rFonts w:ascii="Times New Roman" w:cs="Times New Roman" w:eastAsia="Times New Roman" w:hAnsi="Times New Roman"/>
          <w:sz w:val="14"/>
          <w:szCs w:val="14"/>
          <w:color w:val="auto"/>
        </w:rPr>
        <w:t>. Tenant hereby represents and warrants to Landlord that neither Tenant nor any of its officers, directors, shareholders, partners, members or affiliates is or will be an entity or person: (i) that is listed in the annex to, or is otherwise subject to the provisions of, Executive Order 13224 issued on September 24, 2001 (“</w:t>
      </w:r>
      <w:r>
        <w:rPr>
          <w:rFonts w:ascii="Times New Roman" w:cs="Times New Roman" w:eastAsia="Times New Roman" w:hAnsi="Times New Roman"/>
          <w:sz w:val="14"/>
          <w:szCs w:val="14"/>
          <w:b w:val="1"/>
          <w:bCs w:val="1"/>
          <w:color w:val="auto"/>
        </w:rPr>
        <w:t>EO 13224</w:t>
      </w:r>
      <w:r>
        <w:rPr>
          <w:rFonts w:ascii="Times New Roman" w:cs="Times New Roman" w:eastAsia="Times New Roman" w:hAnsi="Times New Roman"/>
          <w:sz w:val="14"/>
          <w:szCs w:val="14"/>
          <w:color w:val="auto"/>
        </w:rPr>
        <w:t>”); (ii) whose name appears on the United States Treasury Department’s Office of Foreign Assets Control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most current list of “Specifically Designated National and Blocked Persons” (which list may be published from time to time in various mediums including, but not limited to, the OFAC website, http:www.treas.gov/ofac/t11sdn.pdf); (iii) who commits, threatens to commit or supports “terrorism,” as that term is defined in EO 13224; or (iv) who is otherwise affiliated with any entity or person listed above.</w:t>
      </w:r>
    </w:p>
    <w:p>
      <w:pPr>
        <w:spacing w:after="0" w:line="60"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0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Continuing Effect; Conflicts</w:t>
      </w:r>
      <w:r>
        <w:rPr>
          <w:rFonts w:ascii="Times New Roman" w:cs="Times New Roman" w:eastAsia="Times New Roman" w:hAnsi="Times New Roman"/>
          <w:sz w:val="14"/>
          <w:szCs w:val="14"/>
          <w:color w:val="auto"/>
        </w:rPr>
        <w:t>. All of the terms and conditions of the Lease shall remain in full force and effect, as the Lease is amended by this Amendment. If any provision of this Amendment conflicts with the Lease, the provisions of this Amendment shall control.</w:t>
      </w:r>
    </w:p>
    <w:p>
      <w:pPr>
        <w:spacing w:after="0" w:line="41" w:lineRule="exact"/>
        <w:rPr>
          <w:rFonts w:ascii="Times New Roman" w:cs="Times New Roman" w:eastAsia="Times New Roman" w:hAnsi="Times New Roman"/>
          <w:sz w:val="14"/>
          <w:szCs w:val="14"/>
          <w:color w:val="auto"/>
        </w:rPr>
      </w:pPr>
    </w:p>
    <w:p>
      <w:pPr>
        <w:jc w:val="both"/>
        <w:ind w:left="220" w:right="239" w:firstLine="345"/>
        <w:spacing w:after="0" w:line="266" w:lineRule="auto"/>
        <w:tabs>
          <w:tab w:leader="none" w:pos="70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Warranty of Authority</w:t>
      </w:r>
      <w:r>
        <w:rPr>
          <w:rFonts w:ascii="Times New Roman" w:cs="Times New Roman" w:eastAsia="Times New Roman" w:hAnsi="Times New Roman"/>
          <w:sz w:val="14"/>
          <w:szCs w:val="14"/>
          <w:color w:val="auto"/>
        </w:rPr>
        <w:t>. Each party represents and warrants to the other that the person signing this Amendment is duly and validly authorized to do so on behalf of the entity it purports to so bind, and if such party is a limited liability company or a corporation, that such limited liability company or corporation has full right and authority to enter into this Amendment and to perform all of its obligations hereunder.</w:t>
      </w:r>
    </w:p>
    <w:p>
      <w:pPr>
        <w:spacing w:after="0" w:line="52" w:lineRule="exact"/>
        <w:rPr>
          <w:rFonts w:ascii="Times New Roman" w:cs="Times New Roman" w:eastAsia="Times New Roman" w:hAnsi="Times New Roman"/>
          <w:sz w:val="14"/>
          <w:szCs w:val="14"/>
          <w:color w:val="auto"/>
        </w:rPr>
      </w:pPr>
    </w:p>
    <w:p>
      <w:pPr>
        <w:ind w:left="220" w:right="259" w:firstLine="345"/>
        <w:spacing w:after="0" w:line="261" w:lineRule="auto"/>
        <w:tabs>
          <w:tab w:leader="none" w:pos="70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The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the Lease, even if such communications are signed, does not constitute a signed electronic record agreeing to such an amendment.</w:t>
      </w:r>
    </w:p>
    <w:p>
      <w:pPr>
        <w:spacing w:after="0" w:line="55"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7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 No binding agreement between the parties pursuant hereto shall arise or become effective until this Amendment has been duly executed by both Tenant and Landlord and a fully executed copy of this Amendment has been delivered to both Tenant and Landlord.</w:t>
      </w:r>
    </w:p>
    <w:p>
      <w:pPr>
        <w:spacing w:after="0" w:line="41"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67"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Electronic Signatures</w:t>
      </w:r>
      <w:r>
        <w:rPr>
          <w:rFonts w:ascii="Times New Roman" w:cs="Times New Roman" w:eastAsia="Times New Roman" w:hAnsi="Times New Roman"/>
          <w:sz w:val="14"/>
          <w:szCs w:val="14"/>
          <w:color w:val="auto"/>
        </w:rPr>
        <w:t>. This Amendment may be executed in counterparts, including both counterparts that are executed on paper and counterparts that are in the form of electronic records and are executed electronically. An electronic signature means any electronic sound, symbol or process attached to or logically associated with a record and executed and adopted by a party with the intent to sign such record, including facsimile or e mail electronic signatures. All executed counterparts shall constitute one agreement, and each counterpart shall be deemed an original. The parties hereby acknowledge and agree that electronic records and electronic signatures, as well as facsimile signatures, may be used in connection with the execution of this Amendment and electronic signatures, facsimile signatures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673" w:name="page674"/>
    <w:bookmarkEnd w:id="673"/>
    <w:p>
      <w:pPr>
        <w:ind w:left="220" w:right="35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or signatures transmitted by electronic mail in so-called pdf format shall be legal and binding and shall have the same full force and effect as if a paper original of the Lease had been delivered and signed using a handwritten signature. Landlord and Tenant (i) agree that an electronic signature, whether digital or encrypted, of a party to this Amendment is intended to authenticate this writing and to have the same force and effect as a manual signature,</w:t>
      </w:r>
    </w:p>
    <w:p>
      <w:pPr>
        <w:spacing w:after="0" w:line="1" w:lineRule="exact"/>
        <w:rPr>
          <w:sz w:val="20"/>
          <w:szCs w:val="20"/>
          <w:color w:val="auto"/>
        </w:rPr>
      </w:pPr>
    </w:p>
    <w:p>
      <w:pPr>
        <w:ind w:left="220" w:right="459" w:firstLine="3"/>
        <w:spacing w:after="0" w:line="252" w:lineRule="auto"/>
        <w:tabs>
          <w:tab w:leader="none" w:pos="426"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 to be bound by the signatures (whether original, faxed or electronic) on any document sent or delivered by facsimile, or electronic mail, or other electronic means, (iii) are aware that the other party will rely on such signatures, and (iv) hereby waive any defenses to the enforcement of the terms of the Lease based on the foregoing forms of signature. If this Amendment has been executed by electronic signature, all parties executing this document are expressly consenting under the Electronic Signatures in Global and National Commerce Act (“</w:t>
      </w:r>
      <w:r>
        <w:rPr>
          <w:rFonts w:ascii="Times New Roman" w:cs="Times New Roman" w:eastAsia="Times New Roman" w:hAnsi="Times New Roman"/>
          <w:sz w:val="14"/>
          <w:szCs w:val="14"/>
          <w:b w:val="1"/>
          <w:bCs w:val="1"/>
          <w:color w:val="auto"/>
        </w:rPr>
        <w:t>E-SIGN</w:t>
      </w:r>
      <w:r>
        <w:rPr>
          <w:rFonts w:ascii="Times New Roman" w:cs="Times New Roman" w:eastAsia="Times New Roman" w:hAnsi="Times New Roman"/>
          <w:sz w:val="14"/>
          <w:szCs w:val="14"/>
          <w:color w:val="auto"/>
        </w:rPr>
        <w:t>”), and Uniform Electronic Transactions Act (“</w:t>
      </w:r>
      <w:r>
        <w:rPr>
          <w:rFonts w:ascii="Times New Roman" w:cs="Times New Roman" w:eastAsia="Times New Roman" w:hAnsi="Times New Roman"/>
          <w:sz w:val="14"/>
          <w:szCs w:val="14"/>
          <w:b w:val="1"/>
          <w:bCs w:val="1"/>
          <w:color w:val="auto"/>
        </w:rPr>
        <w:t>UETA</w:t>
      </w:r>
      <w:r>
        <w:rPr>
          <w:rFonts w:ascii="Times New Roman" w:cs="Times New Roman" w:eastAsia="Times New Roman" w:hAnsi="Times New Roman"/>
          <w:sz w:val="14"/>
          <w:szCs w:val="14"/>
          <w:color w:val="auto"/>
        </w:rPr>
        <w:t>”), that a signature by fax, email or other electronic means shall constitute an Electronic Signature to an Electronic Record under both E-SIGN and UETA with respect to this specific transaction.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674" w:name="page675"/>
    <w:bookmarkEnd w:id="674"/>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Landlord and Tenant have duly executed this Amendment as of the date first set forth above.</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13970</wp:posOffset>
            </wp:positionV>
            <wp:extent cx="1951990" cy="63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951990"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  CEO</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WHIPPLE ROAD PORTFOLIO, LLC,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limited liability company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HSRE-TARLTON III, its sole member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TPI INVESTORS 19, a member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TARLTON PROPERTIES, INC., its manager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Elizabeth Krietemeyer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1991995" cy="635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Elizabeth Krietemeyer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Senior Vice President</w:t>
      </w:r>
    </w:p>
    <w:p>
      <w:pPr>
        <w:sectPr>
          <w:pgSz w:w="11900" w:h="16838" w:orient="portrait"/>
          <w:cols w:equalWidth="0" w:num="1">
            <w:col w:w="9019"/>
          </w:cols>
          <w:pgMar w:left="1440" w:top="240" w:right="1440" w:bottom="1440" w:gutter="0" w:footer="0" w:header="0"/>
        </w:sectPr>
      </w:pPr>
    </w:p>
    <w:bookmarkStart w:id="675" w:name="page676"/>
    <w:bookmarkEnd w:id="675"/>
    <w:tbl>
      <w:tblPr>
        <w:tblLayout w:type="fixed"/>
        <w:tblInd w:w="220" w:type="dxa"/>
        <w:tblCellMar>
          <w:top w:w="0" w:type="dxa"/>
          <w:left w:w="0" w:type="dxa"/>
          <w:bottom w:w="0" w:type="dxa"/>
          <w:right w:w="0" w:type="dxa"/>
        </w:tblCellMar>
      </w:tblPr>
      <w:tr>
        <w:trPr>
          <w:trHeight w:val="185"/>
        </w:trPr>
        <w:tc>
          <w:tcPr>
            <w:tcW w:w="18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w w:val="96"/>
              </w:rPr>
              <w:t>Exhibit 10.5</w:t>
            </w:r>
          </w:p>
        </w:tc>
      </w:tr>
      <w:tr>
        <w:trPr>
          <w:trHeight w:val="504"/>
        </w:trPr>
        <w:tc>
          <w:tcPr>
            <w:tcW w:w="1860" w:type="dxa"/>
            <w:vAlign w:val="bottom"/>
          </w:tcPr>
          <w:p>
            <w:pPr>
              <w:spacing w:after="0"/>
              <w:rPr>
                <w:sz w:val="24"/>
                <w:szCs w:val="24"/>
                <w:color w:val="auto"/>
              </w:rPr>
            </w:pPr>
          </w:p>
        </w:tc>
        <w:tc>
          <w:tcPr>
            <w:tcW w:w="6700" w:type="dxa"/>
            <w:vAlign w:val="bottom"/>
            <w:gridSpan w:val="5"/>
          </w:tcPr>
          <w:p>
            <w:pPr>
              <w:jc w:val="center"/>
              <w:ind w:right="1790"/>
              <w:spacing w:after="0"/>
              <w:rPr>
                <w:sz w:val="20"/>
                <w:szCs w:val="20"/>
                <w:color w:val="auto"/>
              </w:rPr>
            </w:pPr>
            <w:r>
              <w:rPr>
                <w:rFonts w:ascii="Times New Roman" w:cs="Times New Roman" w:eastAsia="Times New Roman" w:hAnsi="Times New Roman"/>
                <w:sz w:val="14"/>
                <w:szCs w:val="14"/>
                <w:b w:val="1"/>
                <w:bCs w:val="1"/>
                <w:color w:val="auto"/>
                <w:w w:val="99"/>
              </w:rPr>
              <w:t>LEASE AGREEMENT</w:t>
            </w:r>
          </w:p>
        </w:tc>
      </w:tr>
      <w:tr>
        <w:trPr>
          <w:trHeight w:val="336"/>
        </w:trPr>
        <w:tc>
          <w:tcPr>
            <w:tcW w:w="1860" w:type="dxa"/>
            <w:vAlign w:val="bottom"/>
          </w:tcPr>
          <w:p>
            <w:pPr>
              <w:spacing w:after="0"/>
              <w:rPr>
                <w:sz w:val="24"/>
                <w:szCs w:val="24"/>
                <w:color w:val="auto"/>
              </w:rPr>
            </w:pPr>
          </w:p>
        </w:tc>
        <w:tc>
          <w:tcPr>
            <w:tcW w:w="6700" w:type="dxa"/>
            <w:vAlign w:val="bottom"/>
            <w:gridSpan w:val="5"/>
          </w:tcPr>
          <w:p>
            <w:pPr>
              <w:jc w:val="center"/>
              <w:ind w:right="1790"/>
              <w:spacing w:after="0"/>
              <w:rPr>
                <w:sz w:val="20"/>
                <w:szCs w:val="20"/>
                <w:color w:val="auto"/>
              </w:rPr>
            </w:pPr>
            <w:r>
              <w:rPr>
                <w:rFonts w:ascii="Times New Roman" w:cs="Times New Roman" w:eastAsia="Times New Roman" w:hAnsi="Times New Roman"/>
                <w:sz w:val="14"/>
                <w:szCs w:val="14"/>
                <w:b w:val="1"/>
                <w:bCs w:val="1"/>
                <w:color w:val="auto"/>
              </w:rPr>
              <w:t>(NNN)</w:t>
            </w:r>
          </w:p>
        </w:tc>
      </w:tr>
      <w:tr>
        <w:trPr>
          <w:trHeight w:val="336"/>
        </w:trPr>
        <w:tc>
          <w:tcPr>
            <w:tcW w:w="1860" w:type="dxa"/>
            <w:vAlign w:val="bottom"/>
          </w:tcPr>
          <w:p>
            <w:pPr>
              <w:spacing w:after="0"/>
              <w:rPr>
                <w:sz w:val="24"/>
                <w:szCs w:val="24"/>
                <w:color w:val="auto"/>
              </w:rPr>
            </w:pPr>
          </w:p>
        </w:tc>
        <w:tc>
          <w:tcPr>
            <w:tcW w:w="6700" w:type="dxa"/>
            <w:vAlign w:val="bottom"/>
            <w:gridSpan w:val="5"/>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w w:val="99"/>
              </w:rPr>
              <w:t>Basic Lease Information</w:t>
            </w:r>
          </w:p>
        </w:tc>
      </w:tr>
      <w:tr>
        <w:trPr>
          <w:trHeight w:val="35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Date:</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May __, 2020 (</w:t>
            </w:r>
            <w:r>
              <w:rPr>
                <w:rFonts w:ascii="Times New Roman" w:cs="Times New Roman" w:eastAsia="Times New Roman" w:hAnsi="Times New Roman"/>
                <w:sz w:val="14"/>
                <w:szCs w:val="14"/>
                <w:i w:val="1"/>
                <w:iCs w:val="1"/>
                <w:color w:val="auto"/>
              </w:rPr>
              <w:t>5/21/2020</w:t>
            </w:r>
            <w:r>
              <w:rPr>
                <w:rFonts w:ascii="Times New Roman" w:cs="Times New Roman" w:eastAsia="Times New Roman" w:hAnsi="Times New Roman"/>
                <w:sz w:val="14"/>
                <w:szCs w:val="14"/>
                <w:color w:val="auto"/>
              </w:rPr>
              <w:t>)</w:t>
            </w: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Landlord:</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O’Brien Drive Portfolio, LLC</w:t>
            </w: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Landlord’s Address:</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c/o Tarlton Properties, Inc.</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1530 O’Brien Drive, Suite C</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Menlo Park, California 94025</w:t>
            </w:r>
          </w:p>
        </w:tc>
      </w:tr>
      <w:tr>
        <w:trPr>
          <w:trHeight w:val="183"/>
        </w:trPr>
        <w:tc>
          <w:tcPr>
            <w:tcW w:w="1860" w:type="dxa"/>
            <w:vAlign w:val="bottom"/>
          </w:tcPr>
          <w:p>
            <w:pPr>
              <w:spacing w:after="0"/>
              <w:rPr>
                <w:sz w:val="15"/>
                <w:szCs w:val="15"/>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 xml:space="preserve">Electronic address:              </w:t>
            </w:r>
          </w:p>
        </w:tc>
      </w:tr>
      <w:tr>
        <w:trPr>
          <w:trHeight w:val="262"/>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BillionToOne Inc., a Delaware corporation</w:t>
            </w: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Tenant’s Address:</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Prior to the Commencement Date:</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1455 Adams Dr.</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Menlo Park, CA</w:t>
            </w:r>
          </w:p>
        </w:tc>
      </w:tr>
      <w:tr>
        <w:trPr>
          <w:trHeight w:val="183"/>
        </w:trPr>
        <w:tc>
          <w:tcPr>
            <w:tcW w:w="1860" w:type="dxa"/>
            <w:vAlign w:val="bottom"/>
          </w:tcPr>
          <w:p>
            <w:pPr>
              <w:spacing w:after="0"/>
              <w:rPr>
                <w:sz w:val="15"/>
                <w:szCs w:val="15"/>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Attn: Oguzhan Atay</w:t>
            </w:r>
          </w:p>
        </w:tc>
      </w:tr>
      <w:tr>
        <w:trPr>
          <w:trHeight w:val="262"/>
        </w:trPr>
        <w:tc>
          <w:tcPr>
            <w:tcW w:w="1860" w:type="dxa"/>
            <w:vAlign w:val="bottom"/>
          </w:tcPr>
          <w:p>
            <w:pPr>
              <w:spacing w:after="0"/>
              <w:rPr>
                <w:sz w:val="22"/>
                <w:szCs w:val="22"/>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On and after the Commencement Date:</w:t>
            </w:r>
          </w:p>
        </w:tc>
      </w:tr>
      <w:tr>
        <w:trPr>
          <w:trHeight w:val="248"/>
        </w:trPr>
        <w:tc>
          <w:tcPr>
            <w:tcW w:w="1860" w:type="dxa"/>
            <w:vAlign w:val="bottom"/>
          </w:tcPr>
          <w:p>
            <w:pPr>
              <w:spacing w:after="0"/>
              <w:rPr>
                <w:sz w:val="21"/>
                <w:szCs w:val="21"/>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1035 O’Brien Drive</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Menlo Park, CA 94025</w:t>
            </w:r>
          </w:p>
        </w:tc>
      </w:tr>
      <w:tr>
        <w:trPr>
          <w:trHeight w:val="183"/>
        </w:trPr>
        <w:tc>
          <w:tcPr>
            <w:tcW w:w="1860" w:type="dxa"/>
            <w:vAlign w:val="bottom"/>
          </w:tcPr>
          <w:p>
            <w:pPr>
              <w:spacing w:after="0"/>
              <w:rPr>
                <w:sz w:val="15"/>
                <w:szCs w:val="15"/>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Attn: Oguzhan Atay</w:t>
            </w:r>
          </w:p>
        </w:tc>
      </w:tr>
      <w:tr>
        <w:trPr>
          <w:trHeight w:val="23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Premises:</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Approximately 36,068 rentable square feet as shown on Exhibit A.</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Premises Address:</w:t>
            </w:r>
          </w:p>
        </w:tc>
        <w:tc>
          <w:tcPr>
            <w:tcW w:w="37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1035 O’Brien Drive</w:t>
            </w:r>
          </w:p>
        </w:tc>
        <w:tc>
          <w:tcPr>
            <w:tcW w:w="580" w:type="dxa"/>
            <w:vAlign w:val="bottom"/>
            <w:tcBorders>
              <w:top w:val="single" w:sz="8" w:color="auto"/>
            </w:tcBorders>
          </w:tcPr>
          <w:p>
            <w:pPr>
              <w:spacing w:after="0"/>
              <w:rPr>
                <w:sz w:val="21"/>
                <w:szCs w:val="21"/>
                <w:color w:val="auto"/>
              </w:rPr>
            </w:pPr>
          </w:p>
        </w:tc>
        <w:tc>
          <w:tcPr>
            <w:tcW w:w="2340" w:type="dxa"/>
            <w:vAlign w:val="bottom"/>
            <w:gridSpan w:val="3"/>
          </w:tcPr>
          <w:p>
            <w:pPr>
              <w:spacing w:after="0"/>
              <w:rPr>
                <w:sz w:val="21"/>
                <w:szCs w:val="21"/>
                <w:color w:val="auto"/>
              </w:rPr>
            </w:pPr>
          </w:p>
        </w:tc>
      </w:tr>
      <w:tr>
        <w:trPr>
          <w:trHeight w:val="183"/>
        </w:trPr>
        <w:tc>
          <w:tcPr>
            <w:tcW w:w="1860" w:type="dxa"/>
            <w:vAlign w:val="bottom"/>
          </w:tcPr>
          <w:p>
            <w:pPr>
              <w:spacing w:after="0"/>
              <w:rPr>
                <w:sz w:val="15"/>
                <w:szCs w:val="15"/>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Menlo Park, CA 94025</w:t>
            </w:r>
          </w:p>
        </w:tc>
      </w:tr>
      <w:tr>
        <w:trPr>
          <w:trHeight w:val="262"/>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Building:</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Approximately 36,068 rentable square feet</w:t>
            </w: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Park:</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Approximately 10.739 Acres.</w:t>
            </w: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The “Commencement Date” shall mean the date that Landlord delivers the Premises to Tenant with the</w:t>
            </w:r>
          </w:p>
        </w:tc>
      </w:tr>
      <w:tr>
        <w:trPr>
          <w:trHeight w:val="151"/>
        </w:trPr>
        <w:tc>
          <w:tcPr>
            <w:tcW w:w="1860" w:type="dxa"/>
            <w:vAlign w:val="bottom"/>
          </w:tcPr>
          <w:p>
            <w:pPr>
              <w:spacing w:after="0"/>
              <w:rPr>
                <w:sz w:val="13"/>
                <w:szCs w:val="13"/>
                <w:color w:val="auto"/>
              </w:rPr>
            </w:pPr>
          </w:p>
        </w:tc>
        <w:tc>
          <w:tcPr>
            <w:tcW w:w="6700" w:type="dxa"/>
            <w:vAlign w:val="bottom"/>
            <w:gridSpan w:val="5"/>
          </w:tcPr>
          <w:p>
            <w:pPr>
              <w:ind w:left="620"/>
              <w:spacing w:after="0" w:line="151" w:lineRule="exact"/>
              <w:rPr>
                <w:sz w:val="20"/>
                <w:szCs w:val="20"/>
                <w:color w:val="auto"/>
              </w:rPr>
            </w:pPr>
            <w:r>
              <w:rPr>
                <w:rFonts w:ascii="Times New Roman" w:cs="Times New Roman" w:eastAsia="Times New Roman" w:hAnsi="Times New Roman"/>
                <w:sz w:val="14"/>
                <w:szCs w:val="14"/>
                <w:color w:val="auto"/>
                <w:w w:val="99"/>
              </w:rPr>
              <w:t>Tenant Improvements described in the work letter attached hereto as Exhibit B and incorporated hereby (the</w:t>
            </w:r>
          </w:p>
        </w:tc>
      </w:tr>
      <w:tr>
        <w:trPr>
          <w:trHeight w:val="20"/>
        </w:trPr>
        <w:tc>
          <w:tcPr>
            <w:tcW w:w="18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5"/>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“Work Letter”) Substantially Completed (as defined in the Work Letter), which date is estimated to be</w:t>
            </w:r>
          </w:p>
        </w:tc>
      </w:tr>
      <w:tr>
        <w:trPr>
          <w:trHeight w:val="168"/>
        </w:trPr>
        <w:tc>
          <w:tcPr>
            <w:tcW w:w="1860" w:type="dxa"/>
            <w:vAlign w:val="bottom"/>
          </w:tcPr>
          <w:p>
            <w:pPr>
              <w:spacing w:after="0"/>
              <w:rPr>
                <w:sz w:val="14"/>
                <w:szCs w:val="1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November 30, 2020. The Term shall expire on the last day of the month which is one hundred twenty</w:t>
            </w:r>
          </w:p>
        </w:tc>
      </w:tr>
      <w:tr>
        <w:trPr>
          <w:trHeight w:val="183"/>
        </w:trPr>
        <w:tc>
          <w:tcPr>
            <w:tcW w:w="1860" w:type="dxa"/>
            <w:vAlign w:val="bottom"/>
          </w:tcPr>
          <w:p>
            <w:pPr>
              <w:spacing w:after="0"/>
              <w:rPr>
                <w:sz w:val="15"/>
                <w:szCs w:val="15"/>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(120) months following the Commencement Date (“Expiration Date”).</w:t>
            </w:r>
          </w:p>
        </w:tc>
      </w:tr>
    </w:tbl>
    <w:p>
      <w:pPr>
        <w:sectPr>
          <w:pgSz w:w="11900" w:h="16838" w:orient="portrait"/>
          <w:cols w:equalWidth="0" w:num="1">
            <w:col w:w="9019"/>
          </w:cols>
          <w:pgMar w:left="1440" w:top="124" w:right="1440" w:bottom="1440" w:gutter="0" w:footer="0" w:header="0"/>
        </w:sectPr>
      </w:pPr>
    </w:p>
    <w:bookmarkStart w:id="676" w:name="page677"/>
    <w:bookmarkEnd w:id="676"/>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Base Rent (¶3):</w:t>
      </w:r>
    </w:p>
    <w:p>
      <w:pPr>
        <w:spacing w:after="0" w:line="182" w:lineRule="exact"/>
        <w:rPr>
          <w:sz w:val="20"/>
          <w:szCs w:val="20"/>
          <w:color w:val="auto"/>
        </w:rPr>
      </w:pPr>
    </w:p>
    <w:tbl>
      <w:tblPr>
        <w:tblLayout w:type="fixed"/>
        <w:tblInd w:w="298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1160" w:type="dxa"/>
            <w:vAlign w:val="bottom"/>
            <w:vMerge w:val="restart"/>
          </w:tcPr>
          <w:p>
            <w:pPr>
              <w:spacing w:after="0"/>
              <w:rPr>
                <w:sz w:val="11"/>
                <w:szCs w:val="11"/>
                <w:color w:val="auto"/>
              </w:rPr>
            </w:pP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RSF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NNN Rent/</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Monthly</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PSF/Month</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Base Rent</w:t>
            </w:r>
          </w:p>
        </w:tc>
        <w:tc>
          <w:tcPr>
            <w:tcW w:w="0" w:type="dxa"/>
            <w:vAlign w:val="bottom"/>
          </w:tcPr>
          <w:p>
            <w:pPr>
              <w:spacing w:after="0"/>
              <w:rPr>
                <w:sz w:val="1"/>
                <w:szCs w:val="1"/>
                <w:color w:val="auto"/>
              </w:rPr>
            </w:pPr>
          </w:p>
        </w:tc>
      </w:tr>
      <w:tr>
        <w:trPr>
          <w:trHeight w:val="149"/>
        </w:trPr>
        <w:tc>
          <w:tcPr>
            <w:tcW w:w="148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Months 1-12</w:t>
            </w: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22,050</w:t>
            </w:r>
          </w:p>
        </w:tc>
        <w:tc>
          <w:tcPr>
            <w:tcW w:w="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$127,890.00</w:t>
            </w:r>
          </w:p>
        </w:tc>
        <w:tc>
          <w:tcPr>
            <w:tcW w:w="0" w:type="dxa"/>
            <w:vAlign w:val="bottom"/>
          </w:tcPr>
          <w:p>
            <w:pPr>
              <w:spacing w:after="0"/>
              <w:rPr>
                <w:sz w:val="1"/>
                <w:szCs w:val="1"/>
                <w:color w:val="auto"/>
              </w:rPr>
            </w:pPr>
          </w:p>
        </w:tc>
      </w:tr>
      <w:tr>
        <w:trPr>
          <w:trHeight w:val="168"/>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Months 13-18</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27,776</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$166,656.00</w:t>
            </w:r>
          </w:p>
        </w:tc>
        <w:tc>
          <w:tcPr>
            <w:tcW w:w="0" w:type="dxa"/>
            <w:vAlign w:val="bottom"/>
          </w:tcPr>
          <w:p>
            <w:pPr>
              <w:spacing w:after="0"/>
              <w:rPr>
                <w:sz w:val="1"/>
                <w:szCs w:val="1"/>
                <w:color w:val="auto"/>
              </w:rPr>
            </w:pPr>
          </w:p>
        </w:tc>
      </w:tr>
      <w:tr>
        <w:trPr>
          <w:trHeight w:val="168"/>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Months 19-24</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36,068</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$223,982.28</w:t>
            </w:r>
          </w:p>
        </w:tc>
        <w:tc>
          <w:tcPr>
            <w:tcW w:w="0" w:type="dxa"/>
            <w:vAlign w:val="bottom"/>
          </w:tcPr>
          <w:p>
            <w:pPr>
              <w:spacing w:after="0"/>
              <w:rPr>
                <w:sz w:val="1"/>
                <w:szCs w:val="1"/>
                <w:color w:val="auto"/>
              </w:rPr>
            </w:pPr>
          </w:p>
        </w:tc>
      </w:tr>
      <w:tr>
        <w:trPr>
          <w:trHeight w:val="168"/>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Months 25-36</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36,068</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$231,821.66</w:t>
            </w:r>
          </w:p>
        </w:tc>
        <w:tc>
          <w:tcPr>
            <w:tcW w:w="0" w:type="dxa"/>
            <w:vAlign w:val="bottom"/>
          </w:tcPr>
          <w:p>
            <w:pPr>
              <w:spacing w:after="0"/>
              <w:rPr>
                <w:sz w:val="1"/>
                <w:szCs w:val="1"/>
                <w:color w:val="auto"/>
              </w:rPr>
            </w:pPr>
          </w:p>
        </w:tc>
      </w:tr>
      <w:tr>
        <w:trPr>
          <w:trHeight w:val="168"/>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Months 37-48</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36,068</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$239,935.42</w:t>
            </w:r>
          </w:p>
        </w:tc>
        <w:tc>
          <w:tcPr>
            <w:tcW w:w="0" w:type="dxa"/>
            <w:vAlign w:val="bottom"/>
          </w:tcPr>
          <w:p>
            <w:pPr>
              <w:spacing w:after="0"/>
              <w:rPr>
                <w:sz w:val="1"/>
                <w:szCs w:val="1"/>
                <w:color w:val="auto"/>
              </w:rPr>
            </w:pPr>
          </w:p>
        </w:tc>
      </w:tr>
      <w:tr>
        <w:trPr>
          <w:trHeight w:val="183"/>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Months 49-60</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36,068</w:t>
            </w: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$248,333.16</w:t>
            </w: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 Deposit (¶4):</w:t>
            </w: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$750,000.00, subject to adjustment as provided in Section 4 below.</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*Tenant’s Share of</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*Tenant’s Share of Tax Expenses (¶6.2):  </w:t>
            </w: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*Tenant’s Share of</w:t>
            </w: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480" w:type="dxa"/>
            <w:vAlign w:val="bottom"/>
            <w:vMerge w:val="continue"/>
          </w:tcPr>
          <w:p>
            <w:pPr>
              <w:spacing w:after="0"/>
              <w:rPr>
                <w:sz w:val="20"/>
                <w:szCs w:val="20"/>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16.</w:t>
            </w:r>
            <w:r>
              <w:rPr>
                <w:rFonts w:ascii="Times New Roman" w:cs="Times New Roman" w:eastAsia="Times New Roman" w:hAnsi="Times New Roman"/>
                <w:sz w:val="14"/>
                <w:szCs w:val="14"/>
                <w:u w:val="single" w:color="auto"/>
                <w:color w:val="auto"/>
              </w:rPr>
              <w:t>58%</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Area</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Utility Costs (¶7):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*Tenant’s Share of</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Utility Expenses (¶7):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Permitted Uses(¶9):</w:t>
            </w: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General office, laboratory, research and development, light manufacturing and related uses, but only to the</w:t>
            </w: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extent permitted by the City of Menlo Park and all agencies and governmental authorities having</w:t>
            </w: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jurisdiction thereof, and for no other use or purpose without Landlord’s prior written consent, which consent</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shall not be unreasonably withheld.</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Parking Spaces:</w:t>
            </w: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Tenant’s Share of non-exclusive and non-designated spaces.</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Broker (¶38):</w:t>
            </w: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Cornish &amp; Carey Commercial dba Newmark Knight Frank for Landlord and Kidder Mathews for Tenant</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Exhibit A </w:t>
            </w:r>
            <w:r>
              <w:rPr>
                <w:rFonts w:ascii="Times New Roman" w:cs="Times New Roman" w:eastAsia="Times New Roman" w:hAnsi="Times New Roman"/>
                <w:sz w:val="14"/>
                <w:szCs w:val="14"/>
                <w:color w:val="auto"/>
              </w:rPr>
              <w:t>- Premises</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Exhibit B </w:t>
            </w:r>
            <w:r>
              <w:rPr>
                <w:rFonts w:ascii="Times New Roman" w:cs="Times New Roman" w:eastAsia="Times New Roman" w:hAnsi="Times New Roman"/>
                <w:sz w:val="14"/>
                <w:szCs w:val="14"/>
                <w:color w:val="auto"/>
              </w:rPr>
              <w:t>- Work Letter</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 xml:space="preserve">Schedule 1 </w:t>
            </w:r>
            <w:r>
              <w:rPr>
                <w:rFonts w:ascii="Times New Roman" w:cs="Times New Roman" w:eastAsia="Times New Roman" w:hAnsi="Times New Roman"/>
                <w:sz w:val="14"/>
                <w:szCs w:val="14"/>
                <w:color w:val="auto"/>
              </w:rPr>
              <w:t>– Space Plans</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 xml:space="preserve">Schedule 2 </w:t>
            </w:r>
            <w:r>
              <w:rPr>
                <w:rFonts w:ascii="Times New Roman" w:cs="Times New Roman" w:eastAsia="Times New Roman" w:hAnsi="Times New Roman"/>
                <w:sz w:val="14"/>
                <w:szCs w:val="14"/>
                <w:color w:val="auto"/>
              </w:rPr>
              <w:t>– Initial Budget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i w:val="1"/>
          <w:iCs w:val="1"/>
          <w:color w:val="auto"/>
        </w:rPr>
        <w:t xml:space="preserve">Schedule 3 </w:t>
      </w:r>
      <w:r>
        <w:rPr>
          <w:rFonts w:ascii="Times New Roman" w:cs="Times New Roman" w:eastAsia="Times New Roman" w:hAnsi="Times New Roman"/>
          <w:sz w:val="14"/>
          <w:szCs w:val="14"/>
          <w:color w:val="auto"/>
        </w:rPr>
        <w:t>– Budget Adjustments</w:t>
      </w:r>
    </w:p>
    <w:p>
      <w:pPr>
        <w:spacing w:after="0" w:line="1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 xml:space="preserve">Exhibit C </w:t>
      </w:r>
      <w:r>
        <w:rPr>
          <w:rFonts w:ascii="Times New Roman" w:cs="Times New Roman" w:eastAsia="Times New Roman" w:hAnsi="Times New Roman"/>
          <w:sz w:val="14"/>
          <w:szCs w:val="14"/>
          <w:color w:val="auto"/>
        </w:rPr>
        <w:t>- Hazardous Materials Disclosure Certificate - Example</w:t>
      </w:r>
    </w:p>
    <w:p>
      <w:pPr>
        <w:spacing w:after="0" w:line="1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 xml:space="preserve">Exhibit D </w:t>
      </w:r>
      <w:r>
        <w:rPr>
          <w:rFonts w:ascii="Times New Roman" w:cs="Times New Roman" w:eastAsia="Times New Roman" w:hAnsi="Times New Roman"/>
          <w:sz w:val="14"/>
          <w:szCs w:val="14"/>
          <w:color w:val="auto"/>
        </w:rPr>
        <w:t>- Change of Commencement Date - Example</w:t>
      </w:r>
    </w:p>
    <w:p>
      <w:pPr>
        <w:spacing w:after="0" w:line="1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 xml:space="preserve">Exhibit E </w:t>
      </w:r>
      <w:r>
        <w:rPr>
          <w:rFonts w:ascii="Times New Roman" w:cs="Times New Roman" w:eastAsia="Times New Roman" w:hAnsi="Times New Roman"/>
          <w:sz w:val="14"/>
          <w:szCs w:val="14"/>
          <w:color w:val="auto"/>
        </w:rPr>
        <w:t>- Tenant’s Initial Hazardous Materials Disclosure Certificate</w:t>
      </w:r>
    </w:p>
    <w:p>
      <w:pPr>
        <w:sectPr>
          <w:pgSz w:w="11900" w:h="16838" w:orient="portrait"/>
          <w:cols w:equalWidth="0" w:num="1">
            <w:col w:w="9019"/>
          </w:cols>
          <w:pgMar w:left="1440" w:top="238" w:right="1440" w:bottom="1440" w:gutter="0" w:footer="0" w:header="0"/>
        </w:sectPr>
      </w:pPr>
    </w:p>
    <w:bookmarkStart w:id="677" w:name="page678"/>
    <w:bookmarkEnd w:id="677"/>
    <w:tbl>
      <w:tblPr>
        <w:tblLayout w:type="fixed"/>
        <w:tblInd w:w="22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648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441"/>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Premises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 of Commencement Date; Condition of the Premises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Security Deposit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Tenant Improvements; Tenant Improvement Allowance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Rent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Utilities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Late Charges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Use of Premises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Alterations and Additions; and Surrender of Premises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Repairs and Maintenance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13.</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Waiver of Subrogation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Limitation of Liability and Indemnity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Assignment and Subleasing</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 Valorem Taxes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17.</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Subordination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18.</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Right of Entry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19.</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Estoppel Certificate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Tenant’s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21.</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Remedies for Tenant’s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22.</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Holding Over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23.</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Landlord’s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24.</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25.</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Sale of Premises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26.</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27.</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Casualty Damage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28.</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Condemnation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29.</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Environmental Matters/Hazardous Materials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30.</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w:t>
            </w:r>
          </w:p>
        </w:tc>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General Provisions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83"/>
        </w:trPr>
        <w:tc>
          <w:tcPr>
            <w:tcW w:w="220" w:type="dxa"/>
            <w:vAlign w:val="bottom"/>
          </w:tcPr>
          <w:p>
            <w:pPr>
              <w:spacing w:after="0"/>
              <w:rPr>
                <w:sz w:val="24"/>
                <w:szCs w:val="24"/>
                <w:color w:val="auto"/>
              </w:rPr>
            </w:pPr>
          </w:p>
        </w:tc>
        <w:tc>
          <w:tcPr>
            <w:tcW w:w="6480" w:type="dxa"/>
            <w:vAlign w:val="bottom"/>
          </w:tcPr>
          <w:p>
            <w:pPr>
              <w:ind w:left="4000"/>
              <w:spacing w:after="0"/>
              <w:rPr>
                <w:sz w:val="20"/>
                <w:szCs w:val="20"/>
                <w:color w:val="auto"/>
              </w:rPr>
            </w:pPr>
            <w:r>
              <w:rPr>
                <w:rFonts w:ascii="Times New Roman" w:cs="Times New Roman" w:eastAsia="Times New Roman" w:hAnsi="Times New Roman"/>
                <w:sz w:val="14"/>
                <w:szCs w:val="14"/>
                <w:color w:val="auto"/>
              </w:rPr>
              <w:t>-i-</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678" w:name="page679"/>
    <w:bookmarkEnd w:id="678"/>
    <w:tbl>
      <w:tblPr>
        <w:tblLayout w:type="fixed"/>
        <w:tblInd w:w="220" w:type="dxa"/>
        <w:tblCellMar>
          <w:top w:w="0" w:type="dxa"/>
          <w:left w:w="0" w:type="dxa"/>
          <w:bottom w:w="0" w:type="dxa"/>
          <w:right w:w="0" w:type="dxa"/>
        </w:tblCellMar>
      </w:tblPr>
      <w:tr>
        <w:trPr>
          <w:trHeight w:val="185"/>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32.</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Signs</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33.</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Mortgagee Protection</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34.</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Warranties of Tenant</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35.</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Compliance with Americans with Disabilities Act</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36.</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Brokerage Commission</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37.</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Quiet Enjoyment</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38.</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Landlord’s Ability to Perform Tenant’s Unperformed Obligations</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39.</w:t>
            </w: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83"/>
        </w:trPr>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40" w:type="dxa"/>
            <w:vAlign w:val="bottom"/>
          </w:tcPr>
          <w:p>
            <w:pPr>
              <w:jc w:val="right"/>
              <w:ind w:right="4090"/>
              <w:spacing w:after="0"/>
              <w:rPr>
                <w:sz w:val="20"/>
                <w:szCs w:val="20"/>
                <w:color w:val="auto"/>
              </w:rPr>
            </w:pPr>
            <w:r>
              <w:rPr>
                <w:rFonts w:ascii="Times New Roman" w:cs="Times New Roman" w:eastAsia="Times New Roman" w:hAnsi="Times New Roman"/>
                <w:sz w:val="14"/>
                <w:szCs w:val="14"/>
                <w:color w:val="auto"/>
                <w:w w:val="93"/>
              </w:rPr>
              <w:t>-ii-</w:t>
            </w:r>
          </w:p>
        </w:tc>
      </w:tr>
    </w:tbl>
    <w:p>
      <w:pPr>
        <w:jc w:val="right"/>
        <w:ind w:right="4090"/>
        <w:spacing w:after="0"/>
        <w:rPr>
          <w:sz w:val="20"/>
          <w:szCs w:val="20"/>
          <w:color w:val="auto"/>
        </w:rPr>
        <w:sectPr>
          <w:pgSz w:w="11900" w:h="16838" w:orient="portrait"/>
          <w:cols w:equalWidth="0" w:num="1">
            <w:col w:w="9019"/>
          </w:cols>
          <w:pgMar w:left="1440" w:top="323"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679" w:name="page680"/>
    <w:bookmarkEnd w:id="6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LEASE AGREEMENT</w:t>
      </w:r>
    </w:p>
    <w:p>
      <w:pPr>
        <w:spacing w:after="0" w:line="196" w:lineRule="exact"/>
        <w:rPr>
          <w:sz w:val="20"/>
          <w:szCs w:val="20"/>
          <w:color w:val="auto"/>
        </w:rPr>
      </w:pPr>
    </w:p>
    <w:p>
      <w:pPr>
        <w:ind w:left="1000" w:right="419" w:hanging="779"/>
        <w:spacing w:after="0" w:line="282" w:lineRule="auto"/>
        <w:tabs>
          <w:tab w:leader="none" w:pos="980" w:val="left"/>
        </w:tabs>
        <w:rPr>
          <w:sz w:val="20"/>
          <w:szCs w:val="20"/>
          <w:color w:val="auto"/>
        </w:rPr>
      </w:pP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color w:val="auto"/>
        </w:rPr>
        <w:t>This Lease is made and entered into as of the Lease Date set forth in the Basic Lease Information. The Basic Lease Information and this Lease are and shall be construed as a single instrument.</w:t>
      </w:r>
    </w:p>
    <w:p>
      <w:pPr>
        <w:spacing w:after="0" w:line="125" w:lineRule="exact"/>
        <w:rPr>
          <w:sz w:val="20"/>
          <w:szCs w:val="20"/>
          <w:color w:val="auto"/>
        </w:rPr>
      </w:pPr>
    </w:p>
    <w:p>
      <w:pPr>
        <w:ind w:left="220" w:right="359" w:firstLine="3"/>
        <w:spacing w:after="0" w:line="278" w:lineRule="auto"/>
        <w:tabs>
          <w:tab w:leader="none" w:pos="360" w:val="left"/>
        </w:tabs>
        <w:numPr>
          <w:ilvl w:val="0"/>
          <w:numId w:val="4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Premises</w:t>
      </w:r>
      <w:r>
        <w:rPr>
          <w:rFonts w:ascii="Times New Roman" w:cs="Times New Roman" w:eastAsia="Times New Roman" w:hAnsi="Times New Roman"/>
          <w:sz w:val="13"/>
          <w:szCs w:val="13"/>
          <w:color w:val="auto"/>
        </w:rPr>
        <w:t>. Landlord hereby leases the Premises to Tenant upon the terms and conditions contained herein. Landlord hereby grants to Tenant right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use, on a non-exclusive basis, parking areas and ancillary facilities located within the Common Areas of the Park, subject to the terms of this Lease. Landlord and Tenant hereby agree that for purposes of this Lease, as of the Lease Date, the rentable square footage area of the Premises, the Building, and the Park shall be deemed to be the number of rentable square feet as set forth in the Basic Lease Information. Tenant hereby acknowledges that the rentable square footage of the Premises may include a proportionate share of certain areas used in common by all occupants of the Building and/or the Park (for example an electrical room or telephone room). Tenant further agrees that the number of rentable square feet of the Park may subsequently change after the Lease Date commensurate with any modifications to any of the foregoing by Landlord, and Tenant’s Share shall accordingly change.</w:t>
      </w:r>
    </w:p>
    <w:p>
      <w:pPr>
        <w:spacing w:after="0" w:line="214" w:lineRule="exact"/>
        <w:rPr>
          <w:rFonts w:ascii="Times New Roman" w:cs="Times New Roman" w:eastAsia="Times New Roman" w:hAnsi="Times New Roman"/>
          <w:sz w:val="13"/>
          <w:szCs w:val="13"/>
          <w:b w:val="1"/>
          <w:bCs w:val="1"/>
          <w:color w:val="auto"/>
        </w:rPr>
      </w:pPr>
    </w:p>
    <w:p>
      <w:pPr>
        <w:ind w:left="360" w:hanging="137"/>
        <w:spacing w:after="0"/>
        <w:tabs>
          <w:tab w:leader="none" w:pos="360" w:val="left"/>
        </w:tabs>
        <w:numPr>
          <w:ilvl w:val="0"/>
          <w:numId w:val="4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Adjustment of Commencement Date; Condition of the Premises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2.1 </w:t>
      </w:r>
      <w:r>
        <w:rPr>
          <w:rFonts w:ascii="Times New Roman" w:cs="Times New Roman" w:eastAsia="Times New Roman" w:hAnsi="Times New Roman"/>
          <w:sz w:val="14"/>
          <w:szCs w:val="14"/>
          <w:color w:val="auto"/>
        </w:rPr>
        <w:t>If Landlord cannot deliver possession of the Premises on the Commencement Date, Landlord shall not be subject to any liability nor shall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validity of the Lease be affected; provided, the Lease Term and the obligation to pay Rent shall commence on the date possession is tendered. In the event the commencement date of this Lease is other than the Commencement Date specified in the Basic Lease Information, Landlord and Tenant shall execute a written amendment to this Lease,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hereto, wherein the parties shall specify the actual commencement date and the date on which Tenant is to commence paying Rent. The word “Term” whenever used herein refers to the initial term of this Lease and any extension thereof. Landlord shall deliver possession of the Premises to Tenant in its “as-is” condition, except for those certain Tenant Improvements to be constructed by Landlord pursuant to the Work Letter attached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Subject to punch list items relating to the Tenant Improvements as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by taking possession of the Premises, Tenant shall be deemed to have accepted the Premises in satisfactory condition and state of repair. Tenant hereby acknowledges and agrees that neither Landlord nor Landlord’s agents or representatives has made any representations or warranties as to the suitability, safety or fitness of the Premises for the conduct of Tenant’s business, Tenant’s intended use of the Premises or for any other purpose. Tenant agrees that at any time before or during the Term of this Lease, Landlord shall have the one-time right to relocate Tenant from the Premises described herein to other space within the Park on substantially the same terms and conditions of this Lease provided (i) Landlord shall provide Tenant at least thirty (30) days prior written notice, (ii) such relocation Premises shall be substantially the same in configuration, size, quality and design with improvements substantially similar to the original Premises, including, without limitation, lab space, offices, break rooms, conference rooms, installed in the relocation Premises, (iii) all costs to improve the relocation Premises and to relocate Tenant shall be paid for by Landlord at its sole cost and expense, (iv) Rent shall not increase as a result of such relocation, (v) Tenant shall not be required to surrender the original Premises until six (6) months after the new Premises are delivered to Tenant, and (vi) during such period Tenant occupies both the new Premises and original Premises, Tenant shall only be required to pay rent for the original Premises.</w:t>
      </w:r>
    </w:p>
    <w:p>
      <w:pPr>
        <w:sectPr>
          <w:pgSz w:w="11900" w:h="16838" w:orient="portrait"/>
          <w:cols w:equalWidth="0" w:num="1">
            <w:col w:w="9019"/>
          </w:cols>
          <w:pgMar w:left="1440" w:top="239" w:right="1440" w:bottom="1440" w:gutter="0" w:footer="0" w:header="0"/>
        </w:sectPr>
      </w:pPr>
    </w:p>
    <w:bookmarkStart w:id="680" w:name="page681"/>
    <w:bookmarkEnd w:id="680"/>
    <w:p>
      <w:pPr>
        <w:ind w:left="220" w:right="25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2.2 </w:t>
      </w:r>
      <w:r>
        <w:rPr>
          <w:rFonts w:ascii="Times New Roman" w:cs="Times New Roman" w:eastAsia="Times New Roman" w:hAnsi="Times New Roman"/>
          <w:sz w:val="14"/>
          <w:szCs w:val="14"/>
          <w:color w:val="auto"/>
        </w:rPr>
        <w:t>Tenant acknowledges that the applicable ordinance of the City of Menlo Park (the “</w:t>
      </w:r>
      <w:r>
        <w:rPr>
          <w:rFonts w:ascii="Times New Roman" w:cs="Times New Roman" w:eastAsia="Times New Roman" w:hAnsi="Times New Roman"/>
          <w:sz w:val="14"/>
          <w:szCs w:val="14"/>
          <w:b w:val="1"/>
          <w:bCs w:val="1"/>
          <w:color w:val="auto"/>
        </w:rPr>
        <w:t>City</w:t>
      </w:r>
      <w:r>
        <w:rPr>
          <w:rFonts w:ascii="Times New Roman" w:cs="Times New Roman" w:eastAsia="Times New Roman" w:hAnsi="Times New Roman"/>
          <w:sz w:val="14"/>
          <w:szCs w:val="14"/>
          <w:color w:val="auto"/>
        </w:rPr>
        <w:t>”) requires that Tenant must obtain an Administrative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 Permit (“</w:t>
      </w:r>
      <w:r>
        <w:rPr>
          <w:rFonts w:ascii="Times New Roman" w:cs="Times New Roman" w:eastAsia="Times New Roman" w:hAnsi="Times New Roman"/>
          <w:sz w:val="14"/>
          <w:szCs w:val="14"/>
          <w:b w:val="1"/>
          <w:bCs w:val="1"/>
          <w:color w:val="auto"/>
        </w:rPr>
        <w:t>AUP</w:t>
      </w:r>
      <w:r>
        <w:rPr>
          <w:rFonts w:ascii="Times New Roman" w:cs="Times New Roman" w:eastAsia="Times New Roman" w:hAnsi="Times New Roman"/>
          <w:sz w:val="14"/>
          <w:szCs w:val="14"/>
          <w:color w:val="auto"/>
        </w:rPr>
        <w:t>”) from the City if Tenant maintains on the Premises five (5) gallons or more of Hazardous Materials (as defined in Section 29.2 below). Accordingly, for the period from the Commencement Date until the date Tenant obtains the AUP from the City permitting Tenant to maintain on the Premises five (5) gallons or more of Hazardous Materials, Tenant shall maintain less than five (5) gallons of Hazardous Materials on the Premises. Tenant shall promptly apply for and shall use its commercially reasonable good faith diligent efforts to comply with the City’s requirements for the issuance to Tenant of the AUP. Landlord shall assist Tenant in the filing and processing of the application for the AUP, and Tenant shall pay all costs associated with such efforts, including but not limited to the costs and fees incurred by Green Environment and DES Architects/Engineers as well as City fees associated with the AUP; provided, however, Landlord shall not be responsible for the issuance of the AUP. Tenant shall deliver a copy of the AUP to Landlord and Tenant shall comply with the provisions thereof.</w:t>
      </w:r>
    </w:p>
    <w:p>
      <w:pPr>
        <w:spacing w:after="0" w:line="146" w:lineRule="exact"/>
        <w:rPr>
          <w:sz w:val="20"/>
          <w:szCs w:val="20"/>
          <w:color w:val="auto"/>
        </w:rPr>
      </w:pPr>
    </w:p>
    <w:p>
      <w:pPr>
        <w:ind w:left="220" w:right="259" w:firstLine="3"/>
        <w:spacing w:after="0" w:line="252" w:lineRule="auto"/>
        <w:tabs>
          <w:tab w:leader="none" w:pos="360" w:val="left"/>
        </w:tabs>
        <w:numPr>
          <w:ilvl w:val="0"/>
          <w:numId w:val="4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the date that Tenant executes this Lease, Tenant shall deliver to Landlord the original executed Lease, the Base Rent in the amount of 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Hundred Twenty-Seven Thousand Eight Hundred Ninety and 00/100 Dollars ($127,890.00) (which shall be applied against the Rent payable for the first month of the Term), plus the amount of Seventy-Four Thousand Two Hundred Forty-Nine and 00/100 Dollars ($74,249.00) (which amount shall be applied against Additional Rent payable for the first month of the Term), plus the Security Deposit, and all insurance certificates evidencing the insurance required to be obtained by Tenant under Section 12 of this Lease. Tenant agrees to pay Landlord, without prior notice or demand, or abatement, offset, deduction or claim, except as otherwise provided herein, the Base Rent described in the Basic Lease Information, payable in advance at Landlord’s address specified in the Basic Lease Information on the Commencement Date and thereafter on the first (1st) day of each month throughout the balance of the Term of the Lease. In addition to the Base Rent set forth in the Basic Lease Information, Tenant shall pay Landlord in advance on the Commencement Date and thereafter on the first (1st) day of each month throughout the balance of the Term of this Lease, as Additional Rent, Tenant’s Share of Operating Expenses, Tax Expenses, Common Area Utility Costs, and Utility Expenses. Tenant shall also pay to Landlord as Additional Rent hereunder, immediately on Landlord’s demand therefor, any and all costs and expenses incurred by Landlord to enforce the provisions of this Lease, including, but not limited to, costs associated with the delivery of notices, delivery and recordation of notice(s) of default, attorneys’ fees, expert fees, court costs and filing fees, to the extent Tenant has breached any of the provisions of this Lease (collectively, the “</w:t>
      </w:r>
      <w:r>
        <w:rPr>
          <w:rFonts w:ascii="Times New Roman" w:cs="Times New Roman" w:eastAsia="Times New Roman" w:hAnsi="Times New Roman"/>
          <w:sz w:val="14"/>
          <w:szCs w:val="14"/>
          <w:b w:val="1"/>
          <w:bCs w:val="1"/>
          <w:color w:val="auto"/>
        </w:rPr>
        <w:t>Enforcement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Rent</w:t>
      </w:r>
      <w:r>
        <w:rPr>
          <w:rFonts w:ascii="Times New Roman" w:cs="Times New Roman" w:eastAsia="Times New Roman" w:hAnsi="Times New Roman"/>
          <w:sz w:val="14"/>
          <w:szCs w:val="14"/>
          <w:color w:val="auto"/>
        </w:rPr>
        <w:t>” whenever used herein refers to the aggregate of all amounts due by Tenant hereunder, including without limitation,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foregoing amounts. If Landlord permits Tenant to occupy the Premises without requiring Tenant to pay rental payments for a period of time, the waiver of the requirement to pay rental payments shall only apply to waiver of the Base Rent and Tenant shall otherwise perform all other obligations of Tenant required hereunder. The Rent for any fractional part of a calendar month at the commencement or termination of the Lease term shall be a prorated amount of the Rent for a full calendar month based upon a thirty (30) day month. The prorated Rent shall be paid on the Commencement Date and the first day of the calendar month in which the date of termination occurs, as the case may be.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681" w:name="page682"/>
    <w:bookmarkEnd w:id="681"/>
    <w:p>
      <w:pPr>
        <w:ind w:left="220" w:right="239" w:firstLine="3"/>
        <w:spacing w:after="0" w:line="251" w:lineRule="auto"/>
        <w:tabs>
          <w:tab w:leader="none" w:pos="360" w:val="left"/>
        </w:tabs>
        <w:numPr>
          <w:ilvl w:val="0"/>
          <w:numId w:val="4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Security Deposit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Tenant’s execution of this Lease, Tenant shall deliver to Landlord, as a Security Deposit for the performance by Tenant of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under this Lease, the amount specified in the Basic Lease Information. If Tenant is in default, then following expiration of all applicable notice and cure periods, Landlord may, but without obligation to do so, use the Security Deposit, or any portion thereof, to the extent reasonably necessary to cure the default or to compensate Landlord for all damages sustained by Landlord resulting from Tenant’s default, including, but not limited to the Enforcement Expenses. Tenant shall, within ten (10) days of written request therefor, pay to Landlord a sum equal to the portion of the Security Deposit so applied or used so as to replenish the amount of the Security Deposit held to increase such deposit to the amount initially deposited with Landlord. Within sixty (60) calendar days after the termination of this Lease, Landlord shall return the Security Deposit to Tenant, less such amounts as are reasonably necessary, as determined solely by Landlord, to remedy Tenant’s default(s) hereunder or to otherwise restore the Premises to a clean and safe condition, reasonable wear and tear excepted. If the cost to restore the Premises exceeds the amount of the Security Deposit, Tenant shall promptly deliver to Landlord any and all of such excess sums as reasonably determined by Landlord. Landlord shall not be required to keep the Security Deposit separate from other funds, and, unless otherwise required by law, Tenant shall not be entitled to interest on the Security Deposit. In no event or circumstance shall Tenant have the right to any use of the Security Deposit and, specifically, Tenant may not use the Security Deposit as a credit or to otherwise offset any payments required hereunder, including, but not limited to, Rent or any portion thereof. Tenant waives (i) California Civil Code Section 1950.7 and any and all other laws, rules and regulations applicable to security deposits in the commercial context (“</w:t>
      </w:r>
      <w:r>
        <w:rPr>
          <w:rFonts w:ascii="Times New Roman" w:cs="Times New Roman" w:eastAsia="Times New Roman" w:hAnsi="Times New Roman"/>
          <w:sz w:val="14"/>
          <w:szCs w:val="14"/>
          <w:b w:val="1"/>
          <w:bCs w:val="1"/>
          <w:color w:val="auto"/>
        </w:rPr>
        <w:t>Security Deposit Laws</w:t>
      </w:r>
      <w:r>
        <w:rPr>
          <w:rFonts w:ascii="Times New Roman" w:cs="Times New Roman" w:eastAsia="Times New Roman" w:hAnsi="Times New Roman"/>
          <w:sz w:val="14"/>
          <w:szCs w:val="14"/>
          <w:color w:val="auto"/>
        </w:rPr>
        <w:t>”), and (ii) any and all rights, duties and obligations either party may now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 Provided that Tenant has not been in default of this Lease beyond the applicable notice and cure period, upon the twenty-fifth (25) month of the Term, the then-current Security Deposit shall be reduced by the amount of Five Hundred Thousand and 00/100 Dollars ($500,000.00), such that the Security Deposit shall be equal to Two Hundred Fifty Thousand and 00/100 Dollars ($250,000.00) for the remainder of the third year of the Term. Upon the thirty-seventh (37th) month of the Term, Tenant shall deliver funds in the amount of Forty-Four Thousand Nine Hundred Forty-One and 89/100 Dollars ($44,941.89) and the Security Deposit shall be equal to Two Hundred Ninety-Four Thousand Nine Hundred Forty-One and 89/100 Dollars ($294,941.89) for the remainder of the Term.</w:t>
      </w:r>
    </w:p>
    <w:p>
      <w:pPr>
        <w:spacing w:after="0" w:line="159" w:lineRule="exact"/>
        <w:rPr>
          <w:sz w:val="20"/>
          <w:szCs w:val="20"/>
          <w:color w:val="auto"/>
        </w:rPr>
      </w:pPr>
    </w:p>
    <w:p>
      <w:pPr>
        <w:ind w:left="220" w:right="319"/>
        <w:spacing w:after="0" w:line="237" w:lineRule="auto"/>
        <w:rPr>
          <w:sz w:val="20"/>
          <w:szCs w:val="20"/>
          <w:color w:val="auto"/>
        </w:rPr>
      </w:pPr>
      <w:r>
        <w:rPr>
          <w:rFonts w:ascii="Times New Roman" w:cs="Times New Roman" w:eastAsia="Times New Roman" w:hAnsi="Times New Roman"/>
          <w:sz w:val="14"/>
          <w:szCs w:val="14"/>
          <w:color w:val="auto"/>
        </w:rPr>
        <w:t>Lessee, at Lessee’s option, may substitute a portion of the cash held by Lessor as the Security Deposit by depositing with Lessor an unconditional and irrevocable letter of credit in the form required herein (the “</w:t>
      </w:r>
      <w:r>
        <w:rPr>
          <w:rFonts w:ascii="Times New Roman" w:cs="Times New Roman" w:eastAsia="Times New Roman" w:hAnsi="Times New Roman"/>
          <w:sz w:val="14"/>
          <w:szCs w:val="14"/>
          <w:b w:val="1"/>
          <w:bCs w:val="1"/>
          <w:color w:val="auto"/>
        </w:rPr>
        <w:t>Letter of Credit</w:t>
      </w:r>
      <w:r>
        <w:rPr>
          <w:rFonts w:ascii="Times New Roman" w:cs="Times New Roman" w:eastAsia="Times New Roman" w:hAnsi="Times New Roman"/>
          <w:sz w:val="14"/>
          <w:szCs w:val="14"/>
          <w:color w:val="auto"/>
        </w:rPr>
        <w:t>”), as security for the full and faithful performance of each and every obligation of Lessee under this Lease; provided, however, at all times during the Term, except during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4"/>
          <w:szCs w:val="14"/>
          <w:color w:val="auto"/>
        </w:rPr>
        <w:t>) year of the Term, the Lessee shall have a Security Deposit in the form of cash held by Lessor in an amount equal to no less than Two Hundred Ninety-Four Thousand Nine Hundred Forty-One and 89/100 Dollars ($294,941.89) (the “</w:t>
      </w:r>
      <w:r>
        <w:rPr>
          <w:rFonts w:ascii="Times New Roman" w:cs="Times New Roman" w:eastAsia="Times New Roman" w:hAnsi="Times New Roman"/>
          <w:sz w:val="14"/>
          <w:szCs w:val="14"/>
          <w:b w:val="1"/>
          <w:bCs w:val="1"/>
          <w:color w:val="auto"/>
        </w:rPr>
        <w:t>Minimum Cash Requirement</w:t>
      </w:r>
      <w:r>
        <w:rPr>
          <w:rFonts w:ascii="Times New Roman" w:cs="Times New Roman" w:eastAsia="Times New Roman" w:hAnsi="Times New Roman"/>
          <w:sz w:val="14"/>
          <w:szCs w:val="14"/>
          <w:color w:val="auto"/>
        </w:rPr>
        <w:t>”). The Letter of Credit, together with (1) any cash from time to time held by Lessor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682" w:name="page683"/>
    <w:bookmarkEnd w:id="682"/>
    <w:p>
      <w:pPr>
        <w:ind w:left="220" w:right="2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 part of the security deposit following a draw on the Letter of Credit or (2) any cash from time to time held by Lessor as part of the security deposit under this Section 4, is referred to herein as the “Security Deposit.” The Letter of Credit shall be in the form and containing the terms required herein, running in favor of Lessor and issued by Comerica Bank, or another solvent, nationally recognized bank reasonably approved by Lessor and in a form reasonably satisfactory to Lessor. The Letter of Credit, and each subsequent replacement Letter of Credit shall: (1) be payable on demand, irrevocable, and unconditional; (2) be maintained in effect, whether through renewal or extension, for the period from the Lease Commencement Date and continuing until the date that is sixty (60) days after the expiration of the Term (“</w:t>
      </w:r>
      <w:r>
        <w:rPr>
          <w:rFonts w:ascii="Times New Roman" w:cs="Times New Roman" w:eastAsia="Times New Roman" w:hAnsi="Times New Roman"/>
          <w:sz w:val="14"/>
          <w:szCs w:val="14"/>
          <w:u w:val="single" w:color="auto"/>
          <w:color w:val="auto"/>
        </w:rPr>
        <w:t>Letter of Credit Expiration Date</w:t>
      </w:r>
      <w:r>
        <w:rPr>
          <w:rFonts w:ascii="Times New Roman" w:cs="Times New Roman" w:eastAsia="Times New Roman" w:hAnsi="Times New Roman"/>
          <w:sz w:val="14"/>
          <w:szCs w:val="14"/>
          <w:color w:val="auto"/>
        </w:rPr>
        <w:t>”), and provide for automatic renewals of one-year periods unless the issuer has provided Lessor written notice of non-renewal at least sixty (60) days prior to the then expiration date, in which case Lessee shall deliver a replacement Letter of Credit or certificate of renewal or extension to Lessor at least thirty (30) days before the expiration of the Letter of Credit then held by Lessor, without any action whatsoever on the part of Lessor; (3) be fully assignable and transferable at no cost to Lessor by Lessor, its successors, and assigns; (4) permit partial draws and multiple presentations and drawings; (5) be honored by the bank issuing the same regardless of whether Lessee disputes Lessor’s right to draw on the Letter of Credit; and (6) be otherwise subject to Uniform Customs and Practice for Documentary Credits, International Chamber of Commerce Publication No. 600 (UCP600), or International Standby Practices— ISP98, International Chamber of Commerce Publication No. 590. Failure by Lessee to deliver cash or any replacement Letter of Credit as required above shall entitle Lessor to draw under the outstanding Letter(s) of Credit and to retain the entire proceeds thereof for application as the Security Deposit under this Lease. If at any time during the Term of this Lease, the bank or financial institution that issues the Letter of Credit is declared insolvent, or is placed into receivership by the Federal Deposit Insurance Corporation or any other governmental or quasi-governmental institution, then following written notice from Lessor, Lessee shall have twenty (20) days to replace the Letter of Credit with a new letter of credit from a bank or financial institution acceptable to Lessor in Lessor’s reasonable discretion. If Lessee does not replace the Letter of Credit with a new letter of credit from a bank or financial institution acceptable to Lessor within such twenty (20) day period, then notwithstanding anything in the Lease to the contrary, Lessor shall have the right to draw upon the Letter of Credit for the full amount of the Letter of Credit. In such event, the Letter of Credit funds shall immediately become part of the “Security Deposit” under this Lease. Lessor shall not be obligated to keep any proceeds from a draw on the Letter of Credit separate from its general funds, and Lessee shall not be entitled to interest on either.</w:t>
      </w:r>
    </w:p>
    <w:p>
      <w:pPr>
        <w:spacing w:after="0" w:line="155" w:lineRule="exact"/>
        <w:rPr>
          <w:sz w:val="20"/>
          <w:szCs w:val="20"/>
          <w:color w:val="auto"/>
        </w:rPr>
      </w:pPr>
    </w:p>
    <w:p>
      <w:pPr>
        <w:ind w:left="220" w:right="259" w:firstLine="3"/>
        <w:spacing w:after="0" w:line="257" w:lineRule="auto"/>
        <w:tabs>
          <w:tab w:leader="none" w:pos="360" w:val="left"/>
        </w:tabs>
        <w:numPr>
          <w:ilvl w:val="0"/>
          <w:numId w:val="4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Tenant Improvements; Tenant Improvement Allowance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hereby accepts the Premises as suitable for Tenant’s intended use and as being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satisfactory operating order, condition and repair, “AS IS”, except for the Tenant Improvements as specified in the Work Letter. The costs of the Tenant Improvements shall be shared by Landlord and Tenant as set forth in the Work Letter. Tenant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 Any exception to the foregoing provisions must be made by express written agreement by both parties.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683" w:name="page684"/>
    <w:bookmarkEnd w:id="683"/>
    <w:p>
      <w:pPr>
        <w:ind w:left="220" w:right="259" w:firstLine="3"/>
        <w:spacing w:after="0" w:line="275" w:lineRule="auto"/>
        <w:tabs>
          <w:tab w:leader="none" w:pos="360" w:val="left"/>
        </w:tabs>
        <w:numPr>
          <w:ilvl w:val="0"/>
          <w:numId w:val="4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Additional 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It is intended by Landlord and Tenant that this Lease be a “triple net lease.” The costs and expenses described in this Section 6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all other sums, charges, costs and expenses expressly specified in this Lease other than Base Rent are to be paid by Tenant to Landlord as additional rent (collectively, “Additional Rent”) commencing as of the Commencement Date and continuing for the Term of this Lease. </w:t>
      </w:r>
      <w:r>
        <w:rPr>
          <w:rFonts w:ascii="Times New Roman" w:cs="Times New Roman" w:eastAsia="Times New Roman" w:hAnsi="Times New Roman"/>
          <w:sz w:val="13"/>
          <w:szCs w:val="13"/>
          <w:b w:val="1"/>
          <w:bCs w:val="1"/>
          <w:color w:val="auto"/>
        </w:rPr>
        <w:t>Operating Expenses:</w:t>
      </w:r>
      <w:r>
        <w:rPr>
          <w:rFonts w:ascii="Times New Roman" w:cs="Times New Roman" w:eastAsia="Times New Roman" w:hAnsi="Times New Roman"/>
          <w:sz w:val="13"/>
          <w:szCs w:val="13"/>
          <w:color w:val="auto"/>
        </w:rPr>
        <w:t xml:space="preserve"> In addition to the Base Rent set forth in Section 3, Tenant shall pay Tenant’s Share, which is specified in the Basic Lease Information, of all Operating Expenses as Additional Rent. The term “Operating Expenses” as used herein shall mean all amounts, expenses and costs of whatever nature paid or payable by Landlord in connection with the ownership, security insurance, control, administration (including, without limitation concierge services, if any), maintenance, repair, replacement and operation of the Premises, the Building and the lot upon which the Building is located, and where applicable, of the Park referred to in the Basic Lease Information, all related improvements thereto and thereon and all machinery, equipment, landscaping, fixtures and other facilities, including personal property and all costs associated with maintaining any certification(s) achieved by the Building, as may now or hereafter exist in or on the Building. Tenant’s Share of Operating Expenses for the Park shall be equal to 16.58%. These Operating Expenses may include, but are not limited to: Landlord’s cost of repairs to, and maintenance of, the roof, the roof membrane and the exterior walls of the Building;</w:t>
      </w:r>
    </w:p>
    <w:p>
      <w:pPr>
        <w:spacing w:after="0" w:line="47" w:lineRule="exact"/>
        <w:rPr>
          <w:sz w:val="20"/>
          <w:szCs w:val="20"/>
          <w:color w:val="auto"/>
        </w:rPr>
      </w:pPr>
    </w:p>
    <w:p>
      <w:pPr>
        <w:ind w:left="560" w:right="299" w:firstLine="32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6.1.1 </w:t>
      </w:r>
      <w:r>
        <w:rPr>
          <w:rFonts w:ascii="Times New Roman" w:cs="Times New Roman" w:eastAsia="Times New Roman" w:hAnsi="Times New Roman"/>
          <w:sz w:val="14"/>
          <w:szCs w:val="14"/>
          <w:color w:val="auto"/>
        </w:rPr>
        <w:t>Landlord’s cost of maintaining the outside paved area, landscaping and other common areas for the Park. The term “</w:t>
      </w:r>
      <w:r>
        <w:rPr>
          <w:rFonts w:ascii="Times New Roman" w:cs="Times New Roman" w:eastAsia="Times New Roman" w:hAnsi="Times New Roman"/>
          <w:sz w:val="14"/>
          <w:szCs w:val="14"/>
          <w:b w:val="1"/>
          <w:bCs w:val="1"/>
          <w:color w:val="auto"/>
        </w:rPr>
        <w:t>Common Areas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mean those areas and facilities within the Park, exclusive of the Premises and the other portions of the Park leasable exclusively to other tenants, which Tenant shall have the non-exclusive right to use in common with other tenants in the Park and those portions of the Park which are provided, from time to time, for use in common by Landlord, Tenant and any other tenants of the Park.</w:t>
      </w:r>
    </w:p>
    <w:p>
      <w:pPr>
        <w:spacing w:after="0" w:line="53" w:lineRule="exact"/>
        <w:rPr>
          <w:sz w:val="20"/>
          <w:szCs w:val="20"/>
          <w:color w:val="auto"/>
        </w:rPr>
      </w:pPr>
    </w:p>
    <w:p>
      <w:pPr>
        <w:ind w:left="560" w:right="439" w:firstLine="32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6.1.2 </w:t>
      </w:r>
      <w:r>
        <w:rPr>
          <w:rFonts w:ascii="Times New Roman" w:cs="Times New Roman" w:eastAsia="Times New Roman" w:hAnsi="Times New Roman"/>
          <w:sz w:val="14"/>
          <w:szCs w:val="14"/>
          <w:color w:val="auto"/>
        </w:rPr>
        <w:t>Landlord’s annual cost of commercially reasonable insurance insuring against fire and extended coverage (including, if Landlord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elects, “all risk” or “special purpose” coverage) and all other insurance reasonably determined by Landlord, including, but not limited to, earthquake, flood and/or surface water endorsements for the Building, the lot upon which the Building is located and the Park (including the Common Areas), rental value insurance against loss of Rent in an amount equal to the amount of Rent for a period of at least six (6) months commencing on the date of loss, and subject to the provisions of Section 27 below, any deductible provided however, any earthquake insurance deductible in excess of One Hundred Thousand Dollars ($100,000) shall be amortized over the remainder of the Term;</w:t>
      </w:r>
    </w:p>
    <w:p>
      <w:pPr>
        <w:spacing w:after="0" w:line="57" w:lineRule="exact"/>
        <w:rPr>
          <w:sz w:val="20"/>
          <w:szCs w:val="20"/>
          <w:color w:val="auto"/>
        </w:rPr>
      </w:pPr>
    </w:p>
    <w:p>
      <w:pPr>
        <w:ind w:left="560" w:right="299" w:firstLine="32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6.1.3 </w:t>
      </w:r>
      <w:r>
        <w:rPr>
          <w:rFonts w:ascii="Times New Roman" w:cs="Times New Roman" w:eastAsia="Times New Roman" w:hAnsi="Times New Roman"/>
          <w:sz w:val="14"/>
          <w:szCs w:val="14"/>
          <w:color w:val="auto"/>
        </w:rPr>
        <w:t>Landlord’s cost of: (i) modifications and/or new improvements to the Building, the Common Areas and/or the Park occasioned by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rules, laws or regulations effective subsequent to the Commencement Date; (ii) reasonably necessary replacement improvements to the Building, the Common Areas and the Park after the Commencement Date; and (iii) new improvements to the Building, the Common Areas and/or the Park that reduce operating costs or improve life/safety conditions, all as reasonably determined by Landlord (collectively “</w:t>
      </w:r>
      <w:r>
        <w:rPr>
          <w:rFonts w:ascii="Times New Roman" w:cs="Times New Roman" w:eastAsia="Times New Roman" w:hAnsi="Times New Roman"/>
          <w:sz w:val="14"/>
          <w:szCs w:val="14"/>
          <w:b w:val="1"/>
          <w:bCs w:val="1"/>
          <w:color w:val="auto"/>
        </w:rPr>
        <w:t>Permitted Capital Costs</w:t>
      </w:r>
      <w:r>
        <w:rPr>
          <w:rFonts w:ascii="Times New Roman" w:cs="Times New Roman" w:eastAsia="Times New Roman" w:hAnsi="Times New Roman"/>
          <w:sz w:val="14"/>
          <w:szCs w:val="14"/>
          <w:color w:val="auto"/>
        </w:rPr>
        <w:t>”); provided, however, that except for capital improvements required because of Tenant’s specific use of the Premises, if Landlord is required to or voluntarily makes such capital improvements as defined in accordance with generally accepted accounting principles, Landlord shall amortize the cost of said improvements over the useful life of said improvements as reasonably determined by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684" w:name="page685"/>
    <w:bookmarkEnd w:id="684"/>
    <w:p>
      <w:pPr>
        <w:ind w:left="56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Landlord (together with interest on the unamortized balance at the rate equal to the effective rate of interest on Landlord’s bank line of credit at the time of completion of said improvements, but in no event in excess of ten percent (10%) per annum) as an Operating Expense, except that with respect to capital improvements made to save Operating Expenses such amortization shall not be at a rate greater than the actual savings in Operating Expenses.</w:t>
      </w:r>
    </w:p>
    <w:p>
      <w:pPr>
        <w:spacing w:after="0" w:line="53" w:lineRule="exact"/>
        <w:rPr>
          <w:sz w:val="20"/>
          <w:szCs w:val="20"/>
          <w:color w:val="auto"/>
        </w:rPr>
      </w:pPr>
    </w:p>
    <w:p>
      <w:pPr>
        <w:ind w:left="560" w:right="619" w:firstLine="329"/>
        <w:spacing w:after="0" w:line="325" w:lineRule="auto"/>
        <w:rPr>
          <w:sz w:val="20"/>
          <w:szCs w:val="20"/>
          <w:color w:val="auto"/>
        </w:rPr>
      </w:pPr>
      <w:r>
        <w:rPr>
          <w:rFonts w:ascii="Times New Roman" w:cs="Times New Roman" w:eastAsia="Times New Roman" w:hAnsi="Times New Roman"/>
          <w:sz w:val="13"/>
          <w:szCs w:val="13"/>
          <w:b w:val="1"/>
          <w:bCs w:val="1"/>
          <w:color w:val="auto"/>
        </w:rPr>
        <w:t xml:space="preserve">6.1.4 </w:t>
      </w:r>
      <w:r>
        <w:rPr>
          <w:rFonts w:ascii="Times New Roman" w:cs="Times New Roman" w:eastAsia="Times New Roman" w:hAnsi="Times New Roman"/>
          <w:sz w:val="13"/>
          <w:szCs w:val="13"/>
          <w:color w:val="auto"/>
        </w:rPr>
        <w:t>If Landlord elects to so procure, Landlord’s cost of preventative maintenance, and repair contracts including, but not limited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contracts for elevator systems and heating, ventilation and air conditioning systems, lifts for disabled persons, and trash or refuse collection;</w:t>
      </w:r>
    </w:p>
    <w:p>
      <w:pPr>
        <w:spacing w:after="0" w:line="15" w:lineRule="exact"/>
        <w:rPr>
          <w:sz w:val="20"/>
          <w:szCs w:val="20"/>
          <w:color w:val="auto"/>
        </w:rPr>
      </w:pPr>
    </w:p>
    <w:p>
      <w:pPr>
        <w:ind w:left="560" w:right="639" w:firstLine="329"/>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6.1.5 </w:t>
      </w:r>
      <w:r>
        <w:rPr>
          <w:rFonts w:ascii="Times New Roman" w:cs="Times New Roman" w:eastAsia="Times New Roman" w:hAnsi="Times New Roman"/>
          <w:sz w:val="14"/>
          <w:szCs w:val="14"/>
          <w:color w:val="auto"/>
        </w:rPr>
        <w:t>Landlord’s cost of security and fire protection services for the Building and/or the Park, as the case may be, if in Landlord’s sole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discretion such services are provided;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 xml:space="preserve">6.1.6 </w:t>
      </w:r>
      <w:r>
        <w:rPr>
          <w:rFonts w:ascii="Times New Roman" w:cs="Times New Roman" w:eastAsia="Times New Roman" w:hAnsi="Times New Roman"/>
          <w:sz w:val="14"/>
          <w:szCs w:val="14"/>
          <w:color w:val="auto"/>
        </w:rPr>
        <w:t>Landlord’s cost of supplies, equipment, rental equipment and other similar items used in the operation and/or maintenance of the Park;</w:t>
      </w:r>
    </w:p>
    <w:p>
      <w:pPr>
        <w:spacing w:after="0" w:line="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 xml:space="preserve">6.1.7 </w:t>
      </w:r>
      <w:r>
        <w:rPr>
          <w:rFonts w:ascii="Times New Roman" w:cs="Times New Roman" w:eastAsia="Times New Roman" w:hAnsi="Times New Roman"/>
          <w:sz w:val="14"/>
          <w:szCs w:val="14"/>
          <w:color w:val="auto"/>
        </w:rPr>
        <w:t>Landlord’s cost for the repairs and maintenance items set forth in Section 11.2 below;</w:t>
      </w:r>
    </w:p>
    <w:p>
      <w:pPr>
        <w:spacing w:after="0" w:line="91" w:lineRule="exact"/>
        <w:rPr>
          <w:sz w:val="20"/>
          <w:szCs w:val="20"/>
          <w:color w:val="auto"/>
        </w:rPr>
      </w:pPr>
    </w:p>
    <w:p>
      <w:pPr>
        <w:ind w:left="560" w:right="299" w:firstLine="329"/>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6.1.8 </w:t>
      </w:r>
      <w:r>
        <w:rPr>
          <w:rFonts w:ascii="Times New Roman" w:cs="Times New Roman" w:eastAsia="Times New Roman" w:hAnsi="Times New Roman"/>
          <w:sz w:val="14"/>
          <w:szCs w:val="14"/>
          <w:color w:val="auto"/>
        </w:rPr>
        <w:t>The management fee charged for the management of the Building which shall not exceed three percent (3%) of the total gross receipts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received by Landlord from operating the Building, including Base Rent and Additional Rent;</w:t>
      </w:r>
    </w:p>
    <w:p>
      <w:pPr>
        <w:spacing w:after="0" w:line="37" w:lineRule="exact"/>
        <w:rPr>
          <w:sz w:val="20"/>
          <w:szCs w:val="20"/>
          <w:color w:val="auto"/>
        </w:rPr>
      </w:pPr>
    </w:p>
    <w:p>
      <w:pPr>
        <w:ind w:left="560" w:right="299" w:firstLine="329"/>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6.1.9 </w:t>
      </w:r>
      <w:r>
        <w:rPr>
          <w:rFonts w:ascii="Times New Roman" w:cs="Times New Roman" w:eastAsia="Times New Roman" w:hAnsi="Times New Roman"/>
          <w:sz w:val="14"/>
          <w:szCs w:val="14"/>
          <w:color w:val="auto"/>
        </w:rPr>
        <w:t>Any wages, bonuses or other compensation of building engineer and property accountant, which amount shall be prorated on the basis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 per square foot basis to the extent such services are not provided exclusively to the Building; and</w:t>
      </w:r>
    </w:p>
    <w:p>
      <w:pPr>
        <w:spacing w:after="0" w:line="37" w:lineRule="exact"/>
        <w:rPr>
          <w:sz w:val="20"/>
          <w:szCs w:val="20"/>
          <w:color w:val="auto"/>
        </w:rPr>
      </w:pPr>
    </w:p>
    <w:p>
      <w:pPr>
        <w:ind w:left="560" w:right="239" w:firstLine="329"/>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6.1.10 </w:t>
      </w:r>
      <w:r>
        <w:rPr>
          <w:rFonts w:ascii="Times New Roman" w:cs="Times New Roman" w:eastAsia="Times New Roman" w:hAnsi="Times New Roman"/>
          <w:sz w:val="14"/>
          <w:szCs w:val="14"/>
          <w:color w:val="auto"/>
        </w:rPr>
        <w:t>Operating Expenses shall also include any other expense or charge, whether or not described herein not specifically excluded by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provisions of this Lease, which in accordance with generally accepted accounting principles would be considered an expense of managing, operating, maintaining, and repairing the Property.</w:t>
      </w:r>
    </w:p>
    <w:p>
      <w:pPr>
        <w:spacing w:after="0" w:line="50" w:lineRule="exact"/>
        <w:rPr>
          <w:sz w:val="20"/>
          <w:szCs w:val="20"/>
          <w:color w:val="auto"/>
        </w:rPr>
      </w:pPr>
    </w:p>
    <w:p>
      <w:pPr>
        <w:ind w:left="560" w:right="279" w:firstLine="32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6.1.11 </w:t>
      </w:r>
      <w:r>
        <w:rPr>
          <w:rFonts w:ascii="Times New Roman" w:cs="Times New Roman" w:eastAsia="Times New Roman" w:hAnsi="Times New Roman"/>
          <w:sz w:val="14"/>
          <w:szCs w:val="14"/>
          <w:color w:val="auto"/>
        </w:rPr>
        <w:t>The following shall be excluded from the definition of Operating Expenses: costs occasioned by the act, omission or violation of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Landlord, any other occupant of the Building or the Park, or their respective agents, employees or contractors; costs for which Landlord receives reimbursement from others, including reimbursement from insurance (provided that Landlord shall use commercially reasonable efforts to collect such amounts); (c) rent, interest, charges and fees incurred on debt or payments on any deed of trust or ground lease on the Building, or the Park; (d) advertising or promotional costs or other costs incurred by Landlord in procuring tenants for the Building or other portions of the Park; (e) costs incurred in repairing, maintaining or replacing any structural elements of the Park for which Landlord is responsible pursuant to Section 11.3 hereof; (f) any wages, bonuses or other compensation of employees above the grade of building manager and any executive salary of any officer or employee of Landlord or for employees to the extent not stationed at the Park; (g) general office overhead and general and administrative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685" w:name="page686"/>
    <w:bookmarkEnd w:id="685"/>
    <w:p>
      <w:pPr>
        <w:ind w:left="56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expenses of Landlord, except as specifically provided herein; (h) leasing expenses and broker commissions payable by Landlord; (i) costs occasioned by casualties or by the exercise of the power of eminent domain; (j) costs to correct any construction defect in the Building or the Premises existing on the Commencement Date; (k) costs of any renovation, improvement, painting or redecorating of any portion of the Property or the Park not made available for Tenant’s use and/or benefit; (l) costs incurred in connection with negotiations or disputes with any other occupant of the Park and costs arising from the violation by Landlord or any other occupant of the Park of the terms and conditions of any lease or other agreement; (m) costs incurred in connection with the presence of any Hazardous Materials on the Property or on other property in the Park that do not arise from or are not related to the intentional or negligent act or omission of Tenant or Tenant’s Representatives; (n) any management fee, administrative fee or other similar fees except as expressly provided in Section 6.1.9 above; (o) costs and expenses which would be capitalized under generally accepted accounting principles, except for Permitted Capital Costs; and (p) expense reserves; (q) any costs and expenses relating solely to another building or to the interior portions of any other building or other structures except the Building (excluding, however, such costs and expenses relating to interior portions of such other building or structures that are used as Common Areas); and (r) repairs or maintenance of areas of the Park leasable exclusively to other tenants.</w:t>
      </w:r>
    </w:p>
    <w:p>
      <w:pPr>
        <w:spacing w:after="0" w:line="62" w:lineRule="exact"/>
        <w:rPr>
          <w:sz w:val="20"/>
          <w:szCs w:val="20"/>
          <w:color w:val="auto"/>
        </w:rPr>
      </w:pPr>
    </w:p>
    <w:p>
      <w:pPr>
        <w:ind w:left="560" w:right="299"/>
        <w:spacing w:after="0" w:line="256" w:lineRule="auto"/>
        <w:rPr>
          <w:sz w:val="20"/>
          <w:szCs w:val="20"/>
          <w:color w:val="auto"/>
        </w:rPr>
      </w:pPr>
      <w:r>
        <w:rPr>
          <w:rFonts w:ascii="Times New Roman" w:cs="Times New Roman" w:eastAsia="Times New Roman" w:hAnsi="Times New Roman"/>
          <w:sz w:val="14"/>
          <w:szCs w:val="14"/>
          <w:color w:val="auto"/>
        </w:rPr>
        <w:t>When, in the reasonable determination of Landlord, any service, including, but not limited to, HVAC, electrical, janitorial and property management service, is provided disproportionately either to the Premises or to any other premises within the Building, then Operating Expenses per square foot payable hereunder may be increased or reduced, as the case may be, by Landlord’s reasonable determination of the increased or reduced cost per square foot of such disproportionate service; provided, however, that the foregoing shall not apply with Tenant leases the entire Building. Tenant shall also pay the cost of any above-standard services (including, without limitation, above-standard utility charges) and the cost of any separately metered utilities.</w:t>
      </w:r>
    </w:p>
    <w:p>
      <w:pPr>
        <w:spacing w:after="0" w:line="143"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6.2 Tax Expenses: </w:t>
      </w:r>
      <w:r>
        <w:rPr>
          <w:rFonts w:ascii="Times New Roman" w:cs="Times New Roman" w:eastAsia="Times New Roman" w:hAnsi="Times New Roman"/>
          <w:sz w:val="14"/>
          <w:szCs w:val="14"/>
          <w:color w:val="auto"/>
        </w:rPr>
        <w:t>In addition to the Base Rent set forth in Section 3 and the Operating Expenses set forth in Section 6.1, Tenant shall pay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which is specified in the Basic Lease Information, of all real property taxes applicable to the land and improvements included within the lot on which the Premises are situated and one hundred percent (100%) of all personal property taxes now or hereafter assessed or levied against the Premises or Tenant’s personal property. The amount of Tenant’s Share of Tax Expenses shall be reviewed from time to time by Landlord and shall be subject to modification by Landlord if there is a change in the rentable square footage of the Premises, the Building and/or the Park. Tenant shall also pay one hundred percent (100%) of any increase in real property taxes attributable to any and all alterations, Tenant Improvements or other improvements of any kind, which are above standard improvements customarily installed for similar buildings located within the Building or the Park (as applicable), whatsoever placed in, on or about the Premises for the benefit of, at the request of, or by Tenant. The term “</w:t>
      </w:r>
      <w:r>
        <w:rPr>
          <w:rFonts w:ascii="Times New Roman" w:cs="Times New Roman" w:eastAsia="Times New Roman" w:hAnsi="Times New Roman"/>
          <w:sz w:val="14"/>
          <w:szCs w:val="14"/>
          <w:b w:val="1"/>
          <w:bCs w:val="1"/>
          <w:color w:val="auto"/>
        </w:rPr>
        <w:t>Tax Expenses</w:t>
      </w:r>
      <w:r>
        <w:rPr>
          <w:rFonts w:ascii="Times New Roman" w:cs="Times New Roman" w:eastAsia="Times New Roman" w:hAnsi="Times New Roman"/>
          <w:sz w:val="14"/>
          <w:szCs w:val="14"/>
          <w:color w:val="auto"/>
        </w:rPr>
        <w:t>” shall mean and include, without limitation, any form of tax and assessment (general, special, supplemental, ordinary or extraordinary), commercial rental tax, payments under any improvement bond or bonds, license fees, license tax, business license fee, rental tax, transaction tax, levy, or penalty imposed by authority having the direct or indirect power of tax (including any city, county, state or federal government, or any school, agricultural, lighting, drainage or other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686" w:name="page687"/>
    <w:bookmarkEnd w:id="686"/>
    <w:p>
      <w:pPr>
        <w:ind w:left="220" w:right="3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improvement district thereof) as against any legal or equitable interest of Landlord in the Premises, the Building, the lot upon which the Building is located or the Park, as against Landlord’s right to rent or as against Landlord’s business of leasing the Premises or the occupancy of Tenant or any other tax, fee, or excise, however described, including, but not limited to, any value added tax, or any tax imposed in substitution (partially or totally) of any tax previously included within the definition of real property taxes, or any additional tax the nature of which was previously included within the definition of real property taxes. The term “</w:t>
      </w:r>
      <w:r>
        <w:rPr>
          <w:rFonts w:ascii="Times New Roman" w:cs="Times New Roman" w:eastAsia="Times New Roman" w:hAnsi="Times New Roman"/>
          <w:sz w:val="14"/>
          <w:szCs w:val="14"/>
          <w:b w:val="1"/>
          <w:bCs w:val="1"/>
          <w:color w:val="auto"/>
        </w:rPr>
        <w:t>Tax Expenses</w:t>
      </w:r>
      <w:r>
        <w:rPr>
          <w:rFonts w:ascii="Times New Roman" w:cs="Times New Roman" w:eastAsia="Times New Roman" w:hAnsi="Times New Roman"/>
          <w:sz w:val="14"/>
          <w:szCs w:val="14"/>
          <w:color w:val="auto"/>
        </w:rPr>
        <w:t>” shall not include (a) any franchise, estate, inheritance, gift, capital stock, net income, or excess profits tax imposed upon Landlord and other taxes applied or measured by Landlord’s general or net income (as opposed to rents, receipts, or income attributable to operations at the Building); (b) any items included as Operating Expenses; (c) imposed on land and improvements other than the Park; (d) resulting from the improvement of any of the Building or the Park for the sole use of Landlord or other occupants; and (e) a penalty fee imposed as a result of Landlord’s failure to pay Tax Expenses when due.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6.3 Intentionally Deleted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6.4 Payment of Expenses: </w:t>
      </w:r>
      <w:r>
        <w:rPr>
          <w:rFonts w:ascii="Times New Roman" w:cs="Times New Roman" w:eastAsia="Times New Roman" w:hAnsi="Times New Roman"/>
          <w:sz w:val="14"/>
          <w:szCs w:val="14"/>
          <w:color w:val="auto"/>
        </w:rPr>
        <w:t>Landlord shall estimate Tenant’s Share of the Operating Expenses and Tax Expenses for the calendar year in which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Lease commences. Commencing on the Commencement Date, one-twelfth (1/12th) of this estimated amount shall be paid by Tenant to Landlord, as Additional Rent, and thereafter on the first (1st) day of each month throughout the remaining months of such calendar year. Thereafter, Landlord shall estimate such expenses as close as reasonably possible to the beginning of each calendar year during the Term of this Lease, but no later than April 1 of such year, and Tenant shall pay one-twelfth (1/12th) of such estimated amount as Additional Rent hereunder on the first (1st) day of each month during such calendar year and for each ensuing calendar year throughout the Term of this Lease. If at any time during any such calendar year, it appears to Landlord that the Operating Expenses or Tax Expenses for such year will vary from Landlord’s estimate, Landlord may, by written notice to Tenant, revise Landlord’s estimate for such year and the Additional Rent payments by Tenant for such year shall thereafter be based upon such revised estimate. Landlord shall furnish to Tenant with such revised estimate written verification showing that the actual Operating Expenses or Tax Expenses are greater than Landlord’s estimate. The increase in the monthly installments of Additional Rent resulting from Landlord’s revised estimate shall not be retroactive, but the Additional Rent for each calendar year shall be subject to adjustment between Landlord and Tenant after the close of the calendar year, as provided herein. Tenant’s obligation to pay Tenant’s Share of Operating Expenses and Tax Expenses shall survive the expiration or earlier termination of this Lease.</w:t>
      </w:r>
    </w:p>
    <w:p>
      <w:pPr>
        <w:spacing w:after="0" w:line="144" w:lineRule="exact"/>
        <w:rPr>
          <w:sz w:val="20"/>
          <w:szCs w:val="20"/>
          <w:color w:val="auto"/>
        </w:rPr>
      </w:pPr>
    </w:p>
    <w:p>
      <w:pPr>
        <w:ind w:left="220" w:right="259" w:firstLine="342"/>
        <w:spacing w:after="0" w:line="278" w:lineRule="auto"/>
        <w:rPr>
          <w:sz w:val="20"/>
          <w:szCs w:val="20"/>
          <w:color w:val="auto"/>
        </w:rPr>
      </w:pPr>
      <w:r>
        <w:rPr>
          <w:rFonts w:ascii="Times New Roman" w:cs="Times New Roman" w:eastAsia="Times New Roman" w:hAnsi="Times New Roman"/>
          <w:sz w:val="13"/>
          <w:szCs w:val="13"/>
          <w:b w:val="1"/>
          <w:bCs w:val="1"/>
          <w:color w:val="auto"/>
        </w:rPr>
        <w:t xml:space="preserve">6.5 Annual Reconciliation: </w:t>
      </w:r>
      <w:r>
        <w:rPr>
          <w:rFonts w:ascii="Times New Roman" w:cs="Times New Roman" w:eastAsia="Times New Roman" w:hAnsi="Times New Roman"/>
          <w:sz w:val="13"/>
          <w:szCs w:val="13"/>
          <w:color w:val="auto"/>
        </w:rPr>
        <w:t>By June 30th of each calendar year, or as soon thereafter as reasonably possible Landlord shall endeavor to furnish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Tenant with an accounting of actual Operating Expenses and Tax Expenses (each, a “</w:t>
      </w:r>
      <w:r>
        <w:rPr>
          <w:rFonts w:ascii="Times New Roman" w:cs="Times New Roman" w:eastAsia="Times New Roman" w:hAnsi="Times New Roman"/>
          <w:sz w:val="13"/>
          <w:szCs w:val="13"/>
          <w:b w:val="1"/>
          <w:bCs w:val="1"/>
          <w:color w:val="auto"/>
        </w:rPr>
        <w:t>Final Statement</w:t>
      </w:r>
      <w:r>
        <w:rPr>
          <w:rFonts w:ascii="Times New Roman" w:cs="Times New Roman" w:eastAsia="Times New Roman" w:hAnsi="Times New Roman"/>
          <w:sz w:val="13"/>
          <w:szCs w:val="13"/>
          <w:color w:val="auto"/>
        </w:rPr>
        <w:t>”). Within thirty (30) days of Landlord’s delivery of such Final Statement, Tenant shall pay to Landlord the amount of any underpayment. Notwithstanding the foregoing, failure by Landlord to give such a Final Statement by such date shall not constitute a waiver by Landlord of its right to collect any of Tenant’s underpayment at any time. Landlord shall credit the amount of any overpayment by Tenant toward the next estimated monthly installment(s) of rent falling due, or where the Term of the Lease has expired, refund the amount of overpayment to Tenant. If the Term of the Lease expires prior to the annual reconciliation of expenses Landlord shall have the right to reasonably estimate Tenant’s Share of such expenses, and if Landlord determines that an underpayment is due, Tenant hereby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687" w:name="page688"/>
    <w:bookmarkEnd w:id="687"/>
    <w:p>
      <w:pPr>
        <w:ind w:left="220" w:right="399"/>
        <w:spacing w:after="0" w:line="28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agrees that Landlord shall be entitled to deduct such underpayment from Tenant’s Security Deposit. If Landlord reasonably determines that an overpayment has been made by Tenant, Landlord shall refund said overpayment to Tenant concurrently with the delivery of the Security Deposit to Tenant pursuant to Section 4 above. Notwithstanding the foregoing, failure of Landlord to accurately estimate Tenant’s Share of such expenses or to otherwise perform such reconciliation of expenses, including without limitation, Landlord’s failure to deduct any portion of any underpayment from Tenant’s Security Deposit, shall not constitute a waiver of Landlord’s right to collect any of Tenant’s underpayment at any time during the Term of the Lease or at any time after the expiration or earlier termination of this Lease for a period of three (3) years from such expiration or earlier termination.</w:t>
      </w:r>
    </w:p>
    <w:p>
      <w:pPr>
        <w:spacing w:after="0" w:line="127" w:lineRule="exact"/>
        <w:rPr>
          <w:sz w:val="20"/>
          <w:szCs w:val="20"/>
          <w:color w:val="auto"/>
        </w:rPr>
      </w:pPr>
    </w:p>
    <w:p>
      <w:pPr>
        <w:ind w:left="220" w:right="23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6.6 Audit: </w:t>
      </w:r>
      <w:r>
        <w:rPr>
          <w:rFonts w:ascii="Times New Roman" w:cs="Times New Roman" w:eastAsia="Times New Roman" w:hAnsi="Times New Roman"/>
          <w:sz w:val="14"/>
          <w:szCs w:val="14"/>
          <w:color w:val="auto"/>
        </w:rPr>
        <w:t>After delivery to Landlord of at least thirty (30) days prior written notice and no later than ninety (90) days after delivery of Landlord’s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Final Statement, Tenant, at its sole cost and expense through any accountant designated by it, shall have the right to examine and/or audit the books and records evidencing such costs and expenses for the previous one (1) calendar year covered by such Final Statement, during Landlord’s reasonable business hours but not more frequently than once during any calendar year. The audit may only cover the immediately preceding calendar year. Tenant must provide Landlord with a copy of the final audit report promptly after completion of such review. The audit must be conducted by a certified public accountant who is either an employee of Tenant or an independent accounting firm reasonably acceptable to Landlord and any such accounting firm may not be compensated on a contingency fee basis. The results of any such audit (and any negotiations between the parties related thereto) shall be maintained strictly confidential by Tenant and its accounting firm and shall not be disclosed, published or otherwise disseminated to any other party other than to Landlord and its authorized agents. Landlord and Tenant shall use their best efforts to cooperate in such negotiations and to promptly resolve any discrepancies between Landlord and Tenant in the accounting of such costs and expenses. If such inspection reveals that the amount of Operating Expenses billed to Tenant was incorrect, the appropriate party shall pay to the other party the deficiency or overpayment, as applicable, within thirty (30) days following delivery of the inspection. If Landlord’s audit of the Operating Expenses and/or Tax Expenses for any year reveals a net overcharge of more than five percent (5%), Landlord promptly shall reimburse Tenant for the cost of the audit up to a maximum amount of Five Thousand and 00/100 ($5,000); otherwise, Tenant shall bear the cost of Tenant’s audit. Notwithstanding anything herein to the contrary, if Tenant does not notify Landlord in writing of any objection to any Final Statement within ninety (90) days after receipt thereof, then Tenant shall be deemed to have approved such determination set forth in the Final Statement and Tenant shall be deemed to have waived any such objection.</w:t>
      </w:r>
    </w:p>
    <w:p>
      <w:pPr>
        <w:spacing w:after="0" w:line="150" w:lineRule="exact"/>
        <w:rPr>
          <w:sz w:val="20"/>
          <w:szCs w:val="20"/>
          <w:color w:val="auto"/>
        </w:rPr>
      </w:pPr>
    </w:p>
    <w:p>
      <w:pPr>
        <w:ind w:left="220" w:right="239" w:firstLine="3"/>
        <w:spacing w:after="0" w:line="256" w:lineRule="auto"/>
        <w:tabs>
          <w:tab w:leader="none" w:pos="360" w:val="left"/>
        </w:tabs>
        <w:numPr>
          <w:ilvl w:val="0"/>
          <w:numId w:val="4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Utilities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Utility Expenses, Common Utility Costs and all other sums or charges set forth in this Section 7 are considered part of Additional Rent.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 to the Base Rent set forth in Section 3 hereof and the Operating Expenses set forth in Section 6.1, Tenant shall pay the cost of all water, sewer use, sewer discharge fees and sewer connection fees, gas, heat, electricity, refuse pickup, janitorial service, telephone and other utilities billed or metered separately to the Premises and/or Tenant. Tenant shall also pay Tenant’s Share of any assessments or charges for utility or similar purposes included within any tax bill for the lot on which the Premises are situated, including, without limitation, entitlement fees, allocation unit fees, and/or any similar fees or charges, and any penalties related thereto. For any such utility fees or use charges that are not billed or metered separately to Tenant, including without limitation, water and refuse pick up charges,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2" w:right="1440" w:bottom="1440" w:gutter="0" w:footer="0" w:header="0"/>
        </w:sectPr>
      </w:pPr>
    </w:p>
    <w:bookmarkStart w:id="688" w:name="page689"/>
    <w:bookmarkEnd w:id="688"/>
    <w:p>
      <w:pPr>
        <w:ind w:left="220" w:right="23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Tenant shall pay to Landlord, as Additional Rent, without prior notice or demand, on the Commencement Date and thereafter on the first (1st) day of each month throughout the balance of the Term of this Lease the amount which is attributable to Tenant’s use of the utilities or similar services, as reasonably estimated and determined by Landlord based upon factors such as size of the Premises and intensity of use of such utilities by Tenant such that Tenant shall pay the portion of such charges reasonably consistent with Tenant’s use of such utilities and similar services (“</w:t>
      </w:r>
      <w:r>
        <w:rPr>
          <w:rFonts w:ascii="Times New Roman" w:cs="Times New Roman" w:eastAsia="Times New Roman" w:hAnsi="Times New Roman"/>
          <w:sz w:val="13"/>
          <w:szCs w:val="13"/>
          <w:b w:val="1"/>
          <w:bCs w:val="1"/>
          <w:color w:val="auto"/>
        </w:rPr>
        <w:t>Utility Expenses</w:t>
      </w:r>
      <w:r>
        <w:rPr>
          <w:rFonts w:ascii="Times New Roman" w:cs="Times New Roman" w:eastAsia="Times New Roman" w:hAnsi="Times New Roman"/>
          <w:sz w:val="13"/>
          <w:szCs w:val="13"/>
          <w:color w:val="auto"/>
        </w:rPr>
        <w:t>”). If Tenant disputes any such estimate or determination, then Tenant shall either pay the estimated amount or cause the Premises to be separately metered at Tenant’s sole expense. In addition, Tenant shall pay to Landlord Tenant’s Share of any Common Area utility costs, fees, charges or expenses (“</w:t>
      </w:r>
      <w:r>
        <w:rPr>
          <w:rFonts w:ascii="Times New Roman" w:cs="Times New Roman" w:eastAsia="Times New Roman" w:hAnsi="Times New Roman"/>
          <w:sz w:val="13"/>
          <w:szCs w:val="13"/>
          <w:b w:val="1"/>
          <w:bCs w:val="1"/>
          <w:color w:val="auto"/>
        </w:rPr>
        <w:t>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Area Utility Costs</w:t>
      </w:r>
      <w:r>
        <w:rPr>
          <w:rFonts w:ascii="Times New Roman" w:cs="Times New Roman" w:eastAsia="Times New Roman" w:hAnsi="Times New Roman"/>
          <w:sz w:val="13"/>
          <w:szCs w:val="13"/>
          <w:color w:val="auto"/>
        </w:rPr>
        <w:t>”). Tenant shall pay to Landlord one-twelfth (1/12th) of the estimated amount of Tenant’s Share of the Common Area Utility Costs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Commencement Date and thereafter on the first (1st) day of each month throughout the balance of the Term of this Lease and any reconciliation thereof shall be substantially in the same manner as specified in Section 6.5 above. Tenant acknowledges that the Premises may become subject to the rationing of utility services or restrictions on utility use as required by a public utility company, governmental agency or other similar entity having jurisdiction thereof. Notwithstanding any such rationing or restrictions on use of any such utility services, Tenant acknowledges and agrees that its tenancy and occupancy hereunder shall be subject to such rationing restrictions as may be imposed upon Landlord, Tenant, the Premises, the Building or the Park, and Tenant shall in no event be excused or relieved from any covenant or obligation to be kept or performed by Tenant by reason of any such rationing or restrictions. Tenant further agrees to timely and faithfully pay, prior to delinquency, any amount, tax, charge, surcharge, assessment or imposition levied, assessed or imposed upon the Premises, or Tenant’s use and occupancy thereof. Notwithstanding anything to the contrary contained herein, if permitted by applicable Laws, Landlord shall have the right at any time and from time to time during the Term of this Lease to either contract for service from a different company or companies (each such company shall be referred to herein as an “</w:t>
      </w:r>
      <w:r>
        <w:rPr>
          <w:rFonts w:ascii="Times New Roman" w:cs="Times New Roman" w:eastAsia="Times New Roman" w:hAnsi="Times New Roman"/>
          <w:sz w:val="13"/>
          <w:szCs w:val="13"/>
          <w:b w:val="1"/>
          <w:bCs w:val="1"/>
          <w:color w:val="auto"/>
        </w:rPr>
        <w:t>Alternate Service Provider</w:t>
      </w:r>
      <w:r>
        <w:rPr>
          <w:rFonts w:ascii="Times New Roman" w:cs="Times New Roman" w:eastAsia="Times New Roman" w:hAnsi="Times New Roman"/>
          <w:sz w:val="13"/>
          <w:szCs w:val="13"/>
          <w:color w:val="auto"/>
        </w:rPr>
        <w:t>”) other than the company or companies presently providing electricity service for the Building or the Park (the “</w:t>
      </w:r>
      <w:r>
        <w:rPr>
          <w:rFonts w:ascii="Times New Roman" w:cs="Times New Roman" w:eastAsia="Times New Roman" w:hAnsi="Times New Roman"/>
          <w:sz w:val="13"/>
          <w:szCs w:val="13"/>
          <w:b w:val="1"/>
          <w:bCs w:val="1"/>
          <w:color w:val="auto"/>
        </w:rPr>
        <w:t>Electric Service Provider</w:t>
      </w:r>
      <w:r>
        <w:rPr>
          <w:rFonts w:ascii="Times New Roman" w:cs="Times New Roman" w:eastAsia="Times New Roman" w:hAnsi="Times New Roman"/>
          <w:sz w:val="13"/>
          <w:szCs w:val="13"/>
          <w:color w:val="auto"/>
        </w:rPr>
        <w:t>”) or continue to contract for service from the Electric Service Provider, at Landlord’s sole discretion. Tenant hereby agrees to cooperate with Landlord, the Electric Service Provider, and any Alternate Service Provider at all times and, as reasonably necessary, shall allow Landlord, the Electric Service Provider, and any Alternate Service Provider reasonable access to the Building’s electric lines, feeders, risers, wiring, and any other machinery within the Premises.</w:t>
      </w:r>
    </w:p>
    <w:p>
      <w:pPr>
        <w:spacing w:after="0" w:line="305" w:lineRule="exact"/>
        <w:rPr>
          <w:sz w:val="20"/>
          <w:szCs w:val="20"/>
          <w:color w:val="auto"/>
        </w:rPr>
      </w:pPr>
    </w:p>
    <w:p>
      <w:pPr>
        <w:ind w:left="220" w:right="239"/>
        <w:spacing w:after="0" w:line="254" w:lineRule="auto"/>
        <w:rPr>
          <w:sz w:val="20"/>
          <w:szCs w:val="20"/>
          <w:color w:val="auto"/>
        </w:rPr>
      </w:pPr>
      <w:r>
        <w:rPr>
          <w:rFonts w:ascii="Times New Roman" w:cs="Times New Roman" w:eastAsia="Times New Roman" w:hAnsi="Times New Roman"/>
          <w:sz w:val="14"/>
          <w:szCs w:val="14"/>
          <w:color w:val="auto"/>
        </w:rPr>
        <w:t>Tenant acknowledges and affirms its knowledge and understanding of Landlord’s efforts to benchmark utility consumption within the entirety of the Building. As such, Tenant authorizes Landlord, acting on behalf of the Tenant, to request that the applicable utility provider deliver directly to Landlord the necessary consumption information to enable Landlord to satisfy the requirements established by the US EPA for whole building data for the Energy Star Portfolio Manager tool. Tenant agrees to deliver such additional written authorization to Landlord as may be required or mandated by the applicable utility provider to enable delivery of the requested consumption information. Tenant further authorizes Landlord to incorporate Tenant’s utility data in the Energy Star Portfolio Manager tool, and/or such other benchmarking initiatives as Landlord actively participates in, subject only to the provision that Landlord will exercise commercially reasonable care to maintain the privacy of Tenant’s specific consumption data. Any public dissemination of such data shall be in aggregate with other Building tenants’ and occupants’ consumption data, with no direct identification of individual tenant usage. To the extent that the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689" w:name="page690"/>
    <w:bookmarkEnd w:id="689"/>
    <w:p>
      <w:pPr>
        <w:ind w:left="220" w:right="2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applicable utility provider is unable, or unwilling, to deliver the required utility consumption data as defined hereinabove, Tenant acknowledges and recognizes its obligation to deliver to Landlord that information directly, as an integral requirement of this Lease. Such information shall be delivered in the format set forth by Landlord for this purpose, on the same frequency as the invoicing received by Tenant from the utility provider for utilities consumed, unless some other frequency is agreed to in writing by Landlord and Tenant.</w:t>
      </w:r>
    </w:p>
    <w:p>
      <w:pPr>
        <w:spacing w:after="0" w:line="139"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color w:val="auto"/>
        </w:rPr>
        <w:t>Notwithstanding anything in this Lease to the contrary, Landlord shall have the right to install meters, submeters and/or other energy measurement devices to the panel(s) servicing the Premises. The information collected by these devices shall be used to benchmark the Tenant’s energy consumption, with the intent to identify, and then implement, energy conservation measures. It is acknowledged by the Landlord and Tenant that increased energy efficiency and energy conservation measures serve to reduce operating expenses and to also reduce greenhouse gas emissions. Landlord and Tenant mutually agree to cooperate on implementing energy conservation measures to ensure optimal results from such efforts.</w:t>
      </w:r>
    </w:p>
    <w:p>
      <w:pPr>
        <w:spacing w:after="0" w:line="140" w:lineRule="exact"/>
        <w:rPr>
          <w:sz w:val="20"/>
          <w:szCs w:val="20"/>
          <w:color w:val="auto"/>
        </w:rPr>
      </w:pPr>
    </w:p>
    <w:p>
      <w:pPr>
        <w:ind w:left="220" w:right="259" w:firstLine="3"/>
        <w:spacing w:after="0" w:line="252" w:lineRule="auto"/>
        <w:tabs>
          <w:tab w:leader="none" w:pos="360" w:val="left"/>
        </w:tabs>
        <w:numPr>
          <w:ilvl w:val="0"/>
          <w:numId w:val="4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Late Charges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and all sums or charges set forth in this Section 8 are considered part of Additional Rent. Tenant acknowledges that late payment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second day of each month or any time thereafter) by Tenant to Landlord of Base Rent, Tenant’s Share of Operating Expenses, Tax Expenses, Common Area Utility Costs, and Utility Expenses, or other sums due hereunder, will cause Landlord to incur costs not contemplated by this Lease, the exact amount of such costs being extremely difficult and impracticable to fix. Such costs include, without limitation, processing and accounting charges, and late charges that may be imposed on Landlord by the terms of any note secured by any encumbrance against the Premises, and late charges and penalties due to the late payment of real property taxes on the Premises. Therefore, if any installment of Rent or any other sum due from Tenant is not received by Landlord, Tenant shall promptly pay to Landlord as an additional sum equal to five percent (5%) of such delinquent amount as a late charge. Any amount not paid within five (5) days after Tenant’s receipt of written notice that such amount is due shall bear interest on such delinquent amount from the date due until paid at the rate equal to the prime rate plus two percent (2%), in addition to the late charge. If Tenant delivers to Landlord a check for which there are not sufficient funds, Landlord may, at its sole option, require Tenant to replace such check with a cashier’s check for the amount of such check and all other charges payable hereunder. The parties agree that this late charge and the other charges referenced above represent a fair and reasonable estimate of the costs that Landlord will incur by reason of late payment by Tenant. Acceptance of any late charge or other charges shall not constitute a waiver by Landlord of Tenant’s default with respect to the delinquent amount, nor prevent Landlord from exercising any of the other rights and remedies available to Landlord for any other breach of Tenant under this Lease. If a late charge or other charge becomes payable for any three (3) installments of Rent within any twelve (12) month period, then Landlord, at Landlord’s option, can require the Rent be paid monthly in advance by electronic funds transfer.</w:t>
      </w:r>
    </w:p>
    <w:p>
      <w:pPr>
        <w:spacing w:after="0" w:line="233" w:lineRule="exact"/>
        <w:rPr>
          <w:rFonts w:ascii="Times New Roman" w:cs="Times New Roman" w:eastAsia="Times New Roman" w:hAnsi="Times New Roman"/>
          <w:sz w:val="14"/>
          <w:szCs w:val="14"/>
          <w:b w:val="1"/>
          <w:bCs w:val="1"/>
          <w:color w:val="auto"/>
        </w:rPr>
      </w:pPr>
    </w:p>
    <w:p>
      <w:pPr>
        <w:ind w:left="360" w:hanging="137"/>
        <w:spacing w:after="0"/>
        <w:tabs>
          <w:tab w:leader="none" w:pos="360" w:val="left"/>
        </w:tabs>
        <w:numPr>
          <w:ilvl w:val="0"/>
          <w:numId w:val="4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Use of Premises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59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9.1 Compliance with Laws, Recorded Matters, and Rules and Regulations: </w:t>
      </w:r>
      <w:r>
        <w:rPr>
          <w:rFonts w:ascii="Times New Roman" w:cs="Times New Roman" w:eastAsia="Times New Roman" w:hAnsi="Times New Roman"/>
          <w:sz w:val="14"/>
          <w:szCs w:val="14"/>
          <w:color w:val="auto"/>
        </w:rPr>
        <w:t>The Premises are to be used solely for the purposes and uses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specified in the Basic Lease Information and for no other uses or purposes without Landlord’s prior written consent, which consent shall not be unreasonably withheld or delayed so long as the proposed use (i) does not involve the use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690" w:name="page691"/>
    <w:bookmarkEnd w:id="690"/>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of Hazardous Materials other than as expressly permitted under the provisions of Section 29 below, (ii) does not require any additional parking in excess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the parking spaces already licensed to Tenant pursuant to the provisions of Section 24 of this Lease, and (iii) is compatible and consistent with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 uses then being made in the Park and in other similar types of buildings in the vicinity of the Park, as reasonably determined by Landlord. The use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the Premises by Tenant and its employees, representatives, agents, invitees, licensees, subtenants, customers or contractors (collectively, “</w:t>
      </w:r>
      <w:r>
        <w:rPr>
          <w:rFonts w:ascii="Times New Roman" w:cs="Times New Roman" w:eastAsia="Times New Roman" w:hAnsi="Times New Roman"/>
          <w:sz w:val="14"/>
          <w:szCs w:val="14"/>
          <w:b w:val="1"/>
          <w:bCs w:val="1"/>
          <w:color w:val="auto"/>
        </w:rPr>
        <w:t>Tenant’s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shall be subject to, and at all times in compliance with, (a) any and all applicable laws, ordinances, statutes, orders and regulations as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same exist from time to time (collectively, the “</w:t>
      </w:r>
      <w:r>
        <w:rPr>
          <w:rFonts w:ascii="Times New Roman" w:cs="Times New Roman" w:eastAsia="Times New Roman" w:hAnsi="Times New Roman"/>
          <w:sz w:val="13"/>
          <w:szCs w:val="13"/>
          <w:b w:val="1"/>
          <w:bCs w:val="1"/>
          <w:color w:val="auto"/>
        </w:rPr>
        <w:t>Laws</w:t>
      </w:r>
      <w:r>
        <w:rPr>
          <w:rFonts w:ascii="Times New Roman" w:cs="Times New Roman" w:eastAsia="Times New Roman" w:hAnsi="Times New Roman"/>
          <w:sz w:val="13"/>
          <w:szCs w:val="13"/>
          <w:color w:val="auto"/>
        </w:rPr>
        <w:t>”), (b) any and all documents, matters or instruments, including without limitation, any declarations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covenants, conditions and restrictions, and any supplements thereto, each of which has been or hereafter is recorded in any official or public records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with respect to the Premises, the Building, the lot upon which the Building is located and/or the Park, or any portion thereof (collectively,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Recorded Matters</w:t>
      </w:r>
      <w:r>
        <w:rPr>
          <w:rFonts w:ascii="Times New Roman" w:cs="Times New Roman" w:eastAsia="Times New Roman" w:hAnsi="Times New Roman"/>
          <w:sz w:val="14"/>
          <w:szCs w:val="14"/>
          <w:color w:val="auto"/>
        </w:rPr>
        <w:t>”), and (c) any reasonable rules and regulations promulgated by Landlord now or hereafter enacted relating to parking and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operation of the Premises, the Building and the Park (collectively, the “</w:t>
      </w:r>
      <w:r>
        <w:rPr>
          <w:rFonts w:ascii="Times New Roman" w:cs="Times New Roman" w:eastAsia="Times New Roman" w:hAnsi="Times New Roman"/>
          <w:sz w:val="14"/>
          <w:szCs w:val="14"/>
          <w:b w:val="1"/>
          <w:bCs w:val="1"/>
          <w:color w:val="auto"/>
        </w:rPr>
        <w:t>Rules and Regulations</w:t>
      </w:r>
      <w:r>
        <w:rPr>
          <w:rFonts w:ascii="Times New Roman" w:cs="Times New Roman" w:eastAsia="Times New Roman" w:hAnsi="Times New Roman"/>
          <w:sz w:val="14"/>
          <w:szCs w:val="14"/>
          <w:color w:val="auto"/>
        </w:rPr>
        <w:t>”). Tenant agrees to, and does hereby, assume full and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complete responsibility to ensure that the Premises are adequate to fully meet the needs and requirements of Tenant’s intended operations of its business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within the Premises, and Tenant’s use of the Premises and that same are in compliance with all applicable Laws throughout the Term of this Lease.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Additionally, Tenant shall be solely responsible for the payment of all costs, fees and expenses associated with any modifications, improvements 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alterations to the Premises, Building, the Common Areas and/or the Park occasioned by the enactment of, or changes to, any Laws arising from Tenant’s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particular use of the Premises or alterations, improvements or additions made to the Premises by Tenant or at Tenant’s request regardless of when such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Laws became effective. Except to the extent set forth in the immediately preceding sentence or in the Work Letter, Tenant shall have no obligation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correct or pay to correct any violations of Laws within the Premises, the Building or the Park existing as of the Commencement Date.</w:t>
      </w:r>
    </w:p>
    <w:p>
      <w:pPr>
        <w:spacing w:after="0" w:line="158" w:lineRule="exact"/>
        <w:rPr>
          <w:sz w:val="20"/>
          <w:szCs w:val="20"/>
          <w:color w:val="auto"/>
        </w:rPr>
      </w:pPr>
    </w:p>
    <w:p>
      <w:pPr>
        <w:ind w:left="220" w:right="31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9.2 Prohibition on Use: </w:t>
      </w:r>
      <w:r>
        <w:rPr>
          <w:rFonts w:ascii="Times New Roman" w:cs="Times New Roman" w:eastAsia="Times New Roman" w:hAnsi="Times New Roman"/>
          <w:sz w:val="14"/>
          <w:szCs w:val="14"/>
          <w:color w:val="auto"/>
        </w:rPr>
        <w:t>Tenant shall not use the Premises or permit anything to be done in or about the Premises nor keep or bring anything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therein which will in any way conflict with any of the requirements of the Board of Fire Underwriters or similar body now or hereafter constituted or in any way increase the existing rate of or affect any policy of fire or other insurance upon the Building or any of its contents, or cause a cancellation of any insurance policy. No auctions may be held or otherwise conducted in, on or about the Premises, the Building, the lot upon which the Building is located or the Park without Landlord’s written consent thereto, which consent may be given or withheld in Landlord’s sole discretion. Tenant shall not do or permit anything to be done in or about the Premises which will in any way obstruct or interfere with the rights of Landlord, other tenants or occupants of the Building, other buildings in the Park, or other persons or businesses in the area, or injure or annoy other tenants, as determined by Landlord, in its reasonable discretion, for the benefit, quiet enjoyment and use by Landlord and all other tenants or occupants of the Building or other buildings in the Park; nor shall Tenant cause, maintain or permit any private or public nuisance in, on or about the Premises, Building, Park and/or the Common Areas, including, but not limited to, any offensive odors, noises, fumes or vibrations. Tenant shall not damage or deface or otherwise commit or suffer to be committed any waste in, upon or about the Premises. Tenant shall not place or store, nor permit any other person or entity to place or store, any property, equipment, materials, supplies, personal property or any other items or goods outside of the Premises for any period of time. Tenant shall not permit any animals, including, but not limited to, any household pets, to be brought or kept in or about the Premises.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691" w:name="page692"/>
    <w:bookmarkEnd w:id="691"/>
    <w:p>
      <w:pPr>
        <w:ind w:left="2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Tenant shall place no loads upon the floors, walls, or ceilings in excess of the maximum designed load permitted by the applicable Uniform Building Code or which may damage the Building or outside areas; nor place any harmful liquids in the drainage systems; nor dump or store waste materials, refuse or other such materials, or allow such to remain outside the Building area, except for any non-hazardous or non-harmful materials which may be stored in refuse dumpsters or in any enclosed trash areas provided. If Tenant fails to comply with such Laws, Recorded Matters, Rules and Regulations or the provisions of this Lease, in addition to all rights and remedies of Landlord hereunder including, but not limited to, the payment by Tenant to Landlord of all Enforcement Expenses and Landlord’s costs and expenses, if any, to cure any of such failures of Tenant, if Landlord, at its sole option, elects to undertake such cure.</w:t>
      </w:r>
    </w:p>
    <w:p>
      <w:pPr>
        <w:spacing w:after="0" w:line="228" w:lineRule="exact"/>
        <w:rPr>
          <w:sz w:val="20"/>
          <w:szCs w:val="20"/>
          <w:color w:val="auto"/>
        </w:rPr>
      </w:pPr>
    </w:p>
    <w:p>
      <w:pPr>
        <w:ind w:left="440" w:hanging="217"/>
        <w:spacing w:after="0"/>
        <w:tabs>
          <w:tab w:leader="none" w:pos="440" w:val="left"/>
        </w:tabs>
        <w:numPr>
          <w:ilvl w:val="0"/>
          <w:numId w:val="4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Alterations and Additions; and Surrender of Premises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59" w:firstLine="342"/>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10.1 Alterations and Additions: </w:t>
      </w:r>
      <w:r>
        <w:rPr>
          <w:rFonts w:ascii="Times New Roman" w:cs="Times New Roman" w:eastAsia="Times New Roman" w:hAnsi="Times New Roman"/>
          <w:sz w:val="13"/>
          <w:szCs w:val="13"/>
          <w:color w:val="auto"/>
        </w:rPr>
        <w:t>Tenant may, from time to time, at its own cost and expense and without the consent of Landlord make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nonstructural alterations to the interior of the Premises that do not affect or penetrate the structural portions of the Premises or the Building, the roof or exterior appearance of the Premises or Building, materially or adversely affect any mechanical, electrical, plumbing, sewer, life safety, HVAC or other system in the Building and the cost of which in any one instance is Fifty Thousand Dollars ($50,000) or less, and the aggregate cost of all such work during the Term does not exceed One Hundred Fifty Thousand Dollars ($150,000), provided Tenant first notifies Landlord in writing of any such nonstructural alterations and otherwise complies with the terms of this Section 10 and all applicable Laws, Building regulations and Landlord’s engineering and design requirements for the Building, as applicable (collectively, “</w:t>
      </w:r>
      <w:r>
        <w:rPr>
          <w:rFonts w:ascii="Times New Roman" w:cs="Times New Roman" w:eastAsia="Times New Roman" w:hAnsi="Times New Roman"/>
          <w:sz w:val="13"/>
          <w:szCs w:val="13"/>
          <w:b w:val="1"/>
          <w:bCs w:val="1"/>
          <w:color w:val="auto"/>
        </w:rPr>
        <w:t>Cosmetic Alterations</w:t>
      </w:r>
      <w:r>
        <w:rPr>
          <w:rFonts w:ascii="Times New Roman" w:cs="Times New Roman" w:eastAsia="Times New Roman" w:hAnsi="Times New Roman"/>
          <w:sz w:val="13"/>
          <w:szCs w:val="13"/>
          <w:color w:val="auto"/>
        </w:rPr>
        <w:t>”). Otherwise, Tenant shall not install any signs, fixtures, improvements, nor make or permit any other alterations or additions to the Premises (“</w:t>
      </w:r>
      <w:r>
        <w:rPr>
          <w:rFonts w:ascii="Times New Roman" w:cs="Times New Roman" w:eastAsia="Times New Roman" w:hAnsi="Times New Roman"/>
          <w:sz w:val="13"/>
          <w:szCs w:val="13"/>
          <w:b w:val="1"/>
          <w:bCs w:val="1"/>
          <w:color w:val="auto"/>
        </w:rPr>
        <w:t>Alterations</w:t>
      </w:r>
      <w:r>
        <w:rPr>
          <w:rFonts w:ascii="Times New Roman" w:cs="Times New Roman" w:eastAsia="Times New Roman" w:hAnsi="Times New Roman"/>
          <w:sz w:val="13"/>
          <w:szCs w:val="13"/>
          <w:color w:val="auto"/>
        </w:rPr>
        <w:t>”) without the prior written consent of Landlord. If any which consent shall not be unreasonably withheld, conditioned or delayed unless such proposed Alterations affect or propose to penetrate the structural portions of the Premises or the Building, the roof or exterior appearance of the Premises or Building, materially or adversely affect any mechanical, electrical, plumbing, sewer, life safety, HVAC or other system in the Building, in which case Landlord’s consent may be withheld in Landlord’s sole and absolute discretion. Tenant shall deliver at least ten (10) days prior notice to Landlord, from the date Tenant intends to commence construction of any Alterations or Cosmetic Alterations, sufficient to enable Landlord to post a Notice of Non-Responsibility. In all events, Tenant shall deliver to Landlord a complete set of plans and specifications for such work and shall obtain all permits or other governmental approvals prior to commencing any of such work and deliver a copy of same to Landlord. All Alterations shall be installed by a licensed contractor reasonably approved by Landlord (except for Alteration which do not require Landlord’s consent), at Tenant’s sole expense in compliance with all applicable Laws (including, but not limited to, the ADA as defined herein), Recorded Matters, and Rules and Regulations. If any alterations exceed Fifty Thousand and 00/100 Dollars ($50,000.00) in cost in any one instance, or exceed the aggregate cost of One Hundred Fifty Thousand and 00/100 Dollars ($150,000.00) during the Term, Tenant shall employ, at Tenant’s expense, Tarlton Properties, Inc. as construction manager for such alterations at a fee equal to four and five tenths percent (4.5%) of the first Two Hundred Fifty Thousand Dollars ($250,000.00) of hard construction costs (i.e., the amounts paid</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692" w:name="page693"/>
    <w:bookmarkEnd w:id="692"/>
    <w:p>
      <w:pPr>
        <w:ind w:left="220" w:right="2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any general contractor, subcontractors, vendors, and suppliers for labor and materials for the construction of the alterations or improvements) and then four percent (4%) of such hard construction costs in excess of Two Hundred Fifty Thousand Dollars ($250,000.00). Tenant shall keep the Premises and the property on which the Premises are situated free from any liens arising out of any work performed, materials furnished or obligations incurred by or on behalf of Tenant. As a condition to Landlord’s consent to the installation of any fixtures, additions or other improvements, Landlord may require Tenant to remove any such installations or improvements prior to the expiration of the Term and restore the Premises to its condition prior to such installations or improvements, at Tenant’s expense and may require Tenant to post and obtain a completion and indemnity bond for up to one hundred fifty percent (150%) of the cost of the work and may require the Alteration to be performed in accordance with Landlord’s reasonable requirements relating to sustainability and energy efficiency and in all cases, Tenant shall ensure Alterations made on its behalf shall not cause any negative impact to any existing energy and/or sustainability related to certification(s) such as LEED or ENERGY STAR, and should such negative impact result from an Alteration, Tenant, at its sole cost and expense, shall cause such modification to the Alteration as are necessary to correct the negative impact. Landlord shall advise Tenant in writing at the time consent is granted (or with respect to a Cosmetic Alterations within ten (10) days from notice) whether Landlord requires Tenant to remove any alterations from the Premises prior to the expiration or sooner termination of the Lease. Tenant shall have no obligation to remove the Tenant Improvements.</w:t>
      </w:r>
    </w:p>
    <w:p>
      <w:pPr>
        <w:spacing w:after="0" w:line="151"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10.2 Surrender of Premises: </w:t>
      </w:r>
      <w:r>
        <w:rPr>
          <w:rFonts w:ascii="Times New Roman" w:cs="Times New Roman" w:eastAsia="Times New Roman" w:hAnsi="Times New Roman"/>
          <w:sz w:val="14"/>
          <w:szCs w:val="14"/>
          <w:color w:val="auto"/>
        </w:rPr>
        <w:t>Upon the termination of this Lease, whether by forfeiture, lapse of time or otherwise, or upon the termination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Tenant’s right to possession of the Premises, Tenant will at once surrender and deliver up the Premises, together with the fixtures (other than trade fixtures), the Mobile Benches (as defined in the Work Letter), Alterations unless Landlord has notified Tenant, in writing, that Landlord will require Tenant to remove as provided above, to Landlord in good condition and repair (including, but not limited to, replacing all light bulbs and ballasts not in good working condition) and in the condition in which the Premises existed as of the Commencement Date, except for reasonable wear and tear, casualty and condemnation. Reasonable wear and tear shall not include any damage or deterioration to the floors of the Premises arising from the use of forklifts in, on or about the Premises (including, without limitation, any marks or stains of any portion of the floors), any damage or deterioration that would have been prevented by proper maintenance by Tenant or Tenant otherwise performing all of its obligations under this Lease or any deterioration in the condition or diminution of the value of any portion of the Premises, the Building, the lot upon which the Building is located and/or the Park in any manner whatsoever related to directly, or indirectly, Hazardous Materials as a result of the intentional or negligent acts or omissions of Tenant or any of Tenant’s Representatives. Unless Landlord requests, in writing, that Tenant not remove some or all of such fixtures (other than trade fixtures), additions or improvements, then upon such termination of this Lease, Tenant shall remove all tenant signage, trade fixtures, furniture, furnishings, personal property, additions, alterations, and other improvements installed by, or on behalf of Tenant and situated in or about the Premises if (a) Landlord’s consent thereto was conditioned upon such removal and restoration from the Premises or (b) if Tenant made any such additions, alterations or other improvements without obtaining Landlord’s prior written consent in breach of Section 10.1. Tenant shall repair any damage caused by the installation or removal of such signs, trade fixtures, furniture, furnishings, fixtures, additions and improvements which are to be removed from the Premises by Tenant hereunder. Tenant shall ensure that the removal of such items and the repair of the Premises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693" w:name="page694"/>
    <w:bookmarkEnd w:id="693"/>
    <w:p>
      <w:pPr>
        <w:ind w:left="220" w:right="27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will be completed prior to such termination of this Lease. Notwithstanding anything to the contrary herein, Tenant shall, within twenty-four hours after the expiration of this Lease, at Tenant’s expense and in compliance with the National Electric Code and other applicable laws, remove all electronic, fiber, phone and data cabling and related equipment that has been installed by or for the exclusive benefit of Tenant in or around the Premises (collectively, the “</w:t>
      </w:r>
      <w:r>
        <w:rPr>
          <w:rFonts w:ascii="Times New Roman" w:cs="Times New Roman" w:eastAsia="Times New Roman" w:hAnsi="Times New Roman"/>
          <w:sz w:val="13"/>
          <w:szCs w:val="13"/>
          <w:b w:val="1"/>
          <w:bCs w:val="1"/>
          <w:color w:val="auto"/>
        </w:rPr>
        <w:t>Cabling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Tenant shall not remove such Cabling if Tenant receives a written notice from Landlord at least fifteen</w:t>
      </w:r>
    </w:p>
    <w:p>
      <w:pPr>
        <w:spacing w:after="0" w:line="1" w:lineRule="exact"/>
        <w:rPr>
          <w:sz w:val="20"/>
          <w:szCs w:val="20"/>
          <w:color w:val="auto"/>
        </w:rPr>
      </w:pPr>
    </w:p>
    <w:p>
      <w:pPr>
        <w:ind w:left="220" w:right="579" w:firstLine="3"/>
        <w:spacing w:after="0" w:line="260" w:lineRule="auto"/>
        <w:tabs>
          <w:tab w:leader="none" w:pos="488"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prior to the expiration of the Lease authorizing such Cabling to remain in place, in which event the Cabling shall be surrendered with the Premises upon the expiration of the Lease.</w:t>
      </w:r>
    </w:p>
    <w:p>
      <w:pPr>
        <w:spacing w:after="0" w:line="222" w:lineRule="exact"/>
        <w:rPr>
          <w:sz w:val="20"/>
          <w:szCs w:val="20"/>
          <w:color w:val="auto"/>
        </w:rPr>
      </w:pPr>
    </w:p>
    <w:p>
      <w:pPr>
        <w:ind w:left="420" w:hanging="197"/>
        <w:spacing w:after="0"/>
        <w:tabs>
          <w:tab w:leader="none" w:pos="420" w:val="left"/>
        </w:tabs>
        <w:numPr>
          <w:ilvl w:val="0"/>
          <w:numId w:val="4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Repairs and Maintenance</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3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11.1 Tenant’s Repairs and Maintenance Obligations: </w:t>
      </w:r>
      <w:r>
        <w:rPr>
          <w:rFonts w:ascii="Times New Roman" w:cs="Times New Roman" w:eastAsia="Times New Roman" w:hAnsi="Times New Roman"/>
          <w:sz w:val="14"/>
          <w:szCs w:val="14"/>
          <w:color w:val="auto"/>
        </w:rPr>
        <w:t>Except for those portions of the Building to be maintained by Landlord, as provided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Sections 11.2 and 11.3 below, Tenant shall, at Tenant’s sole cost and expense, keep and maintain the Premises and the adjacent dock and staging areas, in good, clean and safe condition and repair to the reasonable satisfaction of Landlord including, but not limited to, repairing any damage caused by Tenant or Tenant’s Representatives and replacing any property so damaged by Tenant or Tenant’s Representatives (subject to Section 13 below). Without limiting the generality of the foregoing, Tenant shall be solely responsible for maintaining, repairing and replacing (a) all electrical wiring and equipment serving the Premises, (b) all interior lighting (including, without limitation, light bulbs and/or ballasts) and exterior lighting serving the Premises or adjacent to the Premises, (c) all glass, windows, window frames, window casements, skylights, interior and exterior doors, door frames and door closers, (d) all roll-up doors, ramps and dock equipment, including without limitation, dock bumpers, dock plates, dock seals, dock levelers and dock lights, (e) all tenant signage, (f) security systems, (g) all partitions, fixtures, equipment, interior painting, and interior walls and floors of the Premises and every part thereof (including, without limitation, any demising walls contiguous to any portion of the Premises).</w:t>
      </w:r>
    </w:p>
    <w:p>
      <w:pPr>
        <w:spacing w:after="0" w:line="143" w:lineRule="exact"/>
        <w:rPr>
          <w:sz w:val="20"/>
          <w:szCs w:val="20"/>
          <w:color w:val="auto"/>
        </w:rPr>
      </w:pPr>
    </w:p>
    <w:p>
      <w:pPr>
        <w:ind w:left="220" w:right="27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11.2 Reimbursable Repairs and Maintenance Obligations: </w:t>
      </w:r>
      <w:r>
        <w:rPr>
          <w:rFonts w:ascii="Times New Roman" w:cs="Times New Roman" w:eastAsia="Times New Roman" w:hAnsi="Times New Roman"/>
          <w:sz w:val="14"/>
          <w:szCs w:val="14"/>
          <w:color w:val="auto"/>
        </w:rPr>
        <w:t>Subject to the provisions of Sections 6 and 9 of this Lease and except for (i)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of Tenant set forth in Section 11.1 above, and (ii) the obligations of Landlord set forth in Section 11.3 below, Landlord agrees, at Landlord’s expense, subject to reimbursement pursuant to Section 6 above, to keep in good repair including without limitation, the plumbing and mechanical systems of the Premises, all mechanical systems, heating, ventilation and air conditioning systems serving the Premises and the Building, sprinkler systems, fire protection systems for the Building, the roof, roof membranes, exterior walls of the Building, signage (exclusive of tenant signage), and exterior electrical wiring and equipment, exterior lighting, exterior glass, exterior doors/entrances and door closers, exterior window casements, exterior painting of the Building (exclusive of the Premises), and underground utility and sewer pipes outside the exterior walls of the Building. In addition, Landlord shall perform, subject to reimbursement pursuant to Section 6, any required replacement of any portion of the Premises which is of a capital nature. For purposes of this Section 11.2, the term “exterior” shall mean outside of and not exclusively serving the Premises. Subject to reimbursement for the cost thereof in accordance with the provisions to Section 6 above, Landlord shall procure and maintain (a) the heating, ventilation and air condition systems preventive maintenance and repair contract(s); such contract(s) to be on a bi-monthly or quarterly basis and (b) the fire and sprinkler protection services and preventive maintenance and repair contract(s) to be on bi-monthly or quarterly basis.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694" w:name="page695"/>
    <w:bookmarkEnd w:id="694"/>
    <w:p>
      <w:pPr>
        <w:ind w:left="220" w:right="359" w:firstLine="342"/>
        <w:spacing w:after="0" w:line="282"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11.3 Landlord’s Repairs and Maintenance Obligations: </w:t>
      </w:r>
      <w:r>
        <w:rPr>
          <w:rFonts w:ascii="Times New Roman" w:cs="Times New Roman" w:eastAsia="Times New Roman" w:hAnsi="Times New Roman"/>
          <w:sz w:val="13"/>
          <w:szCs w:val="13"/>
          <w:color w:val="auto"/>
        </w:rPr>
        <w:t>Landlord agrees, at Landlord’s sole cost and expense (except for repairs rendered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necessary by the intentional or negligent acts or omissions of Tenant or any of Tenant’s Representatives which shall be subject to Section 13 below), to</w:t>
      </w:r>
    </w:p>
    <w:p>
      <w:pPr>
        <w:spacing w:after="0" w:line="1" w:lineRule="exact"/>
        <w:rPr>
          <w:sz w:val="20"/>
          <w:szCs w:val="20"/>
          <w:color w:val="auto"/>
        </w:rPr>
      </w:pPr>
    </w:p>
    <w:p>
      <w:pPr>
        <w:ind w:left="220" w:right="539" w:firstLine="3"/>
        <w:spacing w:after="0" w:line="255" w:lineRule="auto"/>
        <w:tabs>
          <w:tab w:leader="none" w:pos="41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in good repair the structural portions of the floors, foundations and exterior perimeter walls of the Building (exclusive of glass and exterior doors), and (b) replace the structural portions of the roof of the Building (excluding the roof membrane) as, and when, Landlord determines such replacement to be necessary in Landlord’s reasonable discretion.</w:t>
      </w:r>
    </w:p>
    <w:p>
      <w:pPr>
        <w:spacing w:after="0" w:line="142" w:lineRule="exact"/>
        <w:rPr>
          <w:sz w:val="20"/>
          <w:szCs w:val="20"/>
          <w:color w:val="auto"/>
        </w:rPr>
      </w:pPr>
    </w:p>
    <w:p>
      <w:pPr>
        <w:ind w:left="220" w:right="25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11.4 Tenant’s Failure to Perform Repairs and Maintenance Obligations: </w:t>
      </w:r>
      <w:r>
        <w:rPr>
          <w:rFonts w:ascii="Times New Roman" w:cs="Times New Roman" w:eastAsia="Times New Roman" w:hAnsi="Times New Roman"/>
          <w:sz w:val="14"/>
          <w:szCs w:val="14"/>
          <w:color w:val="auto"/>
        </w:rPr>
        <w:t>Except for normal maintenance and repair of the items described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Tenant shall have no right of access to or right to install any device on the roof of the Building nor make any penetrations of the roof of the Building without the express prior written consent of Landlord. If Tenant refuses or neglects to repair and maintain the Premises properly as required herein and to the reasonable satisfaction of Landlord, Landlord may, but without obligation to do so, at any time make such repairs and/or maintenance without Landlord having any liability to Tenant for any loss or damage that may accrue to Tenant’s merchandise, fixtures or other property, or to Tenant’s business by reason thereof, except to the extent any damage is caused by the willful misconduct or gross negligence by Landlord or its authorized agents and representatives. In the event Landlord makes such repairs and/or maintenance, upon completion thereof Tenant shall pay to Landlord, as additional rent, the Landlord’s costs for making such repairs and/or maintenance, upon presentation of a bill therefor, plus any Enforcement Expenses. The obligations of Tenant hereunder shall survive the expiration of the Term of this Lease or the earlier termination thereof. Tenant hereby waives any right to repair at the expense of Landlord under any applicable Laws now or hereafter in effect respecting the Premises.</w:t>
      </w:r>
    </w:p>
    <w:p>
      <w:pPr>
        <w:spacing w:after="0" w:line="143" w:lineRule="exact"/>
        <w:rPr>
          <w:sz w:val="20"/>
          <w:szCs w:val="20"/>
          <w:color w:val="auto"/>
        </w:rPr>
      </w:pPr>
    </w:p>
    <w:p>
      <w:pPr>
        <w:ind w:left="220" w:right="319" w:firstLine="342"/>
        <w:spacing w:after="0" w:line="272" w:lineRule="auto"/>
        <w:rPr>
          <w:sz w:val="20"/>
          <w:szCs w:val="20"/>
          <w:color w:val="auto"/>
        </w:rPr>
      </w:pPr>
      <w:r>
        <w:rPr>
          <w:rFonts w:ascii="Times New Roman" w:cs="Times New Roman" w:eastAsia="Times New Roman" w:hAnsi="Times New Roman"/>
          <w:sz w:val="13"/>
          <w:szCs w:val="13"/>
          <w:b w:val="1"/>
          <w:bCs w:val="1"/>
          <w:color w:val="auto"/>
        </w:rPr>
        <w:t>11.5 Landlord’s Failure to Perform Repair and Maintenance Obligations</w:t>
      </w:r>
      <w:r>
        <w:rPr>
          <w:rFonts w:ascii="Times New Roman" w:cs="Times New Roman" w:eastAsia="Times New Roman" w:hAnsi="Times New Roman"/>
          <w:sz w:val="13"/>
          <w:szCs w:val="13"/>
          <w:color w:val="auto"/>
        </w:rPr>
        <w:t>: Tenant has advised Landlord that Tenant must maintain 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CLIA certifications relating to the Permitted Use of the Premises and that if Landlord fails to complete necessary repairs and/or maintenance to the Building that Landlord is obligated to perform under the terms and conditions of this Lease, such failure may invalidate Tenant’s certification (the “</w:t>
      </w:r>
      <w:r>
        <w:rPr>
          <w:rFonts w:ascii="Times New Roman" w:cs="Times New Roman" w:eastAsia="Times New Roman" w:hAnsi="Times New Roman"/>
          <w:sz w:val="13"/>
          <w:szCs w:val="13"/>
          <w:b w:val="1"/>
          <w:bCs w:val="1"/>
          <w:color w:val="auto"/>
        </w:rPr>
        <w:t>Certification</w:t>
      </w:r>
      <w:r>
        <w:rPr>
          <w:rFonts w:ascii="Times New Roman" w:cs="Times New Roman" w:eastAsia="Times New Roman" w:hAnsi="Times New Roman"/>
          <w:sz w:val="13"/>
          <w:szCs w:val="13"/>
          <w:color w:val="auto"/>
        </w:rPr>
        <w:t>”). Landlord shall have no liability to Tenant arising out of or in connection with Tenant’s inability to obtain or maintain such Certification. Notwithstanding any provision set forth in this Lease to the contrary, if Tenant provides written notice to Landlord (the “</w:t>
      </w:r>
      <w:r>
        <w:rPr>
          <w:rFonts w:ascii="Times New Roman" w:cs="Times New Roman" w:eastAsia="Times New Roman" w:hAnsi="Times New Roman"/>
          <w:sz w:val="13"/>
          <w:szCs w:val="13"/>
          <w:b w:val="1"/>
          <w:bCs w:val="1"/>
          <w:color w:val="auto"/>
        </w:rPr>
        <w:t>First Notice</w:t>
      </w:r>
      <w:r>
        <w:rPr>
          <w:rFonts w:ascii="Times New Roman" w:cs="Times New Roman" w:eastAsia="Times New Roman" w:hAnsi="Times New Roman"/>
          <w:sz w:val="13"/>
          <w:szCs w:val="13"/>
          <w:color w:val="auto"/>
        </w:rPr>
        <w:t>”) of necessary repair and/or maintenance to the Premises that Landlord is obligated to perform under Sections 11.2 or Section 11.3 above which are critical to Tenant’s maintenance of the Certification necessary for Tenant’s use of the Premises for the Permitted Use, and Landlord thereafter fails to perform such repair or maintenance within three (3) days after Landlord’s receipt of the First Notice from Tenant, then Tenant may, upon an additional three</w:t>
      </w:r>
    </w:p>
    <w:p>
      <w:pPr>
        <w:spacing w:after="0" w:line="5" w:lineRule="exact"/>
        <w:rPr>
          <w:sz w:val="20"/>
          <w:szCs w:val="20"/>
          <w:color w:val="auto"/>
        </w:rPr>
      </w:pPr>
    </w:p>
    <w:p>
      <w:pPr>
        <w:ind w:left="420" w:hanging="197"/>
        <w:spacing w:after="0"/>
        <w:tabs>
          <w:tab w:leader="none" w:pos="420"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prior written notice to Landlord and opportunity to commence a cure, which notice must state in bold-faced, all capital letters “</w:t>
      </w:r>
      <w:r>
        <w:rPr>
          <w:rFonts w:ascii="Times New Roman" w:cs="Times New Roman" w:eastAsia="Times New Roman" w:hAnsi="Times New Roman"/>
          <w:sz w:val="14"/>
          <w:szCs w:val="14"/>
          <w:b w:val="1"/>
          <w:bCs w:val="1"/>
          <w:color w:val="auto"/>
        </w:rPr>
        <w:t>FAILURE TO</w:t>
      </w:r>
    </w:p>
    <w:p>
      <w:pPr>
        <w:spacing w:after="0" w:line="6" w:lineRule="exact"/>
        <w:rPr>
          <w:rFonts w:ascii="Times New Roman" w:cs="Times New Roman" w:eastAsia="Times New Roman" w:hAnsi="Times New Roman"/>
          <w:sz w:val="14"/>
          <w:szCs w:val="14"/>
          <w:color w:val="auto"/>
        </w:rPr>
      </w:pPr>
    </w:p>
    <w:p>
      <w:pPr>
        <w:ind w:left="220" w:right="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COMMENCE A CURE WITHIN 3 DAYS FOLLOWING RECEIPT OF THIS NOTICE WILL RESULT IN THE EXERCISE OF SELF-HELP RIGHTS</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Second Notice</w:t>
      </w:r>
      <w:r>
        <w:rPr>
          <w:rFonts w:ascii="Times New Roman" w:cs="Times New Roman" w:eastAsia="Times New Roman" w:hAnsi="Times New Roman"/>
          <w:sz w:val="14"/>
          <w:szCs w:val="14"/>
          <w:color w:val="auto"/>
        </w:rPr>
        <w:t>”) perform Landlord’s repair or maintenance obligations the subject of Tenant’s notice. In no event shall Tenant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permitted to complete any maintenance or repair work to the structural portions of the Building or the roof of the Building or complete any replacements of a capital nature. If such action was required under the terms of the Lease to be taken by Landlord and was not taken by Landlord within such three (3) day period following Landlord’s receipt of the Second Notice and Tenant elects to perform Landlord’s repair or maintenance obligations, then Tenant shall (subject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695" w:name="page696"/>
    <w:bookmarkEnd w:id="695"/>
    <w:p>
      <w:pPr>
        <w:ind w:left="22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 the below terms and conditions) be entitled to prompt reimbursement by Landlord of Tenant’s actual and reasonable costs and expenses in taking such action within thirty (30) days after the date Landlord receives a bill therefor accompanied by invoices or other documentation to substantiate the amount paid by Tenant with a reasonably particularized breakdown of its costs and expenses in connection with taking such action. In the event Tenant takes such action, Tenant shall use only those contractors used by Landlord in the Building. In the event that Tenant exercises it self-help rights under this Section 11.5, Tenant agrees to indemnify, defend and hold Landlord harmless from and against any and all claims, losses, costs, expenses, damages, awards and/or proceedings arising as a result of Tenant’s performance of its self-help rights (including, without limitation, personal injuries, damage to property and interference with use or occupancy of the Building by tenants or occupants of the Building or their invitees). The obligations set forth in this Section 11.5 shall survive the expiration of the Term of this Lease or the earlier termination thereof.</w:t>
      </w:r>
    </w:p>
    <w:p>
      <w:pPr>
        <w:spacing w:after="0" w:line="230" w:lineRule="exact"/>
        <w:rPr>
          <w:sz w:val="20"/>
          <w:szCs w:val="20"/>
          <w:color w:val="auto"/>
        </w:rPr>
      </w:pPr>
    </w:p>
    <w:p>
      <w:pPr>
        <w:ind w:left="440" w:hanging="217"/>
        <w:spacing w:after="0"/>
        <w:tabs>
          <w:tab w:leader="none" w:pos="440" w:val="left"/>
        </w:tabs>
        <w:numPr>
          <w:ilvl w:val="0"/>
          <w:numId w:val="4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Insurance</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12.1 Types of Insurance: </w:t>
      </w:r>
      <w:r>
        <w:rPr>
          <w:rFonts w:ascii="Times New Roman" w:cs="Times New Roman" w:eastAsia="Times New Roman" w:hAnsi="Times New Roman"/>
          <w:sz w:val="14"/>
          <w:szCs w:val="14"/>
          <w:color w:val="auto"/>
        </w:rPr>
        <w:t>Tenant shall maintain in full force and effect at all times during the Term of this Lease, at Tenant’s sole cost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 for the protection of Tenant and Landlord, as their interests may appear, policies of insurance issued by a carrier or carriers reasonably acceptable to Landlord and its lender(s) which afford the following coverages: (i) worker’s compensation: statutory limits; (ii) employer’s liability, as required by law, with a minimum limit of $100,000 per employee and $500,000 per occurrence; (iii) site liability pollution policy insuring the Premises, with a minimum amount limit of $1,000,000 per occurrence under and annual or multi-year policy; and (iv) commercial general liability insurance (occurrence form) providing coverage against any and all claims for bodily injury and property damage occurring in, on or about the Premises arising out of Tenant’s and Tenant’s Representatives’ use and/or occupancy of the Premises or occasioned by any occurrence in, on, about or related to the Premises. Such insurance shall include coverage for blanket contractual liability, fire damage, premises, personal injury, personal and advertising, and a plate-glass rider to provide coverage for all glass in, on or about the Premises including, without limitation, skylights. Such commercial liability insurance shall have a combined single limit of not less than Two Million Dollars ($2,000,000) per occurrence with a Four Million Dollar ($4,000,000) aggregate limit and excess/umbrella insurance in the amount of Four Million Dollars ($4,000,000). If Tenant has other locations which it owns or leases, the policy shall include an aggregate limit per location endorsement. If necessary, as reasonably determined by Landlord, Tenant shall provide for restoration of the aggregate limit; (v) comprehensive automobile liability insurance: a combined single limit of not less than $2,000,000 per occurrence and insuring Tenant against liability for claims arising out of the ownership, maintenance, or use of any owned, hired or non-owned automobiles; (vi) “all risk” or “special purpose” property insurance, including without limitation, earthquake sprinkler leakage, boiler and machinery comprehensive form, if applicable, covering damage to or loss of any personal property, trade fixtures, inventory, fixtures and equipment located in, on or about the Premises, and in addition, business interruption of Tenant, together with, if the property of Tenant’s invitees is to be kept in the Premises, warehouser’s legal liability or bailee customers insurance for the full replacement cost of the property belonging to invitees and located in the Premises. Such insurance shall be written on a replacement cost basis (without deduction for depreciation) in an amount equal to one hundred percent (100%) of the full replacement value of the aggregate of the items referred to in this subparagraph (v); and (vi) such other insurance as may otherwise be required of all tenants or by any of Landlord’s lenders or joint venture partners.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696" w:name="page697"/>
    <w:bookmarkEnd w:id="696"/>
    <w:p>
      <w:pPr>
        <w:ind w:left="220" w:right="25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12.2 Insurance Policies: </w:t>
      </w:r>
      <w:r>
        <w:rPr>
          <w:rFonts w:ascii="Times New Roman" w:cs="Times New Roman" w:eastAsia="Times New Roman" w:hAnsi="Times New Roman"/>
          <w:sz w:val="14"/>
          <w:szCs w:val="14"/>
          <w:color w:val="auto"/>
        </w:rPr>
        <w:t>Insurance required to be maintained by Tenant shall be written by companies (i) licensed to do business in the State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California, (ii) domiciled in the United States of America, and (iii) having a “General Policyholders Rating” of at least A:VIII (or such higher rating as may be required by a lender having a lien on the Premises) as set forth in the most current issue of “A.M. Best’s Rating Guides.” Tenant shall deliver to Landlord certificates of insurance and true and complete copies of any and all endorsements required herein for all insurance required to be maintained by Tenant hereunder prior to the Commencement Date or prior to any early access to the Premises in accordance with Section 2.2 above. Tenant shall, at least ten (10) days prior to expiration of each policy, furnish Landlord with certificates of renewal or “binders” thereof. If available, each policy shall expressly provide that such policies shall not be cancelable or otherwise subject to modification except after thirty (30) days prior written notice to the parties named as additional insureds as required in this Lease (except for cancellation for nonpayment of premium, in which event cancellation shall not take effect until at least ten (10) days’ notice has been given to Landlord). Tenant shall have the right to provide insurance coverage which it is obligated to carry pursuant to the terms of this Lease under a blanket insurance policy, provided such blanket policy expressly affords coverage for the Premises and for Landlord as required by this Lease.</w:t>
      </w:r>
    </w:p>
    <w:p>
      <w:pPr>
        <w:spacing w:after="0" w:line="148"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12.3 Additional Insureds and Coverage: </w:t>
      </w:r>
      <w:r>
        <w:rPr>
          <w:rFonts w:ascii="Times New Roman" w:cs="Times New Roman" w:eastAsia="Times New Roman" w:hAnsi="Times New Roman"/>
          <w:sz w:val="14"/>
          <w:szCs w:val="14"/>
          <w:color w:val="auto"/>
        </w:rPr>
        <w:t>Landlord, any property management company and/or agent of Landlord for the Premises, the Building,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lot upon which the Building is located or the Park, and any lender(s) of Landlord having a lien against the Premises, the Building, the lot upon which the Building is located or the Park shall be named as additional insureds under all of the policies required in Section 12.1(iii) above. Additionally, such policies shall provide for severability of interest. All insurance to be maintained by Tenant shall, except for workers’ compensation and employer’s liability insurance, be primary, without right of contribution from insurance maintained by Landlord. Any umbrella/excess liability policy (which shall be in “following form”) shall provide that if the underlying aggregate is exhausted, the excess coverage will drop down as primary insurance. The limits of insurance maintained by Tenant shall not limit Tenant’s liability under this Lease. It is the parties’ intention that the insurance to be procured and maintained by Tenant as required herein shall provide coverage for any and all damage or injury arising from or related to Tenant’s operations of its business and/or Tenant’s or Tenant’s Representatives’ use of the Premises and/or any of the areas within the Park, whether such events occur within the Premises (as described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in any other areas of the Park. It is not contemplated or anticipated by the parties that the aforementioned risks of loss be borne by Landlord’s insurance carriers, rather it is contemplated and anticipated by Landlord and Tenant that such risks of loss be borne by Tenant’s insurance carriers pursuant to the insurance policies procured and maintained by Tenant as required herein.</w:t>
      </w:r>
    </w:p>
    <w:p>
      <w:pPr>
        <w:spacing w:after="0" w:line="146"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12.4 Failure of Tenant to Purchase and Maintain Insurance: </w:t>
      </w:r>
      <w:r>
        <w:rPr>
          <w:rFonts w:ascii="Times New Roman" w:cs="Times New Roman" w:eastAsia="Times New Roman" w:hAnsi="Times New Roman"/>
          <w:sz w:val="14"/>
          <w:szCs w:val="14"/>
          <w:color w:val="auto"/>
        </w:rPr>
        <w:t>In the event Tenant does not purchase the insurance required in this Lease or keep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same in full force and effect throughout the Term of this Lease (including any renewals or extensions), Landlord may, but without obligation to do so, purchase the necessary insurance and pay the premiums therefor. If Landlord so elects to purchase such insurance, Tenant shall promptly pay to Landlord as Additional Rent, the amount so paid by Landlord, upon Landlord’s demand therefor. In addition, Landlord may recover from Tenant and Tenant agrees to pay, as Additional Rent, any and all Enforcement Expenses and damages which Landlord may sustain by reason of Tenant’s failure to obtain and maintain such insurance. If Tenant fails to maintain any insurance required in this Lease, Tenant shall be liable for all losses, damages and costs resulting from such failure.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697" w:name="page698"/>
    <w:bookmarkEnd w:id="697"/>
    <w:p>
      <w:pPr>
        <w:ind w:left="220" w:right="25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12.5 Landlord’s Insurance: </w:t>
      </w:r>
      <w:r>
        <w:rPr>
          <w:rFonts w:ascii="Times New Roman" w:cs="Times New Roman" w:eastAsia="Times New Roman" w:hAnsi="Times New Roman"/>
          <w:sz w:val="14"/>
          <w:szCs w:val="14"/>
          <w:color w:val="auto"/>
        </w:rPr>
        <w:t>Landlord shall obtain and carry in Landlord’s name, as insured, as an Operating Expense to the extent provided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6, during the Term, “all risk” property insurance coverage (with rental loss insurance coverage for a period of one (1) year), flood insurance, public liability and property damage insurance, and insurance against such other risks or casualties as Landlord shall reasonably determine, including, but not limited to, insurance coverages required of Landlord by the beneficiary of any deed of trust which encumbers the Premises, including earthquake insurance coverage insuring Landlord’s interest in the Premises, Building and Park (including the Tenant Improvements and Alterations to the Premises constructed by or on behalf of Tenant in accordance with Section 10.1 above) in an amount not less than the full replacement cost of the Building. The proceeds of any such insurance shall be payable solely to Landlord and Tenant shall have no right or interest therein. Landlord shall have no obligation to insure against loss by Tenant to the Tenant’s equipment, fixtures, furniture, inventory, or other personal property of Tenant in or about the Premises occurring from any cause whatsoever.</w:t>
      </w:r>
    </w:p>
    <w:p>
      <w:pPr>
        <w:spacing w:after="0" w:line="146" w:lineRule="exact"/>
        <w:rPr>
          <w:sz w:val="20"/>
          <w:szCs w:val="20"/>
          <w:color w:val="auto"/>
        </w:rPr>
      </w:pPr>
    </w:p>
    <w:p>
      <w:pPr>
        <w:ind w:left="220" w:right="299" w:firstLine="3"/>
        <w:spacing w:after="0" w:line="254" w:lineRule="auto"/>
        <w:tabs>
          <w:tab w:leader="none" w:pos="430" w:val="left"/>
        </w:tabs>
        <w:numPr>
          <w:ilvl w:val="0"/>
          <w:numId w:val="4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Waiver of Subrogation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and Tenant hereby mutually waive their respective rights of recovery against each other and any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subtenants permitted to be added under this Lease from time to time for any loss of, or damage to, either parties’ property to the extent that such loss or damage is due to a risk insured by an insurance policy required to be in effect at the time of such loss or damage. Each party shall obtain any special endorsements, if required by its insurer whereby the insurer waives its rights of subrogation against the other party and any and all subtenants permitted to be added under this Lease from time to time. This provision is intended to waive fully, and for the benefit of the parties hereto and any and all subtenants permitted to be added under this Lease from time to time, any rights and/or claims which might give rise to a right of subrogation in favor of any insurance carrier. The coverage obtained by Tenant and Landlord pursuant to Section 12 of this Lease shall include, without limitation, a waiver of subrogation endorsement attached to the certificate of insurance. The provisions of this Section 13 shall not apply in those instances in which such waiver of subrogation would invalidate such insurance coverage or would cause either party’s insurance coverage to be voided or otherwise uncollectible.</w:t>
      </w:r>
    </w:p>
    <w:p>
      <w:pPr>
        <w:spacing w:after="0" w:line="143" w:lineRule="exact"/>
        <w:rPr>
          <w:rFonts w:ascii="Times New Roman" w:cs="Times New Roman" w:eastAsia="Times New Roman" w:hAnsi="Times New Roman"/>
          <w:sz w:val="14"/>
          <w:szCs w:val="14"/>
          <w:b w:val="1"/>
          <w:bCs w:val="1"/>
          <w:color w:val="auto"/>
        </w:rPr>
      </w:pPr>
    </w:p>
    <w:p>
      <w:pPr>
        <w:ind w:left="220" w:right="259" w:firstLine="3"/>
        <w:spacing w:after="0" w:line="272" w:lineRule="auto"/>
        <w:tabs>
          <w:tab w:leader="none" w:pos="430" w:val="left"/>
        </w:tabs>
        <w:numPr>
          <w:ilvl w:val="0"/>
          <w:numId w:val="4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Limitation of Liability and Indemnity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Except to the extent of damage resulting from the sole active gross negligence or willful misconduct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Landlord or its authorized representatives, Tenant agrees to protect, defend (with counsel acceptable to Landlord) and hold Landlord and Landlord’s lenders, partners, members, property management company (if other than Landlord), agents, directors, officers, employees, representatives, contractors, shareholders, successors and assigns and each of their respective partners, members, directors, employees, representatives, agents, contractors, shareholders, successors and assigns (collectively, the “</w:t>
      </w:r>
      <w:r>
        <w:rPr>
          <w:rFonts w:ascii="Times New Roman" w:cs="Times New Roman" w:eastAsia="Times New Roman" w:hAnsi="Times New Roman"/>
          <w:sz w:val="13"/>
          <w:szCs w:val="13"/>
          <w:b w:val="1"/>
          <w:bCs w:val="1"/>
          <w:color w:val="auto"/>
        </w:rPr>
        <w:t>Indemnitees</w:t>
      </w:r>
      <w:r>
        <w:rPr>
          <w:rFonts w:ascii="Times New Roman" w:cs="Times New Roman" w:eastAsia="Times New Roman" w:hAnsi="Times New Roman"/>
          <w:sz w:val="13"/>
          <w:szCs w:val="13"/>
          <w:color w:val="auto"/>
        </w:rPr>
        <w:t>”) harmless and indemnify the Indemnitees from and against all liabilities, damages, claims, losses, judgments, charges and expenses (including reasonable attorneys’ fees, costs of court and expenses necessary in the prosecution or defense of any litigation including the enforcement of this provision) arising from or in any way related to, directly or indirectly, (i) Tenant’s or Tenant’s Representatives’ use of the Premises, Building and/or the Park, (ii) the conduct of Tenant’s business, (iii) from any activity, work or thing done, permitted or suffered by Tenant in or about the Premises, (iv) in any way connected with the Premises or with the improvements or personal property therein, including, but not limited to, any liability for injury to person or property of Tenant, Tenant’s Representatives, or third party persons, and/or</w:t>
      </w:r>
    </w:p>
    <w:p>
      <w:pPr>
        <w:spacing w:after="0" w:line="1" w:lineRule="exact"/>
        <w:rPr>
          <w:rFonts w:ascii="Times New Roman" w:cs="Times New Roman" w:eastAsia="Times New Roman" w:hAnsi="Times New Roman"/>
          <w:sz w:val="13"/>
          <w:szCs w:val="13"/>
          <w:b w:val="1"/>
          <w:bCs w:val="1"/>
          <w:color w:val="auto"/>
        </w:rPr>
      </w:pPr>
    </w:p>
    <w:p>
      <w:pPr>
        <w:ind w:left="220" w:right="419"/>
        <w:spacing w:after="0" w:line="26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(v) Tenant’s failure to perform any covenant or obligation of Tenant under this Lease. Tenant agrees that the obligations of Tenant herein shall survive the expiration or earlier termination of this Lease.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698" w:name="page699"/>
    <w:bookmarkEnd w:id="698"/>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Subject to the provisions of this Lease, except to the extent of damage resulting from the negligence or willful misconduct of Tenant or Tenant’s authorized representatives, or Tenant’s breach of this Lease, Landlord shall indemnify, defend and hold harmless Tenant from all Claims arising from the gross negligence or willful misconduct by Landlord, its agents or employees, or any other persons entering upon the Premises under expressed or implied invitation of the Landlord. The provisions of this section shall survive the expiration or termination of this Lease with respect to any damage, injury, death, breach or default occurring prior to such expiration or termination.</w:t>
      </w:r>
    </w:p>
    <w:p>
      <w:pPr>
        <w:spacing w:after="0" w:line="142"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Except to the extent of damage resulting from the gross negligence or willful misconduct of Landlord or its authorized representatives by Landlord, to the fullest extent permitted by law, Tenant agrees that neither Landlord nor any of Landlord’s lender(s), partners, members, employees, representatives, legal representatives, successors or assigns shall at any time or to any extent whatsoever be liable, responsible or in any way accountable for any loss, liability, injury, death or damage to persons or property which at any time may be suffered or sustained by Tenant or by any person(s) whomsoever who may at any time be using, occupying or visiting the Premises, the Building or the Park, including, but not limited to, any acts, errors or omissions by or on behalf of any other tenants or occupants of the Building and/or the Park. Tenant shall not, in any event or circumstance, be permitted to offset or otherwise credit against any payments of Rent required herein for matters for which Landlord may be liable hereunder. Landlord and its authorized representatives shall not be liable for any interference with light or air, or for any latent defect in the Premises or the Building.</w:t>
      </w:r>
    </w:p>
    <w:p>
      <w:pPr>
        <w:spacing w:after="0" w:line="227" w:lineRule="exact"/>
        <w:rPr>
          <w:sz w:val="20"/>
          <w:szCs w:val="20"/>
          <w:color w:val="auto"/>
        </w:rPr>
      </w:pPr>
    </w:p>
    <w:p>
      <w:pPr>
        <w:ind w:left="440" w:hanging="217"/>
        <w:spacing w:after="0"/>
        <w:tabs>
          <w:tab w:leader="none" w:pos="440" w:val="left"/>
        </w:tabs>
        <w:numPr>
          <w:ilvl w:val="0"/>
          <w:numId w:val="4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Assignment and Subleasing</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59" w:firstLine="342"/>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15.1 Prohibition: </w:t>
      </w:r>
      <w:r>
        <w:rPr>
          <w:rFonts w:ascii="Times New Roman" w:cs="Times New Roman" w:eastAsia="Times New Roman" w:hAnsi="Times New Roman"/>
          <w:sz w:val="13"/>
          <w:szCs w:val="13"/>
          <w:color w:val="auto"/>
        </w:rPr>
        <w:t>Except as otherwise provided in this Section, Tenant shall not assign, mortgage, hypothecate, encumber, grant any license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concession, pledge or otherwise transfer this Lease (collectively, “assignment”), in whole or in part, whether voluntarily or involuntarily or by operation of law, nor sublet or permit occupancy by any person other than Tenant of all or any portion of the Premises without first obtaining the prior written consent of Landlord, which consent shall not be unreasonably withheld. Tenant hereby agrees that Landlord may withhold its consent to any proposed sublease or assignment if the proposed sublessee or assignee or its business is subject to compliance with additional requirements of the ADA (defined below) and/or Environmental Laws (defined below) beyond those requirements which are applicable to Tenant, unless the proposed sublessee or assignee shall (a) first deliver plans and specifications for complying with such additional requirements and obtain Landlord’s written consent thereto, and (b) comply with all Landlord’s conditions for or contained in such consent, including without limitation, requirements for security to assure the lien-free completion of such improvements. If Tenant seeks to sublet or assign all or any portion of the Premises, Tenant shall deliver to Landlord at least ten</w:t>
      </w:r>
    </w:p>
    <w:p>
      <w:pPr>
        <w:spacing w:after="0" w:line="3" w:lineRule="exact"/>
        <w:rPr>
          <w:sz w:val="20"/>
          <w:szCs w:val="20"/>
          <w:color w:val="auto"/>
        </w:rPr>
      </w:pPr>
    </w:p>
    <w:p>
      <w:pPr>
        <w:ind w:left="220" w:right="679" w:firstLine="3"/>
        <w:spacing w:after="0" w:line="255" w:lineRule="auto"/>
        <w:tabs>
          <w:tab w:leader="none" w:pos="488"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prior to the proposed commencement of the sublease or assignment (the “</w:t>
      </w:r>
      <w:r>
        <w:rPr>
          <w:rFonts w:ascii="Times New Roman" w:cs="Times New Roman" w:eastAsia="Times New Roman" w:hAnsi="Times New Roman"/>
          <w:sz w:val="14"/>
          <w:szCs w:val="14"/>
          <w:b w:val="1"/>
          <w:bCs w:val="1"/>
          <w:color w:val="auto"/>
        </w:rPr>
        <w:t>Proposed Effective Date</w:t>
      </w:r>
      <w:r>
        <w:rPr>
          <w:rFonts w:ascii="Times New Roman" w:cs="Times New Roman" w:eastAsia="Times New Roman" w:hAnsi="Times New Roman"/>
          <w:sz w:val="14"/>
          <w:szCs w:val="14"/>
          <w:color w:val="auto"/>
        </w:rPr>
        <w:t>”) the following: (i) the name of the proposed assignee or sublessee; (ii) such information as to such assignee’s or sublessee’s financial responsibility and standing as Landlord may reasonably require; and (iii) the aforementioned plans and specifications, if 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699" w:name="page700"/>
    <w:bookmarkEnd w:id="699"/>
    <w:p>
      <w:pPr>
        <w:ind w:left="220" w:right="2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Within ten (10) days after Landlord’s receipt of a written request from Tenant that Tenant seeks to sublet or assign all or any portion of the Premises, Landlord shall notify Tenant in writing that Landlord (a) elects to consent to the proposed assignment or sublease subject to the terms and conditions hereinafter set forth; (b) refuses such consent, specifying reasonable grounds for such refusal; or (c) elects to recapture the space described in the sublease or assignment, as applicable, except with respect to a Permitted Transferee (as defined in Section 15.4), if the sublease or assignment (1) by itself or taken together with prior sublease(s) or partial assignment(s) covers or totals, as the case may be, more than fifty percent (50%) of the rentable square feet of the Premises and (2) is for a term greater than fifty percent (50%) of the period remaining in the Term of this Lease as of the time of the Proposed Effective Date. If such recapture notice is given, it shall serve to terminate this Lease with respect to the proposed sublease or assignment space, or, if the proposed sublease or assignment space covers all the Premises, it shall serve to terminate the entire term of this Lease in either case, as of the Proposed Effective Date. However, no termination of this Lease with respect to part or all of the Premises shall become effective without the prior written consent, where necessary, of the holder of each deed of trust encumbering the Premises or any part thereof. If this Lease is terminated pursuant to the foregoing with respect to less than the entire Premises, the Rent shall be adjusted on the basis of the proportion of square feet retained by Tenant to the square feet originally demised and this Lease as so amended shall continue thereafter in full force and effect. Each assignment or sublease agreement to which Landlord has consented shall be an instrument in writing and in form reasonably satisfactory to Landlord, and shall include a provision whereby such instrument is and shall be subject and subordinate to the provisions of this Lease, and, except as otherwise set forth in a sublease approved by Landlord, agrees to perform all of the obligations of Tenant hereunder (to the extent such obligations relate to the portion of the Premises assigned or subleased). As Additional Rent hereunder, Tenant shall reimburse Landlord for reasonable legal and other out-of-pocket expenses incurred by Landlord in connection with any actual or proposed assignment or subletting. Each permitted assignee shall be and remain liable jointly and severally with Tenant for payment of Rent and for the due performance of, and compliance with all the terms, covenants, conditions and agreements herein contained on Tenant’s part to be performed or complied with, for the term of this Lease. No assignment or subletting shall affect the continuing primary liability of Tenant (which, following assignment, shall be joint and several with the assignee), and Tenant shall not be released from performing any of the terms, covenants and conditions of this Lease. Tenant hereby acknowledges and agrees that it understands that Landlord’s accounting department may process and accept Rent payments without verifying that such payments are being made by Tenant, a permitted sublessee or a permitted assignee in accordance with the provisions of this Lease. Although such payments may be processed and accepted by such accounting department personnel, any and all actions or omissions by the personnel of Landlord’s accounting department shall not be considered as acceptance by Landlord of any proposed assignee or sublessee nor shall such actions or omissions be deemed to be a substitute for the requirement that Tenant obtain Landlord’s prior written consent to any such subletting or assignment, and any such actions or omissions by the personnel of Landlord’s accounting department shall not be considered as a voluntary relinquishment by Landlord of any of its rights hereunder nor shall any voluntary relinquishment of such rights be inferred therefrom. For purposes hereof, in the event Tenant is a corporation, partnership, joint venture, trust or other entity other than a natural person, any change in the direct or indirect ownership of Tenant (whether pursuant to one or more transfers) which results in a change of more than fifty percent (50%) in the direct or indirect ownership of Tenant (each a “</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shall be deemed to be an assignment within the meaning of this Section 15 and shall be subject to all the provisions hereof.</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700" w:name="page701"/>
    <w:bookmarkEnd w:id="700"/>
    <w:p>
      <w:pPr>
        <w:ind w:left="22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the foregoing, provided that Tenant is not in default hereunder past any applicable cure period, Tenant may, without Landlord’s prior written consent, conduct a Change of Control provided that following each such Change of Control, Tenant shall have a current verifiable net worth at least equal to or greater than that of Tenant immediately prior to such Change of Control. Any and all options, first rights of refusal, tenant improvement allowances and other similar rights granted to Tenant in this Lease, if any, shall not be assignable by Tenant except to a Permitted Transferee (as defined in Section 15.4 below) or unless expressly authorized in writing by Landlord.</w:t>
      </w:r>
    </w:p>
    <w:p>
      <w:pPr>
        <w:spacing w:after="0" w:line="140" w:lineRule="exact"/>
        <w:rPr>
          <w:sz w:val="20"/>
          <w:szCs w:val="20"/>
          <w:color w:val="auto"/>
        </w:rPr>
      </w:pPr>
    </w:p>
    <w:p>
      <w:pPr>
        <w:ind w:left="220" w:right="279" w:firstLine="342"/>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15.2 Excess Sublease Rental or Assignment Consideration. </w:t>
      </w:r>
      <w:r>
        <w:rPr>
          <w:rFonts w:ascii="Times New Roman" w:cs="Times New Roman" w:eastAsia="Times New Roman" w:hAnsi="Times New Roman"/>
          <w:sz w:val="14"/>
          <w:szCs w:val="14"/>
          <w:color w:val="auto"/>
        </w:rPr>
        <w:t>In the event of any sublease or assignment of all or any portion of the Premises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where the rent or other consideration provided for in the sublease or assignment either initially or over the term of the sublease or assignment exceeds the Rent or pro rata portion of the Rent, as the case may be, for such space reserved in the Lease, after deducting only (a) a standard leasing commission payable by Tenant in consummating such assignment or sublease, (b) the cost of reasonable tenant improvements required for a sublease, provided that the drawings for such tenant improvements and the cost thereof are approved in writing by Landlord pursuant to this Lease, and (c) reasonable attorneys’ fees incurred by Tenant in negotiating and reviewing the assignment or sublease documentation, then Landlord may require that Tenant shall pay the Landlord monthly, as Additional Rent, at the same time as the monthly installments of Rent are payable hereunder, fifty percent (50%) of the amount of such excess of each such payment of rent or other consideration in excess of the Rent called for hereunder.</w:t>
      </w:r>
    </w:p>
    <w:p>
      <w:pPr>
        <w:spacing w:after="0" w:line="143" w:lineRule="exact"/>
        <w:rPr>
          <w:sz w:val="20"/>
          <w:szCs w:val="20"/>
          <w:color w:val="auto"/>
        </w:rPr>
      </w:pPr>
    </w:p>
    <w:p>
      <w:pPr>
        <w:ind w:left="220" w:right="25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15.3 Waiver. </w:t>
      </w:r>
      <w:r>
        <w:rPr>
          <w:rFonts w:ascii="Times New Roman" w:cs="Times New Roman" w:eastAsia="Times New Roman" w:hAnsi="Times New Roman"/>
          <w:sz w:val="14"/>
          <w:szCs w:val="14"/>
          <w:color w:val="auto"/>
        </w:rPr>
        <w:t>Notwithstanding any assignment or sublease, or any indulgences, waivers or extensions of time granted by Landlord to any assignee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sublessee, or failure by Landlord to take action against any assignee or sublessee, Tenant waives notice of any default of any assignee or sublessee and agrees that Landlord may, at its option, proceed against Tenant without having taken action against or joined such assignee or sublessee, except that Tenant shall have the benefit of any indulgences, waivers and extensions of time granted to any such assignee or sublessee.</w:t>
      </w:r>
    </w:p>
    <w:p>
      <w:pPr>
        <w:spacing w:after="0" w:line="136" w:lineRule="exact"/>
        <w:rPr>
          <w:sz w:val="20"/>
          <w:szCs w:val="20"/>
          <w:color w:val="auto"/>
        </w:rPr>
      </w:pPr>
    </w:p>
    <w:p>
      <w:pPr>
        <w:ind w:left="220" w:right="339" w:firstLine="342"/>
        <w:spacing w:after="0" w:line="275" w:lineRule="auto"/>
        <w:rPr>
          <w:sz w:val="20"/>
          <w:szCs w:val="20"/>
          <w:color w:val="auto"/>
        </w:rPr>
      </w:pPr>
      <w:r>
        <w:rPr>
          <w:rFonts w:ascii="Times New Roman" w:cs="Times New Roman" w:eastAsia="Times New Roman" w:hAnsi="Times New Roman"/>
          <w:sz w:val="13"/>
          <w:szCs w:val="13"/>
          <w:b w:val="1"/>
          <w:bCs w:val="1"/>
          <w:color w:val="auto"/>
        </w:rPr>
        <w:t xml:space="preserve">15.4 Permitted Transferee. </w:t>
      </w:r>
      <w:r>
        <w:rPr>
          <w:rFonts w:ascii="Times New Roman" w:cs="Times New Roman" w:eastAsia="Times New Roman" w:hAnsi="Times New Roman"/>
          <w:sz w:val="13"/>
          <w:szCs w:val="13"/>
          <w:color w:val="auto"/>
        </w:rPr>
        <w:t>Notwithstanding the foregoing, Tenant may, without Landlord’s prior written consent and without any right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terminate the Lease or a portion of the Premises as provided in Section 15.1 above or any participation by Landlord in assignment and subletting proceeds as provided in Section 15.2 above, sublet a portion or the entire Premises or assign this Lease to a parent, subsidiary, affiliate, division or corporation controlled or under common control with Tenant (“</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or to a successor corporation related to Tenant by merger, consolidation or reorganization, or to a purchaser of substantially all of Tenant’s business operations conducted on the Premises (all of the foregoing to be collectively referred to herein as “</w:t>
      </w:r>
      <w:r>
        <w:rPr>
          <w:rFonts w:ascii="Times New Roman" w:cs="Times New Roman" w:eastAsia="Times New Roman" w:hAnsi="Times New Roman"/>
          <w:sz w:val="13"/>
          <w:szCs w:val="13"/>
          <w:b w:val="1"/>
          <w:bCs w:val="1"/>
          <w:color w:val="auto"/>
        </w:rPr>
        <w:t>Permitted Transferee</w:t>
      </w:r>
      <w:r>
        <w:rPr>
          <w:rFonts w:ascii="Times New Roman" w:cs="Times New Roman" w:eastAsia="Times New Roman" w:hAnsi="Times New Roman"/>
          <w:sz w:val="13"/>
          <w:szCs w:val="13"/>
          <w:color w:val="auto"/>
        </w:rPr>
        <w:t>”), provided that any such assignee or sublessee shall have a current verifiable net worth at least equal to that of Tenant immediately prior to the effective date of the sublease or assignment, or, if less, financial resources sufficient, in Landlord’s reasonable good faith judgment, to perform the obligations under the assignment or sublease, as applicable. Tenant’s foregoing rights in this Section 15.4 to assign this Lease or to sublease a portion of the entire Premises shall be subject to the following conditions: (a) Tenant shall not be in default hereunder past any applicable cure period; (b) in the case of an assignment or subletting to an affiliate, Tenant shall remain liable to Landlord hereunder if Tenant is a surviving entity; and (c) the transferee or successor entity shall expressly assume in writing all of Tenant’s obligations hereunder.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2" w:right="1440" w:bottom="1440" w:gutter="0" w:footer="0" w:header="0"/>
        </w:sectPr>
      </w:pPr>
    </w:p>
    <w:bookmarkStart w:id="701" w:name="page702"/>
    <w:bookmarkEnd w:id="701"/>
    <w:p>
      <w:pPr>
        <w:ind w:left="220" w:right="259" w:firstLine="3"/>
        <w:spacing w:after="0" w:line="262" w:lineRule="auto"/>
        <w:tabs>
          <w:tab w:leader="none" w:pos="430" w:val="left"/>
        </w:tabs>
        <w:numPr>
          <w:ilvl w:val="0"/>
          <w:numId w:val="5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 Valorem Taxes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delinquency, Tenant shall pay all taxes and assessments levied upon trade fixtures, alterations, additions, improvements,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inventories and personal property located and/or installed on or in the Premises by, or on behalf of, Tenant; and if requested by Landlord, Tenant shall promptly deliver to Landlord copies of receipts for payment of all such taxes and assessments. To the extent any such taxes are not separately assessed or billed to Tenant, Tenant shall pay the amount thereof as invoiced by Landlord.</w:t>
      </w:r>
    </w:p>
    <w:p>
      <w:pPr>
        <w:spacing w:after="0" w:line="136" w:lineRule="exact"/>
        <w:rPr>
          <w:rFonts w:ascii="Times New Roman" w:cs="Times New Roman" w:eastAsia="Times New Roman" w:hAnsi="Times New Roman"/>
          <w:sz w:val="14"/>
          <w:szCs w:val="14"/>
          <w:b w:val="1"/>
          <w:bCs w:val="1"/>
          <w:color w:val="auto"/>
        </w:rPr>
      </w:pPr>
    </w:p>
    <w:p>
      <w:pPr>
        <w:jc w:val="both"/>
        <w:ind w:left="220" w:right="339" w:firstLine="3"/>
        <w:spacing w:after="0" w:line="278" w:lineRule="auto"/>
        <w:tabs>
          <w:tab w:leader="none" w:pos="430" w:val="left"/>
        </w:tabs>
        <w:numPr>
          <w:ilvl w:val="0"/>
          <w:numId w:val="5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Subordination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the necessity of any additional document being executed by Tenant for the purpose of effecting a subordination, and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election of Landlord or any bona fide mortgagee or deed of trust beneficiary with a lien on all or any portion of the Premises or any ground lessor with respect to the land of which the Premises are a part, the rights of Tenant under this Lease and this Lease shall be subject and subordinate at all times to:</w:t>
      </w:r>
    </w:p>
    <w:p>
      <w:pPr>
        <w:ind w:left="220" w:right="259"/>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 all ground leases or underlying leases which may now exist or hereafter be executed affecting the Building or the land upon which the Building is situated or both, and (ii) the lien of any mortgage or deed of trust which may hereafter be executed in any amount for which the Building, the lot upon which the Building is located, ground leases or underlying leases, or Landlord’s interest or estate in any of said items is specified as security; provided however, Landlord shall use commercially reasonable efforts to obtain a subordination, non-disturbance and attornment agreement (“</w:t>
      </w:r>
      <w:r>
        <w:rPr>
          <w:rFonts w:ascii="Times New Roman" w:cs="Times New Roman" w:eastAsia="Times New Roman" w:hAnsi="Times New Roman"/>
          <w:sz w:val="13"/>
          <w:szCs w:val="13"/>
          <w:b w:val="1"/>
          <w:bCs w:val="1"/>
          <w:color w:val="auto"/>
        </w:rPr>
        <w:t>SNDA</w:t>
      </w:r>
      <w:r>
        <w:rPr>
          <w:rFonts w:ascii="Times New Roman" w:cs="Times New Roman" w:eastAsia="Times New Roman" w:hAnsi="Times New Roman"/>
          <w:sz w:val="13"/>
          <w:szCs w:val="13"/>
          <w:color w:val="auto"/>
        </w:rPr>
        <w:t>”) from the beneficiary of any deed of trust executed by Landlord as trustor after the date of this Lease, such SNDA to be on such beneficiary’s form and reasonably satisfactory to Tenant. As of the date hereof, there is no deed of trust encumbering the Building or the lot upon which the Building is located. Notwithstanding anything to the contrary in this Section 17, Landlord or any such ground lessor, mortgagee, or any beneficiary shall have the right to subordinate or cause to be subordinated any such ground leases or underlying leases or any such liens to this Lease. If any ground lease or underlying lease terminates for any reason or any mortgage or deed of trust is foreclosed or a conveyance in lieu of foreclosure is made for any reason, Tenant shall, notwithstanding any subordination and upon the request of such successor to Landlord, attorn to and become the Tenant of the successor in interest to Landlord, provided such successor in interest will not disturb Tenant’s use, occupancy or quiet enjoyment of the Premises so long as Tenant is not in default of the terms and provisions of this Lease following expiration of all applicable notice and cure periods. The successor in interest to Landlord following foreclosure, sale or deed in lieu thereof shall not be (a) liable for any act or omission of any prior lessor or with respect to events occurring prior to acquisition of ownership; (b) subject to any offsets or defenses which Tenant might have against any prior lessor; (c) bound by prepayment of more than one (1) month’s Rent, except in those instances when Tenant pays Rent quarterly in advance pursuant to Section 8 hereof, then not more than three months’ Rent; or (d) liable to Tenant for any Security Deposit not actually received by such successor in interest to the extent any portion or all of such Security Deposit has not already been forfeited by, or refunded to, Tenant. Landlord shall be liable to Tenant for all or any portion of the Security Deposit not forfeited by, or refunded to Tenant, until and unless Landlord transfers such Security Deposit to the successor in interest. Tenant covenants and agrees to execute (and acknowledge if required by Landlord, any lender or ground lessor) and deliver, within ten (10) business days of a demand or request by Landlord and in the form reasonably requested by Landlord, ground lessor, mortgagee or beneficiary, any additional documents evidencing the priority or subordination of this Lease with respect to any such ground leases or underlying leases or the lien of any such mortgage or deed of trust.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702" w:name="page703"/>
    <w:bookmarkEnd w:id="702"/>
    <w:p>
      <w:pPr>
        <w:ind w:left="220" w:right="239" w:firstLine="3"/>
        <w:spacing w:after="0" w:line="254" w:lineRule="auto"/>
        <w:tabs>
          <w:tab w:leader="none" w:pos="430" w:val="left"/>
        </w:tabs>
        <w:numPr>
          <w:ilvl w:val="0"/>
          <w:numId w:val="5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Right of Entry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in the event of emergency, but subject Tenant’s reasonable security/control procedures for its CLIA operations, Landlord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Landlord’s agents shall provide Tenant with one (1) business day notice prior to entry of the Premises. Tenant grants Landlord or its agents the right to enter the Premises at all reasonable times subject to such prior notice for purposes of inspection, exhibition, posting of notices, repair or alteration. At Landlord’s option, Landlord shall at all times have and retain a key with which to unlock all the doors in, upon and about the Premises, excluding Tenant’s vaults and safes. It is further agreed that Landlord shall have the right to use any and all means Landlord deems necessary to enter the Premises in an emergency. Landlord shall have the right to place “for rent” or “for lease” signs on the outside of the Premises, the Building and in the Common Areas. Landlord shall also have the right to place “for sale” signs on the outside of the Building and in the Common Areas. Tenant hereby waives any claim from damages or for any injury or inconvenience to or interference with Tenant’s business, or any other loss occasioned thereby except for any claim for any of the foregoing arising out of the gross negligence or willful misconduct of Landlord or its authorized representatives.</w:t>
      </w:r>
    </w:p>
    <w:p>
      <w:pPr>
        <w:spacing w:after="0" w:line="145" w:lineRule="exact"/>
        <w:rPr>
          <w:rFonts w:ascii="Times New Roman" w:cs="Times New Roman" w:eastAsia="Times New Roman" w:hAnsi="Times New Roman"/>
          <w:sz w:val="14"/>
          <w:szCs w:val="14"/>
          <w:b w:val="1"/>
          <w:bCs w:val="1"/>
          <w:color w:val="auto"/>
        </w:rPr>
      </w:pPr>
    </w:p>
    <w:p>
      <w:pPr>
        <w:ind w:left="440" w:hanging="217"/>
        <w:spacing w:after="0"/>
        <w:tabs>
          <w:tab w:leader="none" w:pos="440" w:val="left"/>
        </w:tabs>
        <w:numPr>
          <w:ilvl w:val="0"/>
          <w:numId w:val="5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Estoppel Certificate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shall execute (and acknowledge if required by any lender or ground lessor) and deliver to Landlord, within fifteen</w:t>
      </w:r>
    </w:p>
    <w:p>
      <w:pPr>
        <w:spacing w:after="0" w:line="24" w:lineRule="exact"/>
        <w:rPr>
          <w:sz w:val="20"/>
          <w:szCs w:val="20"/>
          <w:color w:val="auto"/>
        </w:rPr>
      </w:pPr>
    </w:p>
    <w:p>
      <w:pPr>
        <w:ind w:left="220" w:right="279" w:firstLine="3"/>
        <w:spacing w:after="0" w:line="250" w:lineRule="auto"/>
        <w:tabs>
          <w:tab w:leader="none" w:pos="488"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Landlord provides such to Tenant, a statement in writing certifying that this Lease is unmodified and in full force and effect (or, if modified, stating the nature of such modification), the date to which the Rent and other charges are paid in advance, if any, acknowledging that there are not, to Tenant’s actual knowledge, any uncured defaults on the part of Landlord hereunder or specifying such defaults as are claimed, and such other matters as Landlord may reasonably require. Any such statement may be conclusively relied upon by Landlord and any prospective purchaser or encumbrancer of the Premises. Tenant’s failure to deliver such statement within such time shall be conclusive upon the Tenant that (a) this Lease is in full force and effect, without modification except as may be represented by Landlord; (b) there are no uncured defaults in Landlord’s performance; and</w:t>
      </w:r>
    </w:p>
    <w:p>
      <w:pPr>
        <w:spacing w:after="0" w:line="1" w:lineRule="exact"/>
        <w:rPr>
          <w:rFonts w:ascii="Times New Roman" w:cs="Times New Roman" w:eastAsia="Times New Roman" w:hAnsi="Times New Roman"/>
          <w:sz w:val="14"/>
          <w:szCs w:val="14"/>
          <w:color w:val="auto"/>
        </w:rPr>
      </w:pPr>
    </w:p>
    <w:p>
      <w:pPr>
        <w:ind w:left="220" w:right="7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not more than one month’s Rent has been paid in advance, except in those instances when Tenant pays Rent quarterly in advance pursuant to Section 8 hereof, then not more than three month’s Rent has been paid in advance.</w:t>
      </w:r>
    </w:p>
    <w:p>
      <w:pPr>
        <w:spacing w:after="0" w:line="138" w:lineRule="exact"/>
        <w:rPr>
          <w:sz w:val="20"/>
          <w:szCs w:val="20"/>
          <w:color w:val="auto"/>
        </w:rPr>
      </w:pPr>
    </w:p>
    <w:p>
      <w:pPr>
        <w:ind w:left="220" w:right="359" w:firstLine="3"/>
        <w:spacing w:after="0" w:line="285" w:lineRule="auto"/>
        <w:tabs>
          <w:tab w:leader="none" w:pos="430" w:val="left"/>
        </w:tabs>
        <w:numPr>
          <w:ilvl w:val="0"/>
          <w:numId w:val="5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Tenant’s Default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occurrence of any one or more of the following events shall, at Landlord’s option, constitute a material default by Tenant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provisions of this Lease:</w:t>
      </w:r>
    </w:p>
    <w:p>
      <w:pPr>
        <w:spacing w:after="0" w:line="37" w:lineRule="exact"/>
        <w:rPr>
          <w:sz w:val="20"/>
          <w:szCs w:val="20"/>
          <w:color w:val="auto"/>
        </w:rPr>
      </w:pPr>
    </w:p>
    <w:p>
      <w:pPr>
        <w:ind w:left="220" w:right="47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20.1 </w:t>
      </w:r>
      <w:r>
        <w:rPr>
          <w:rFonts w:ascii="Times New Roman" w:cs="Times New Roman" w:eastAsia="Times New Roman" w:hAnsi="Times New Roman"/>
          <w:sz w:val="14"/>
          <w:szCs w:val="14"/>
          <w:color w:val="auto"/>
        </w:rPr>
        <w:t>The abandonment of the Premises by Tenant or the vacation of the Premises by Tenant which would cause any insurance policy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invalidated or otherwise lapse. Tenant agrees to notice and service of notice as provided for in this Lease and waives any right to any other or further notice or service of notice which Tenant may have under any statute or law now or hereafter in effect;</w:t>
      </w:r>
    </w:p>
    <w:p>
      <w:pPr>
        <w:spacing w:after="0" w:line="134"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20.2 </w:t>
      </w:r>
      <w:r>
        <w:rPr>
          <w:rFonts w:ascii="Times New Roman" w:cs="Times New Roman" w:eastAsia="Times New Roman" w:hAnsi="Times New Roman"/>
          <w:sz w:val="14"/>
          <w:szCs w:val="14"/>
          <w:color w:val="auto"/>
        </w:rPr>
        <w:t>The failure by Tenant to make any payment of Rent, Additional Rent or any other payment required hereunder on the date said payment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due and Tenant fails to cure such default within five (5) days after written notice of such failure is given to Tenant by Landlord;</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703" w:name="page704"/>
    <w:bookmarkEnd w:id="703"/>
    <w:p>
      <w:pPr>
        <w:ind w:left="220" w:right="31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20.3 </w:t>
      </w:r>
      <w:r>
        <w:rPr>
          <w:rFonts w:ascii="Times New Roman" w:cs="Times New Roman" w:eastAsia="Times New Roman" w:hAnsi="Times New Roman"/>
          <w:sz w:val="14"/>
          <w:szCs w:val="14"/>
          <w:color w:val="auto"/>
        </w:rPr>
        <w:t>The failure by Tenant to observe, perform or comply with any of the obligations, conditions, covenants or provisions of this Lease (except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failure to make any payment of Rent and/or Additional Rent) and such failure is not cured within twenty (20) days after written notice of such failure is given to Tenant by Landlord. If such failure is susceptible of cure but cannot reasonably be cured within the aforementioned time period, Tenant shall promptly commence the cure of such failure and thereafter diligently prosecute such cure to completion within the time period specified by Landlord in any written notice regarding such failure as may be delivered to Tenant by Landlord. In no event or circumstance shall Tenant have more than sixty (60) days to complete any such cure, unless otherwise expressly agreed to in writing by Landlord (in Landlord’s sole discretion);</w:t>
      </w:r>
    </w:p>
    <w:p>
      <w:pPr>
        <w:spacing w:after="0" w:line="141" w:lineRule="exact"/>
        <w:rPr>
          <w:sz w:val="20"/>
          <w:szCs w:val="20"/>
          <w:color w:val="auto"/>
        </w:rPr>
      </w:pPr>
    </w:p>
    <w:p>
      <w:pPr>
        <w:ind w:left="220" w:right="259" w:firstLine="342"/>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20.4 </w:t>
      </w:r>
      <w:r>
        <w:rPr>
          <w:rFonts w:ascii="Times New Roman" w:cs="Times New Roman" w:eastAsia="Times New Roman" w:hAnsi="Times New Roman"/>
          <w:sz w:val="14"/>
          <w:szCs w:val="14"/>
          <w:color w:val="auto"/>
        </w:rPr>
        <w:t>The making of a general assignment by Tenant for the benefit of creditors, the filing of a voluntary petition by Tenant or the filing of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involuntary petition by any of Tenant’s creditors seeking the rehabilitation, liquidation, or reorganization of Tenant under any law relating to bankruptcy, insolvency or other relief of debtors and, in the case of an involuntary action, the failure to remove or discharge the same within sixty (60) days of such filing, the appointment of a receiver or other custodian to take possession of substantially all of Tenant’s assets or this leasehold, Tenant’s insolvency or inability to pay Tenant’s debts or failure generally to pay Tenant’s debts when due, any court entering a decree or order directing the winding up or liquidation of Tenant or of substantially all of Tenant’s assets, Tenant taking any action toward the dissolution or winding up of Tenant’s affairs, the cessation or suspension of Tenant’s use of the Premises, or the attachment, execution or other judicial seizure of substantially all of Tenant’s assets or this leasehold;</w:t>
      </w:r>
    </w:p>
    <w:p>
      <w:pPr>
        <w:spacing w:after="0" w:line="143" w:lineRule="exact"/>
        <w:rPr>
          <w:sz w:val="20"/>
          <w:szCs w:val="20"/>
          <w:color w:val="auto"/>
        </w:rPr>
      </w:pPr>
    </w:p>
    <w:p>
      <w:pPr>
        <w:ind w:left="220" w:right="3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20.5 </w:t>
      </w:r>
      <w:r>
        <w:rPr>
          <w:rFonts w:ascii="Times New Roman" w:cs="Times New Roman" w:eastAsia="Times New Roman" w:hAnsi="Times New Roman"/>
          <w:sz w:val="14"/>
          <w:szCs w:val="14"/>
          <w:color w:val="auto"/>
        </w:rPr>
        <w:t>Tenant’s use or storage of Hazardous Materials in, on or about the Premises, the Building, the lot upon which the Building is located and/or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Park other than as expressly permitted by the provisions of Section 29 below;</w:t>
      </w:r>
    </w:p>
    <w:p>
      <w:pPr>
        <w:spacing w:after="0" w:line="121" w:lineRule="exact"/>
        <w:rPr>
          <w:sz w:val="20"/>
          <w:szCs w:val="20"/>
          <w:color w:val="auto"/>
        </w:rPr>
      </w:pPr>
    </w:p>
    <w:p>
      <w:pPr>
        <w:ind w:left="220" w:right="6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20.6 </w:t>
      </w:r>
      <w:r>
        <w:rPr>
          <w:rFonts w:ascii="Times New Roman" w:cs="Times New Roman" w:eastAsia="Times New Roman" w:hAnsi="Times New Roman"/>
          <w:sz w:val="14"/>
          <w:szCs w:val="14"/>
          <w:color w:val="auto"/>
        </w:rPr>
        <w:t>The making of any material misrepresentation or omission by Tenant in any materials delivered by or on behalf of Tenant to Landlord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this Lease;</w:t>
      </w:r>
    </w:p>
    <w:p>
      <w:pPr>
        <w:spacing w:after="0" w:line="121" w:lineRule="exact"/>
        <w:rPr>
          <w:sz w:val="20"/>
          <w:szCs w:val="20"/>
          <w:color w:val="auto"/>
        </w:rPr>
      </w:pPr>
    </w:p>
    <w:p>
      <w:pPr>
        <w:ind w:left="220" w:right="25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20.7 </w:t>
      </w:r>
      <w:r>
        <w:rPr>
          <w:rFonts w:ascii="Times New Roman" w:cs="Times New Roman" w:eastAsia="Times New Roman" w:hAnsi="Times New Roman"/>
          <w:sz w:val="14"/>
          <w:szCs w:val="14"/>
          <w:color w:val="auto"/>
        </w:rPr>
        <w:t>Tenant fails to execute (and acknowledge if required) and deliver, within the time period set forth in Section 17 above, documents evidencing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priority or subordination of this Lease with respect to any such ground leases or underlying leases or the lien of any mortgage or deed of trust and Tenant fails to cure such default within ten (10) days after written notice of such failure is given to Tenant by Landlord; or</w:t>
      </w:r>
    </w:p>
    <w:p>
      <w:pPr>
        <w:spacing w:after="0" w:line="134" w:lineRule="exact"/>
        <w:rPr>
          <w:sz w:val="20"/>
          <w:szCs w:val="20"/>
          <w:color w:val="auto"/>
        </w:rPr>
      </w:pPr>
    </w:p>
    <w:p>
      <w:pPr>
        <w:ind w:left="220" w:right="679" w:firstLine="342"/>
        <w:spacing w:after="0" w:line="325" w:lineRule="auto"/>
        <w:rPr>
          <w:sz w:val="20"/>
          <w:szCs w:val="20"/>
          <w:color w:val="auto"/>
        </w:rPr>
      </w:pPr>
      <w:r>
        <w:rPr>
          <w:rFonts w:ascii="Times New Roman" w:cs="Times New Roman" w:eastAsia="Times New Roman" w:hAnsi="Times New Roman"/>
          <w:sz w:val="13"/>
          <w:szCs w:val="13"/>
          <w:b w:val="1"/>
          <w:bCs w:val="1"/>
          <w:color w:val="auto"/>
        </w:rPr>
        <w:t xml:space="preserve">20.8 </w:t>
      </w:r>
      <w:r>
        <w:rPr>
          <w:rFonts w:ascii="Times New Roman" w:cs="Times New Roman" w:eastAsia="Times New Roman" w:hAnsi="Times New Roman"/>
          <w:sz w:val="13"/>
          <w:szCs w:val="13"/>
          <w:color w:val="auto"/>
        </w:rPr>
        <w:t>Tenant fails to execute (and acknowledge if required) and deliver to Landlord, within the time period set forth in Section 19 above,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estoppel certificate and Tenant fails to cure such default within ten (10) days after written notice of such failure is given to Tenant by Landlord.</w:t>
      </w:r>
    </w:p>
    <w:p>
      <w:pPr>
        <w:spacing w:after="0" w:line="183" w:lineRule="exact"/>
        <w:rPr>
          <w:sz w:val="20"/>
          <w:szCs w:val="20"/>
          <w:color w:val="auto"/>
        </w:rPr>
      </w:pPr>
    </w:p>
    <w:p>
      <w:pPr>
        <w:ind w:left="440" w:hanging="217"/>
        <w:spacing w:after="0"/>
        <w:tabs>
          <w:tab w:leader="none" w:pos="440" w:val="left"/>
        </w:tabs>
        <w:numPr>
          <w:ilvl w:val="0"/>
          <w:numId w:val="5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Remedies for Tenant’s Default</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9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21.1 Landlord’s Rights: </w:t>
      </w:r>
      <w:r>
        <w:rPr>
          <w:rFonts w:ascii="Times New Roman" w:cs="Times New Roman" w:eastAsia="Times New Roman" w:hAnsi="Times New Roman"/>
          <w:sz w:val="14"/>
          <w:szCs w:val="14"/>
          <w:color w:val="auto"/>
        </w:rPr>
        <w:t>In the event of Tenant’s material default under this Lease, Landlord may terminate Tenant’s right to possession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Premises by any lawful means in which case upon delivery of written notice by Landlord this Lease shall terminate on the date specified by Landlord in such notice and Tenant shall immediately surrender possession of the Premises to Landlord. In addition, the Landlord shall have the immediate right of re-entry whether or not this Lease is terminated, and if this right of re-entry is exercised following abandonment of the Premises by Tenant, Landlord may consider any personal property belonging to Tenant and left on the Premises to also have been abandoned. No re-entry or taking possession of the Premises by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704" w:name="page705"/>
    <w:bookmarkEnd w:id="704"/>
    <w:p>
      <w:pPr>
        <w:ind w:left="22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Landlord pursuant to this Section 21 shall be construed as an election to terminate this Lease unless a written notice of such intention is given to Tenant. If Landlord relets the Premises or any portion thereof, (i) Tenant shall be liable immediately to Landlord for all costs Landlord incurs in reletting the Premises or any part thereof, including, without limitation, broker’s commissions, expenses of cleaning, redecorating, and further improving the Premises and other similar costs (collectively, the “</w:t>
      </w:r>
      <w:r>
        <w:rPr>
          <w:rFonts w:ascii="Times New Roman" w:cs="Times New Roman" w:eastAsia="Times New Roman" w:hAnsi="Times New Roman"/>
          <w:sz w:val="14"/>
          <w:szCs w:val="14"/>
          <w:b w:val="1"/>
          <w:bCs w:val="1"/>
          <w:color w:val="auto"/>
        </w:rPr>
        <w:t>Reletting Costs</w:t>
      </w:r>
      <w:r>
        <w:rPr>
          <w:rFonts w:ascii="Times New Roman" w:cs="Times New Roman" w:eastAsia="Times New Roman" w:hAnsi="Times New Roman"/>
          <w:sz w:val="14"/>
          <w:szCs w:val="14"/>
          <w:color w:val="auto"/>
        </w:rPr>
        <w:t>”), and (ii) the rent received by Landlord from such reletting shall be applied to the payment of, first, any indebtedness from Tenant to Landlord other than Base Rent, Operating Expenses, Tax Expenses, Common Area Utility Costs, and Utility Expenses; second, all costs including maintenance, incurred by Landlord in reletting; and, third, Base Rent, Operating Expenses, Tax Expenses, Common Area Utility Costs, Utility Expenses, and all other sums due under this Lease. Any and all of the Reletting Costs shall be fully chargeable to Tenant and shall not be prorated or otherwise amortized in relation to any new lease for the Premises or any portion thereof. After deducting the payments referred to above, any sum remaining from the rental Landlord receives from reletting shall be held by Landlord and applied in payment of future Rent as Rent becomes due under this Lease. In no event shall Tenant be entitled to any excess rent received by Landlord. Reletting may be for a period shorter or longer than the remaining term of this Lease. No act by Landlord other than giving written notice to Tenant shall terminate this Lease. Acts of maintenance, efforts to relet the Premises or the appointment of a receiver on Landlord’s initiative to protect Landlord’s interest under this Lease shall not constitute a termination of Tenant’s right to possession. So long as this Lease is not terminated, Landlord shall have the right to remedy any default of Tenant, to maintain or improve the Premises, to cause a receiver to be appointed to administer the Premises and new or existing subleases and to add to the Rent payable hereunder all of Landlord’s reasonable costs in so doing, with interest at the maximum rate permitted by law from the date of such expenditure.</w:t>
      </w:r>
    </w:p>
    <w:p>
      <w:pPr>
        <w:spacing w:after="0" w:line="148" w:lineRule="exact"/>
        <w:rPr>
          <w:sz w:val="20"/>
          <w:szCs w:val="20"/>
          <w:color w:val="auto"/>
        </w:rPr>
      </w:pPr>
    </w:p>
    <w:p>
      <w:pPr>
        <w:ind w:left="220" w:right="23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21.2 Damages Recoverable: </w:t>
      </w:r>
      <w:r>
        <w:rPr>
          <w:rFonts w:ascii="Times New Roman" w:cs="Times New Roman" w:eastAsia="Times New Roman" w:hAnsi="Times New Roman"/>
          <w:sz w:val="14"/>
          <w:szCs w:val="14"/>
          <w:color w:val="auto"/>
        </w:rPr>
        <w:t>If Tenant breaches this Lease and abandons the Premises before the end of the Term, or if Tenant’s right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possession is terminated by Landlord because of a breach or default under this Lease, then in either such case, Landlord may recover from Tenant all damages suffered by Landlord as a result of Tenant’s failure to perform its obligations hereunder, including, but not limited to, the cost of any Tenant Improvements constructed by or on behalf of Tenant pursuant to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the portion of any broker’s or leasing agent’s commission incurred with respect to the leasing of the Premises to Tenant for the balance of the Term of the Lease remaining after the date on which Tenant is in default of its obligations hereunder, and all Reletting Costs, and the worth at the time of the award (computed in accordance with paragraph (3) of Subdivision (a) of Section 1951.2 of the California Civil Code) of the amount by which the Rent then unpaid hereunder for the balance of the Lease Term exceeds the amount of such loss of Rent for the same period which Tenant proves could be reasonably avoided by Landlord and in such case, Landlord prior to the award, may relet the Premises for the purpose of mitigating damages suffered by Landlord because of Tenant’s failure to perform its obligations hereunder; provided, however, that even though Tenant has abandoned the Premises following such breach, this Lease shall nevertheless continue in full force and effect for as long as Landlord does not terminate Tenant’s right of possession, and until such termination, Landlord shall have the remedy described in Section 1951.4 of the California Civil Code (Landlord may continue this Lease in effect after Tenant’s breach and abandonment and recover Rent as it becomes due, if Tenant has the right to sublet or assign, subject only to reasonable limitations) and may enforce all its rights and remedies under this Lease, including the right to recover the Rent from Tenant as it becomes due hereunder. The “worth at the time of the award” within the meaning of Subparagraphs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2" w:right="1440" w:bottom="1440" w:gutter="0" w:footer="0" w:header="0"/>
        </w:sectPr>
      </w:pPr>
    </w:p>
    <w:bookmarkStart w:id="705" w:name="page706"/>
    <w:bookmarkEnd w:id="705"/>
    <w:p>
      <w:pPr>
        <w:jc w:val="both"/>
        <w:ind w:left="220" w:right="5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(a)(1) and (a)(2) of Section 1951.2 of the California Civil Code shall be computed by allowing interest at the rate of ten percent (10%) per annum. Tenant waives redemption or relief from forfeiture under California Code of Civil Procedure Sections 1174 and 1179, or under any other present or future law, in the event Tenant is evicted or Landlord takes possession of the Premises by reason of any default of Tenant hereunder.</w:t>
      </w:r>
    </w:p>
    <w:p>
      <w:pPr>
        <w:spacing w:after="0" w:line="134" w:lineRule="exact"/>
        <w:rPr>
          <w:sz w:val="20"/>
          <w:szCs w:val="20"/>
          <w:color w:val="auto"/>
        </w:rPr>
      </w:pPr>
    </w:p>
    <w:p>
      <w:pPr>
        <w:ind w:left="220" w:right="29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21.3 Rights and Remedies Cumulative: </w:t>
      </w:r>
      <w:r>
        <w:rPr>
          <w:rFonts w:ascii="Times New Roman" w:cs="Times New Roman" w:eastAsia="Times New Roman" w:hAnsi="Times New Roman"/>
          <w:sz w:val="14"/>
          <w:szCs w:val="14"/>
          <w:color w:val="auto"/>
        </w:rPr>
        <w:t>The foregoing rights and remedies of Landlord are not exclusive; they are cumulative in addition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and remedies now or hereafter existing at law, in equity by statute or otherwise, or to any equitable remedies Landlord may have, and to any remedies Landlord may have under bankruptcy laws or laws affecting creditor’s rights generally. In addition to all remedies set forth above, if Tenant materially defaults under this Lease, any and all Base Rent waived by Landlord under Section 3 above shall be immediately due and payable to Landlord and all options granted to Tenant hereunder shall automatically terminate, unless otherwise expressly agreed to in writing by Landlord.</w:t>
      </w:r>
    </w:p>
    <w:p>
      <w:pPr>
        <w:spacing w:after="0" w:line="139" w:lineRule="exact"/>
        <w:rPr>
          <w:sz w:val="20"/>
          <w:szCs w:val="20"/>
          <w:color w:val="auto"/>
        </w:rPr>
      </w:pPr>
    </w:p>
    <w:p>
      <w:pPr>
        <w:ind w:left="220" w:right="2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21.4 Waiver of a Default: </w:t>
      </w:r>
      <w:r>
        <w:rPr>
          <w:rFonts w:ascii="Times New Roman" w:cs="Times New Roman" w:eastAsia="Times New Roman" w:hAnsi="Times New Roman"/>
          <w:sz w:val="14"/>
          <w:szCs w:val="14"/>
          <w:color w:val="auto"/>
        </w:rPr>
        <w:t>The waiver by Landlord of any default of any provision of this Lease shall not be deemed or construed a waiver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default by Tenant hereunder or of any subsequent default of this Lease, except for the default specified in the waiver.</w:t>
      </w:r>
    </w:p>
    <w:p>
      <w:pPr>
        <w:spacing w:after="0" w:line="121" w:lineRule="exact"/>
        <w:rPr>
          <w:sz w:val="20"/>
          <w:szCs w:val="20"/>
          <w:color w:val="auto"/>
        </w:rPr>
      </w:pPr>
    </w:p>
    <w:p>
      <w:pPr>
        <w:ind w:left="220" w:right="239" w:firstLine="3"/>
        <w:spacing w:after="0" w:line="253" w:lineRule="auto"/>
        <w:tabs>
          <w:tab w:leader="none" w:pos="430" w:val="left"/>
        </w:tabs>
        <w:numPr>
          <w:ilvl w:val="0"/>
          <w:numId w:val="5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Holding Over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Tenant holds possession of the Premises after the expiration of the Term of this Lease with Landlord’s consent, Tenant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 a tenant from month-to-month upon the terms and provisions of this Lease, provided the monthly Base Rent during such hold over period shall be the greater of (a) one hundred fifty percent (150%) of the Base Rent due on the last month of the Lease Term, payable in advance on or before the first day of each month, or (b) the then market rent for comparable space as the Premises. Acceptance by Landlord of the monthly Base Rent without the additional fifty percent (50%) increase of Base Rent shall not be deemed or construed as a waiver by Landlord of any of its rights to collect the increased amount of the Base Rent as provided herein at any time. Such month-to-month tenancy shall not constitute a renewal or extension for any further term. All options, if any, granted under the terms of this Lease shall be deemed automatically terminated and be of no force or effect during said month-to-month tenancy. Tenant shall continue in possession until such tenancy shall be terminated by either Landlord or Tenant giving written notice of termination to the other party at least thirty (30) days prior to the effective date of termination. This paragraph shall not be construed as Landlord’s permission for Tenant to hold over. Acceptance of Base Rent by Landlord following expiration or termination of this Lease shall not constitute a renewal of this Lease.</w:t>
      </w:r>
    </w:p>
    <w:p>
      <w:pPr>
        <w:spacing w:after="0" w:line="147" w:lineRule="exact"/>
        <w:rPr>
          <w:rFonts w:ascii="Times New Roman" w:cs="Times New Roman" w:eastAsia="Times New Roman" w:hAnsi="Times New Roman"/>
          <w:sz w:val="14"/>
          <w:szCs w:val="14"/>
          <w:b w:val="1"/>
          <w:bCs w:val="1"/>
          <w:color w:val="auto"/>
        </w:rPr>
      </w:pPr>
    </w:p>
    <w:p>
      <w:pPr>
        <w:ind w:left="220" w:right="299" w:firstLine="3"/>
        <w:spacing w:after="0" w:line="255" w:lineRule="auto"/>
        <w:tabs>
          <w:tab w:leader="none" w:pos="430" w:val="left"/>
        </w:tabs>
        <w:numPr>
          <w:ilvl w:val="0"/>
          <w:numId w:val="5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Landlord’s Default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shall not be deemed in breach or default of this Lease unless Landlord fails within a reasonable time to perform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required to be performed by Landlord hereunder. For purposes of this provision, a reasonable time shall not be less than thirty (30) days after receipt by Landlord of written notice specifying the nature of the obligation Landlord has not performed; provided, however, that if the nature of Landlord’s obligation is such that more than thirty (30) days, after receipt of written notice, is reasonably necessary for its performance, then Landlord shall not be in breach or default of this Lease if performance of such obligation is commenced within such thirty (30) day period and thereafter diligently pursued to completion. If Landlord commits a default, Tenant’s remedy shall be to institute an action against Landlord for damages or for equitable or injunctive relief, but Tenant shall not have the right to rent abatement, to offset against rent, or to terminate this Lease in the event of any default by Landlord.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1" w:right="1440" w:bottom="1440" w:gutter="0" w:footer="0" w:header="0"/>
        </w:sectPr>
      </w:pPr>
    </w:p>
    <w:bookmarkStart w:id="706" w:name="page707"/>
    <w:bookmarkEnd w:id="706"/>
    <w:p>
      <w:pPr>
        <w:ind w:left="220" w:right="239" w:firstLine="3"/>
        <w:spacing w:after="0" w:line="262" w:lineRule="auto"/>
        <w:tabs>
          <w:tab w:leader="none" w:pos="430" w:val="left"/>
        </w:tabs>
        <w:numPr>
          <w:ilvl w:val="0"/>
          <w:numId w:val="5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Parking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shall have the right to use the number of non-designated and nonexclusive parking spaces specified in the Basic Lease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no additional cost to Tenant in the parking area for the Building, subject to such reasonable rules and regulations for such parking facilities which may be established or altered by Landlord at any time from time to time during the Term of the Lease, provided that such rules and regulations shall not unreasonably interfere with Tenant’s parking license.</w:t>
      </w:r>
    </w:p>
    <w:p>
      <w:pPr>
        <w:spacing w:after="0" w:line="136" w:lineRule="exact"/>
        <w:rPr>
          <w:rFonts w:ascii="Times New Roman" w:cs="Times New Roman" w:eastAsia="Times New Roman" w:hAnsi="Times New Roman"/>
          <w:sz w:val="14"/>
          <w:szCs w:val="14"/>
          <w:b w:val="1"/>
          <w:bCs w:val="1"/>
          <w:color w:val="auto"/>
        </w:rPr>
      </w:pPr>
    </w:p>
    <w:p>
      <w:pPr>
        <w:ind w:left="220" w:right="259" w:firstLine="3"/>
        <w:spacing w:after="0" w:line="254" w:lineRule="auto"/>
        <w:tabs>
          <w:tab w:leader="none" w:pos="430" w:val="left"/>
        </w:tabs>
        <w:numPr>
          <w:ilvl w:val="0"/>
          <w:numId w:val="5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Sale of Premises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event of any sale of the Premises by Landlord or the cessation otherwise of Landlord’s interest therein, Landlord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is hereby entirely released from any and all of its obligations to perform or further perform under this Lease and from all liability hereunder accruing from or after the date of such sale; and the purchaser, at such sale or any subsequent sale of the Premises shall be deemed, without any further agreement between the parties or their successors in interest or between the parties and any such purchaser, to have assumed and agreed to carry out any and all of the covenants and obligations of the Landlord under this Lease. For purposes of this Section 25, the term “Landlord” means only the owner and/or agent of the owner as such parties exist as of the date on which Tenant executes this Lease. A ground lease or similar long term lease by Landlord of the entire Building, of which the Premises are a part, shall be deemed a sale within the meaning of this Section 25. Tenant agrees to attorn to such new owner provided such new owner does not disturb Tenant’s use, occupancy or quiet enjoyment of the Premises so long as Tenant is not in default of any of the provisions of this Lease.</w:t>
      </w:r>
    </w:p>
    <w:p>
      <w:pPr>
        <w:spacing w:after="0" w:line="145" w:lineRule="exact"/>
        <w:rPr>
          <w:rFonts w:ascii="Times New Roman" w:cs="Times New Roman" w:eastAsia="Times New Roman" w:hAnsi="Times New Roman"/>
          <w:sz w:val="14"/>
          <w:szCs w:val="14"/>
          <w:b w:val="1"/>
          <w:bCs w:val="1"/>
          <w:color w:val="auto"/>
        </w:rPr>
      </w:pPr>
    </w:p>
    <w:p>
      <w:pPr>
        <w:ind w:left="220" w:right="299" w:firstLine="3"/>
        <w:spacing w:after="0" w:line="254" w:lineRule="auto"/>
        <w:tabs>
          <w:tab w:leader="none" w:pos="430" w:val="left"/>
        </w:tabs>
        <w:numPr>
          <w:ilvl w:val="0"/>
          <w:numId w:val="5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Waiver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delay or omission in the exercise of any right or remedy of either party on any default by the other party shall impair such a right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remedy or be construed as a waiver. The subsequent acceptance of Rent by Landlord after default by Tenant of any covenant or term of this Lease shall not be deemed a waiver of such default, other than a waiver of timely payment for the particular Rent payment involved, and shall not prevent Landlord from maintaining an unlawful detainer or other action based on such breach. No payment by Tenant or receipt by Landlord of a lesser amount than the monthly Rent and other sums due hereunder shall be deemed to be other than on account of the earliest Rent or other sums due, nor shall any endorsement or statement on any check or accompanying any check or payment be deemed an accord and satisfaction; and Landlord may accept such check or payment without prejudice to Landlord’s right to recover the balance of such Rent or other sum or pursue any other remedy provided in this Lease. No failure, partial exercise or delay on the part of either party in exercising any right, power or privilege hereunder shall operate as a waiver thereof.</w:t>
      </w:r>
    </w:p>
    <w:p>
      <w:pPr>
        <w:spacing w:after="0" w:line="145" w:lineRule="exact"/>
        <w:rPr>
          <w:rFonts w:ascii="Times New Roman" w:cs="Times New Roman" w:eastAsia="Times New Roman" w:hAnsi="Times New Roman"/>
          <w:sz w:val="14"/>
          <w:szCs w:val="14"/>
          <w:b w:val="1"/>
          <w:bCs w:val="1"/>
          <w:color w:val="auto"/>
        </w:rPr>
      </w:pPr>
    </w:p>
    <w:p>
      <w:pPr>
        <w:ind w:left="220" w:right="299" w:firstLine="3"/>
        <w:spacing w:after="0" w:line="257" w:lineRule="auto"/>
        <w:tabs>
          <w:tab w:leader="none" w:pos="430" w:val="left"/>
        </w:tabs>
        <w:numPr>
          <w:ilvl w:val="0"/>
          <w:numId w:val="5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Casualty Damage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the Premises or any part thereof shall be damaged by fire or other casualty, Tenant shall give prompt written notice thereof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In the event of a total destruction of the Building or the Premises during the Term from any cause, either party may elect to terminate this Lease by giving written notice of termination to the other party within thirty (30) days after the casualty occurs. A total destruction shall be deemed to have occurred for this purpose if the Building or the Premises is destroyed to the extent of seventy-five percent (75%) or more of the replacement cost thereof. If the Lease is not terminated, and provided insurance proceeds and any contributions from Tenant, if necessary, are available to fully repair the damage, Landlord shall repair and restore the Building, including the Tenant Improvements and Alterations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707" w:name="page708"/>
    <w:bookmarkEnd w:id="707"/>
    <w:p>
      <w:pPr>
        <w:ind w:left="220" w:right="23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completed by or on behalf of Tenant in accordance with Section 10.1 above (but Landlord shall not be required to rebuild, repair, or replace any part of Tenant’s furniture, furnishings, fixtures and/or equipment) in a diligent manner and this Lease shall continue in full force and effect, except that Rent shall be abated as set forth herein. In the event of a partial destruction of the Building or the Premises to an extent less than seventy-five percent (75%) of the replacement cost thereof, and if the damage thereto can be repaired, reconstructed, or restored within a period of two hundred seventy (270) days from the date of such casualty (the “</w:t>
      </w:r>
      <w:r>
        <w:rPr>
          <w:rFonts w:ascii="Times New Roman" w:cs="Times New Roman" w:eastAsia="Times New Roman" w:hAnsi="Times New Roman"/>
          <w:sz w:val="13"/>
          <w:szCs w:val="13"/>
          <w:b w:val="1"/>
          <w:bCs w:val="1"/>
          <w:color w:val="auto"/>
        </w:rPr>
        <w:t>Restoration Period</w:t>
      </w:r>
      <w:r>
        <w:rPr>
          <w:rFonts w:ascii="Times New Roman" w:cs="Times New Roman" w:eastAsia="Times New Roman" w:hAnsi="Times New Roman"/>
          <w:sz w:val="13"/>
          <w:szCs w:val="13"/>
          <w:color w:val="auto"/>
        </w:rPr>
        <w:t>”), and provided insurance proceeds and any deductibles and/or contributions from Tenant, if required, are available to fully repair the damage and there are at least twelve (12) months remaining of the Term of this Lease (or the cost to repair the damage to the Building or Premises would cost less than five percent (5%) of the replacement cost of the Building if less than twelve (12) months are remaining of the Term), Landlord shall commence to repair and restore the Premises or Building and shall proceed with reasonable diligence to restore the Premises or Building (except that Landlord shall not be responsible for delays outside its control) to substantially the same condition in which it was immediately prior to the happening of the casualty, including the Tenant Improvements and Alterations completed by or on behalf of Tenant in accordance with Section 10.1 above; provided, Landlord shall not be required to rebuild, repair, or replace any part of the Tenant’s furniture, furnishings, fixtures and/or equipment. Rent shall be abated in accordance with this Section 27. If any of the foregoing conditions are not met, Landlord shall have the option of either repairing and restoring the Building or Premises, or terminating this Lease by giving written notice of termination to Tenant within thirty (30) days after the casualty. Landlord shall not in any event be required to spend for such work an amount in excess of the insurance proceeds (excluding any deductible) and any contributions from Tenant, if required, actually received by Landlord as a result of the fire or other casualty. Landlord shall not be liable for any inconvenience or annoyance to Tenant, injury to the business of Tenant, loss of use of any part of the Premises by the Tenant or loss of Tenant’s personal property resulting in any way from such damage or the repair thereof, except that, Rent shall be abated proportionally in the ratio which the Tenant’s use of the Premises is impaired during the period of such repair, reconstruction, or restoration, from the date of the casualty until such repair, reconstruction or restoration is completed. Notwithstanding anything to the contrary contained herein, if the Premises or any other portion of the Building be damaged by fire or other casualty resulting from the intentional or negligent acts or omissions of Tenant or any of Tenant’s Representatives, (i) Tenant shall not have any right to terminate this Lease due to the occurrence of such casualty or damage, and</w:t>
      </w:r>
    </w:p>
    <w:p>
      <w:pPr>
        <w:spacing w:after="0" w:line="152" w:lineRule="exact"/>
        <w:rPr>
          <w:sz w:val="20"/>
          <w:szCs w:val="20"/>
          <w:color w:val="auto"/>
        </w:rPr>
      </w:pPr>
    </w:p>
    <w:p>
      <w:pPr>
        <w:ind w:left="220" w:right="259" w:firstLine="3"/>
        <w:spacing w:after="0" w:line="251" w:lineRule="auto"/>
        <w:tabs>
          <w:tab w:leader="none" w:pos="423"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be liable to Landlord for the cost and expense of the repair and restoration of all or any portion of the Building caused thereby (including, without limitation, any deductible) to the extent such cost and expense is not covered by insurance proceeds. In the event the holder of any indebtedness secured by the Premises requires that the insurance proceeds be applied to such indebtedness, then Landlord shall have the right to terminate this Lease by delivering written notice of termination to Tenant within thirty (30) days after the date of notice to Tenant of any such event, whereupon all rights and obligations shall cease and terminate hereunder except for those obligations expressly intended to survive any such termination of this Lease. In addition, if Landlord elects to repair and restore the Building or Premises under this Section 27, but the repairs and restoration are not substantially completed within the Restoration Period plus the period of any force majeure delays, Tenant may terminate this Lease by written notice to Landlord within twenty (20) days after the expiration of the Restoration Period, provided that the repairs and restoration are not substantially completed prior to the receipt by Landlord of such notice of termination. Except as otherwise provided in this Section 27, Tenant hereby waives the provisions of Sections 1932(2.), 1933(4.), 1941 and 1942 of the California Civil Code.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1" w:right="1440" w:bottom="1440" w:gutter="0" w:footer="0" w:header="0"/>
        </w:sectPr>
      </w:pPr>
    </w:p>
    <w:bookmarkStart w:id="708" w:name="page709"/>
    <w:bookmarkEnd w:id="708"/>
    <w:p>
      <w:pPr>
        <w:ind w:left="220" w:right="279" w:firstLine="3"/>
        <w:spacing w:after="0" w:line="253" w:lineRule="auto"/>
        <w:tabs>
          <w:tab w:leader="none" w:pos="430" w:val="left"/>
        </w:tabs>
        <w:numPr>
          <w:ilvl w:val="0"/>
          <w:numId w:val="5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Condemnation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twenty-five percent (25%) or more of the Premises is condemned by eminent domain, inversely condemned or sold in lieu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condemnation for any public or quasi-public use or purpose (“</w:t>
      </w:r>
      <w:r>
        <w:rPr>
          <w:rFonts w:ascii="Times New Roman" w:cs="Times New Roman" w:eastAsia="Times New Roman" w:hAnsi="Times New Roman"/>
          <w:sz w:val="14"/>
          <w:szCs w:val="14"/>
          <w:b w:val="1"/>
          <w:bCs w:val="1"/>
          <w:color w:val="auto"/>
        </w:rPr>
        <w:t>Condemned</w:t>
      </w:r>
      <w:r>
        <w:rPr>
          <w:rFonts w:ascii="Times New Roman" w:cs="Times New Roman" w:eastAsia="Times New Roman" w:hAnsi="Times New Roman"/>
          <w:sz w:val="14"/>
          <w:szCs w:val="14"/>
          <w:color w:val="auto"/>
        </w:rPr>
        <w:t>”), then Tenant or Landlord may terminate this Lease as of the date when physical possession of the Premises is taken and title vests in such condemning authority, and Rent shall be adjusted to the date of termination. Tenant shall not because of such condemnation assert any claim against Landlord or the condemning authority for any compensation because of such condemnation, and Landlord shall be entitled to receive the entire amount of any award without deduction for any estate of interest or other interest of Tenant. Notwithstanding the foregoing, Tenant shall be entitled to receive any damages awarded by the court for (a) leasehold improvements installed at Tenant’s expense or other property owned by Tenant, and (b) reasonable costs of moving by Tenant to another location in San Mateo County or surrounding areas within the San Francisco Bay Area. The entire balance of the award shall be the property of Landlord. If neither party elects to terminate this Lease, Landlord shall, if necessary, promptly proceed to restore the Premises or the Building to substantially its same condition prior to such partial condemnation, allowing for the reasonable effects of such partial condemnation, and a proportionate allowance shall be made to Tenant, as solely determined by Landlord, for the Rent corresponding to the time during which, and to the part of the Premises of which, Tenant is deprived on account of such partial condemnation and restoration. Landlord shall not be required to spend funds for restoration in excess of the amount received by Landlord as compensation awarded.</w:t>
      </w:r>
    </w:p>
    <w:p>
      <w:pPr>
        <w:spacing w:after="0" w:line="228" w:lineRule="exact"/>
        <w:rPr>
          <w:rFonts w:ascii="Times New Roman" w:cs="Times New Roman" w:eastAsia="Times New Roman" w:hAnsi="Times New Roman"/>
          <w:sz w:val="14"/>
          <w:szCs w:val="14"/>
          <w:b w:val="1"/>
          <w:bCs w:val="1"/>
          <w:color w:val="auto"/>
        </w:rPr>
      </w:pPr>
    </w:p>
    <w:p>
      <w:pPr>
        <w:ind w:left="440" w:hanging="217"/>
        <w:spacing w:after="0"/>
        <w:tabs>
          <w:tab w:leader="none" w:pos="440" w:val="left"/>
        </w:tabs>
        <w:numPr>
          <w:ilvl w:val="0"/>
          <w:numId w:val="5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Environmental Matters/Hazardous Materials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5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29.1 Hazardous Materials Disclosure Certificate: </w:t>
      </w:r>
      <w:r>
        <w:rPr>
          <w:rFonts w:ascii="Times New Roman" w:cs="Times New Roman" w:eastAsia="Times New Roman" w:hAnsi="Times New Roman"/>
          <w:sz w:val="14"/>
          <w:szCs w:val="14"/>
          <w:color w:val="auto"/>
        </w:rPr>
        <w:t>Prior to executing this Lease, Tenant has completed, executed and delivered to Landlord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Tenant’s initial Hazardous Materials Disclosure Certificate (the “</w:t>
      </w:r>
      <w:r>
        <w:rPr>
          <w:rFonts w:ascii="Times New Roman" w:cs="Times New Roman" w:eastAsia="Times New Roman" w:hAnsi="Times New Roman"/>
          <w:sz w:val="14"/>
          <w:szCs w:val="14"/>
          <w:b w:val="1"/>
          <w:bCs w:val="1"/>
          <w:color w:val="auto"/>
        </w:rPr>
        <w:t>Initial HazMat Certificate</w:t>
      </w:r>
      <w:r>
        <w:rPr>
          <w:rFonts w:ascii="Times New Roman" w:cs="Times New Roman" w:eastAsia="Times New Roman" w:hAnsi="Times New Roman"/>
          <w:sz w:val="14"/>
          <w:szCs w:val="14"/>
          <w:color w:val="auto"/>
        </w:rPr>
        <w:t xml:space="preserve">”), a copy of which is attached hereto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and incorporated herein by this reference. Tenant covenants, represents and warrants to Landlord that the information on the Initial HazMat Certificate is true and correct and accurately describes the use(s) of Hazardous Materials which will be made and/or used on the Premises by Tenant. Tenant shall, commencing with the date which is one year from the Commencement Date and continuing every year thereafter, complete, execute, and deliver to Landlord, an updated Hazardous Materials Disclosure Certificate (the “</w:t>
      </w:r>
      <w:r>
        <w:rPr>
          <w:rFonts w:ascii="Times New Roman" w:cs="Times New Roman" w:eastAsia="Times New Roman" w:hAnsi="Times New Roman"/>
          <w:sz w:val="14"/>
          <w:szCs w:val="14"/>
          <w:b w:val="1"/>
          <w:bCs w:val="1"/>
          <w:color w:val="auto"/>
        </w:rPr>
        <w:t>HazMat Certificate</w:t>
      </w:r>
      <w:r>
        <w:rPr>
          <w:rFonts w:ascii="Times New Roman" w:cs="Times New Roman" w:eastAsia="Times New Roman" w:hAnsi="Times New Roman"/>
          <w:sz w:val="14"/>
          <w:szCs w:val="14"/>
          <w:color w:val="auto"/>
        </w:rPr>
        <w:t xml:space="preserve">”) certifying Tenant’s continued use of Hazardous Materials on the Premises and including any updates to Hazardous Materials proposed to be used on the Premises (in which case, Tenant shall not be permitted to use such updated proposed Hazardous Materials until approved in writing by Landlord in accordance with Section 29.3 below), and any other reasonably necessary documents as requested by Landlord. The HazMat Certificate required hereunder shall be in substantially the form as that which is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20" w:right="27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29.2 Definition of Hazardous Materials: </w:t>
      </w:r>
      <w:r>
        <w:rPr>
          <w:rFonts w:ascii="Times New Roman" w:cs="Times New Roman" w:eastAsia="Times New Roman" w:hAnsi="Times New Roman"/>
          <w:sz w:val="14"/>
          <w:szCs w:val="14"/>
          <w:color w:val="auto"/>
        </w:rPr>
        <w:t>As used in this Lease, the term “</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shall mean and include (a) any hazardous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toxic wastes, materials or substances, and other pollutants or contaminants, which are or become regulated by any Environmental Laws; (b) petroleum, petroleum by products, gasoline, diesel fuel, crude oil or any fraction thereof; (c) asbestos and asbestos containing material, in any form, whether friable or non-friable; (d)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709" w:name="page710"/>
    <w:bookmarkEnd w:id="709"/>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polychlorinated biphenyls; (e) radioactive materials; (f) lead and lead-containing materials; (g) any other material, waste or substance displaying toxic, reactive, ignitable or corrosive characteristics, as all such terms are used in their broadest sense, and are defined or become defined by any Environmental Law (defined below); or (h) any materials which cause or threatens to cause a nuisance upon or waste to any portion of the Premises, the Building, the lot upon which the Building is located, the Park or any surrounding property; or poses or threatens to pose a hazard to the health and safety of persons on the Premises or any surrounding property.</w:t>
      </w:r>
    </w:p>
    <w:p>
      <w:pPr>
        <w:spacing w:after="0" w:line="140" w:lineRule="exact"/>
        <w:rPr>
          <w:sz w:val="20"/>
          <w:szCs w:val="20"/>
          <w:color w:val="auto"/>
        </w:rPr>
      </w:pPr>
    </w:p>
    <w:p>
      <w:pPr>
        <w:ind w:left="220" w:right="279" w:firstLine="342"/>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29.3 Prohibition; Environmental Laws: </w:t>
      </w:r>
      <w:r>
        <w:rPr>
          <w:rFonts w:ascii="Times New Roman" w:cs="Times New Roman" w:eastAsia="Times New Roman" w:hAnsi="Times New Roman"/>
          <w:sz w:val="13"/>
          <w:szCs w:val="13"/>
          <w:color w:val="auto"/>
        </w:rPr>
        <w:t>Tenant shall not be entitled to use nor store any Hazardous Materials on, in, or about the Premises,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Building, the lot upon which the Building is located and the Park, or any portion of the foregoing, without, in each instance, obtaining Landlord’s prior written consent thereto. If Landlord consents to any such usage or storage, then Tenant shall be permitted to use and/or store only those Hazardous Materials that are necessary for Tenant’s business and to the extent disclosed in the HazMat Certificate and as expressly approved by Landlord in writing, provided that such usage and storage is only to the extent of the quantities of Hazardous Materials as specified in the then applicable HazMat Certificate as expressly approved by Landlord and provided further that such usage and storage is in full compliance with any and all local, state and federal environmental, health and/or safety-related laws, statutes, orders, standards, courts’ decisions, ordinances, rules and regulations (as interpreted by judicial and administrative decisions), decrees, directives, guidelines, permits or permit conditions, currently existing and as amended, enacted, issued or adopted in the future which are or become applicable to Tenant or all or any portion of the Premises (collectively, the “</w:t>
      </w:r>
      <w:r>
        <w:rPr>
          <w:rFonts w:ascii="Times New Roman" w:cs="Times New Roman" w:eastAsia="Times New Roman" w:hAnsi="Times New Roman"/>
          <w:sz w:val="13"/>
          <w:szCs w:val="13"/>
          <w:b w:val="1"/>
          <w:bCs w:val="1"/>
          <w:color w:val="auto"/>
        </w:rPr>
        <w:t>Environmental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Laws</w:t>
      </w:r>
      <w:r>
        <w:rPr>
          <w:rFonts w:ascii="Times New Roman" w:cs="Times New Roman" w:eastAsia="Times New Roman" w:hAnsi="Times New Roman"/>
          <w:sz w:val="13"/>
          <w:szCs w:val="13"/>
          <w:color w:val="auto"/>
        </w:rPr>
        <w:t>”). Tenant agrees that any changes to the type and/or quantities of Hazardous Materials specified in the most recent HazMat Certificate may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implemented only with the prior written consent of Landlord, which consent may be withheld in Landlord’s sole and absolute discretion; provided, however, Landlord’s consent shall not unreasonably withheld with respect to any types and/or quantities of Hazardous Materials as adjusted on a square footage basis that Landlord has approved for use by any other tenant in the Park with respect to such proposed types of Hazardous Materials in the same quantity proposed by Tenant (adjusted on a square footage basis). Tenant shall not be entitled nor permitted to install any tanks under, on or about the Premises for the storage of Hazardous Materials without the express written consent of Landlord, which may be given or withheld in Landlord’s sole discretion. Subject to Section 18 above, Landlord shall have the right at all times during the Term of this Lease to (i) inspect the Premises, (ii) conduct tests and investigations to determine whether Tenant is in compliance with the provisions of this Section 29, and (iii) request lists of all Hazardous Materials used, stored or otherwise located on, under or about any portion of the Premises and/or the Common Areas. The cost of all such inspections, tests and investigations shall be borne solely by Tenant if such tests and investigation determines that Tenant or any of Tenant’s Representatives are directly or indirectly responsible in any manner for any contamination revealed by such inspections, tests and investigations. The aforementioned rights granted herein to Landlord and its representatives shall not create (a) a duty on Landlord’s part to inspect, test, investigate, monitor or otherwise observe the Premises or the activities of Tenant and Tenant’s Representatives with respect to Hazardous Materials, including without limitation, Tenant’s operation, use and any remediation related thereto, or (b) liability on the part of Landlord and its representatives for Tenant’s use, storage, disposal or remediation of Hazardous Materials, it being understood that Tenant shall be solely responsible for all liability in connection therewith.</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710" w:name="page711"/>
    <w:bookmarkEnd w:id="710"/>
    <w:p>
      <w:pPr>
        <w:ind w:left="220" w:right="239" w:firstLine="342"/>
        <w:spacing w:after="0" w:line="25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29.4 Tenant’s Environmental Obligations: </w:t>
      </w:r>
      <w:r>
        <w:rPr>
          <w:rFonts w:ascii="Times New Roman" w:cs="Times New Roman" w:eastAsia="Times New Roman" w:hAnsi="Times New Roman"/>
          <w:sz w:val="14"/>
          <w:szCs w:val="14"/>
          <w:color w:val="auto"/>
        </w:rPr>
        <w:t>Tenant shall give to Landlord immediate verbal and follow-up written notice of any spills, releases,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discharges, disposals, emissions, migrations, removals or transportation of Hazardous Materials on, under or about any portion of the Premises or in any Common Areas. Tenant, at its sole cost and expense, covenants and warrants to promptly investigate, clean up, remove, restore and otherwise remediate (including, without limitation, preparation of any feasibility studies or reports and the performance of any and all closures) any spill, release, discharge, disposal, emission, migration or transportation of Hazardous Materials arising from or related to the intentional or negligent acts or omissions of Tenant or Tenant’s Representatives such that the affected portions of the Park and any adjacent property are returned to the condition existing prior to the appearance of such Hazardous Materials. Any such investigation, clean up, removal, restoration and other remediation shall only be performed after Tenant has obtained Landlord’s prior written consent, which consent shall not be unreasonably withheld so long as such actions would not potentially have a material adverse longterm or short-term effect on any portion of the Premises, the Building, the lot upon which the Building is located or the Park. Notwithstanding the foregoing, Tenant shall be entitled to respond immediately to an emergency without first obtaining Landlord’s prior written consent. Tenant, at its sole cost and expense, shall conduct and perform, or cause to be conducted and performed, all closures as required by any Environmental Laws or any agencies or other governmental authorities having jurisdiction thereof. If Tenant fails to so promptly investigate, clean up, remove, restore, provide closure or otherwise so remediate, Landlord may, but without obligation to do so, take any and all steps necessary to rectify the same and Tenant shall promptly reimburse Landlord, upon demand, for all costs and expenses to Landlord of performing investigation, clean up, removal, restoration, closure and remediation work. All such work undertaken by Tenant, as required herein, shall be performed in such a manner so as to enable Landlord to make full economic use of the Premises, the Building, the lot upon which the Building is located and the Park after the satisfactory completion of such work.</w:t>
      </w:r>
    </w:p>
    <w:p>
      <w:pPr>
        <w:spacing w:after="0" w:line="148" w:lineRule="exact"/>
        <w:rPr>
          <w:sz w:val="20"/>
          <w:szCs w:val="20"/>
          <w:color w:val="auto"/>
        </w:rPr>
      </w:pPr>
    </w:p>
    <w:p>
      <w:pPr>
        <w:ind w:left="220" w:right="25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29.5 Environmental Indemnity: </w:t>
      </w:r>
      <w:r>
        <w:rPr>
          <w:rFonts w:ascii="Times New Roman" w:cs="Times New Roman" w:eastAsia="Times New Roman" w:hAnsi="Times New Roman"/>
          <w:sz w:val="14"/>
          <w:szCs w:val="14"/>
          <w:color w:val="auto"/>
        </w:rPr>
        <w:t>In addition to Tenant’s obligations as set forth hereinabove, Tenant and Tenant’s officers and directors agree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shall, protect, indemnify, defend (with counsel reasonably acceptable to Landlord) and hold Landlord and the other Indemnitees harmless from and against any and all claims, judgments, damages, penalties, fines, liabilities, losses (including, without limitation, diminution in value of any portion of the Premises, the Building, the lot upon which the Building is located or the Park, damages for the loss of or restriction on the use of rentable or usable space, and from any adverse impact of Landlord’s marketing of any space within the Building and/or Park), suits, administrative proceedings and costs (including, but not limited to, attorneys’ and consultant fees and court costs) arising at any time during or after the Term of this Lease in connection with or related to, directly or indirectly, the use, presence, transportation, storage, disposal, migration, removal, spill, release or discharge of Hazardous Materials on, in or about any portion of the Premises, the Common Areas, the Building, the lot upon which the Building is located or the Park as a result (directly or indirectly) of the intentional or negligent acts or omissions of Tenant or any of Tenant’s Representatives. Neither the written consent of Landlord to the presence, use or storage of Hazardous Materials in, on, under or about any portion of the Premises, the Building, the lot upon which the Building is located and/or the Park, nor the strict compliance by Tenant with all Environmental Laws shall excuse Tenant and Tenant’s officers and directors from its obligations of indemnification pursuant hereto. Notwithstanding anything to the contrary, Tenant shall have no obligation or liability for the use, presence, transportation, storage, disposal, migration, removal, spill, release or discharge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711" w:name="page712"/>
    <w:bookmarkEnd w:id="711"/>
    <w:p>
      <w:pPr>
        <w:ind w:left="220" w:right="3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of Hazardous Materials on, in or about any portion of the Premises, the Common Areas, the Building, the lot upon which the Building is located or the Park that were not caused (directly or indirectly) by or the result of a release by Tenant or any of Tenant’s Representatives. Tenant shall not be relieved of its indemnification obligations under the provisions of this Section 29.5 due to Landlord’s status as either an “owner” or “operator” under any Environmental Laws.</w:t>
      </w:r>
    </w:p>
    <w:p>
      <w:pPr>
        <w:spacing w:after="0" w:line="137" w:lineRule="exact"/>
        <w:rPr>
          <w:sz w:val="20"/>
          <w:szCs w:val="20"/>
          <w:color w:val="auto"/>
        </w:rPr>
      </w:pPr>
    </w:p>
    <w:p>
      <w:pPr>
        <w:ind w:left="220" w:right="2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29.6 Survival: </w:t>
      </w:r>
      <w:r>
        <w:rPr>
          <w:rFonts w:ascii="Times New Roman" w:cs="Times New Roman" w:eastAsia="Times New Roman" w:hAnsi="Times New Roman"/>
          <w:sz w:val="14"/>
          <w:szCs w:val="14"/>
          <w:color w:val="auto"/>
        </w:rPr>
        <w:t>Tenant’s obligations and liabilities pursuant to the provisions of this Section 29 shall survive the expiration or earlier termination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Lease.</w:t>
      </w:r>
    </w:p>
    <w:p>
      <w:pPr>
        <w:spacing w:after="0" w:line="121" w:lineRule="exact"/>
        <w:rPr>
          <w:sz w:val="20"/>
          <w:szCs w:val="20"/>
          <w:color w:val="auto"/>
        </w:rPr>
      </w:pPr>
    </w:p>
    <w:p>
      <w:pPr>
        <w:ind w:left="220" w:right="239" w:firstLine="3"/>
        <w:spacing w:after="0" w:line="254" w:lineRule="auto"/>
        <w:tabs>
          <w:tab w:leader="none" w:pos="430" w:val="left"/>
        </w:tabs>
        <w:numPr>
          <w:ilvl w:val="0"/>
          <w:numId w:val="5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Financial Statements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for the reliance of Landlord, any lender holding or anticipated to acquire a lien upon the Premises, the Building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Park or any portion thereof, or any prospective purchaser of the Building or the Park or any portion thereof, within fifteen (15) days after Landlord’s request therefor, but not more often than once every two (2) years, shall deliver to Landlord the then current audited or reviewed financial statements of Tenant (including interim periods following the end of the last fiscal year for which annual statements are available) which statements shall be prepared or compiled by a certified public accountant and shall present fairly the financial condition of Tenant at such dates and the result of its operations and changes in its financial positions for the periods ended on such dates. If an audited or reviewed financial statement has not been prepared, Tenant shall provide Landlord with an unaudited financial statement and/or such other information, the type and form of which are acceptable to Landlord in Landlord’s reasonable discretion, which reflects the financial condition of Tenant. Tenant may condition delivery of such financial statements upon Landlord executing and delivering to Tenant a non-disclosure agreement in the form previously executed by Landlord in connection with this Lease.</w:t>
      </w:r>
    </w:p>
    <w:p>
      <w:pPr>
        <w:spacing w:after="0" w:line="229" w:lineRule="exact"/>
        <w:rPr>
          <w:rFonts w:ascii="Times New Roman" w:cs="Times New Roman" w:eastAsia="Times New Roman" w:hAnsi="Times New Roman"/>
          <w:sz w:val="14"/>
          <w:szCs w:val="14"/>
          <w:b w:val="1"/>
          <w:bCs w:val="1"/>
          <w:color w:val="auto"/>
        </w:rPr>
      </w:pPr>
    </w:p>
    <w:p>
      <w:pPr>
        <w:ind w:left="440" w:hanging="217"/>
        <w:spacing w:after="0"/>
        <w:tabs>
          <w:tab w:leader="none" w:pos="440" w:val="left"/>
        </w:tabs>
        <w:numPr>
          <w:ilvl w:val="0"/>
          <w:numId w:val="5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General Provisions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31.1 Time. </w:t>
      </w:r>
      <w:r>
        <w:rPr>
          <w:rFonts w:ascii="Times New Roman" w:cs="Times New Roman" w:eastAsia="Times New Roman" w:hAnsi="Times New Roman"/>
          <w:sz w:val="14"/>
          <w:szCs w:val="14"/>
          <w:color w:val="auto"/>
        </w:rPr>
        <w:t>Time is of the essence in this Lease and with respect to each and all of its provisions in which performance is a factor.</w:t>
      </w:r>
    </w:p>
    <w:p>
      <w:pPr>
        <w:spacing w:after="0" w:line="175"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31.2 Successors and Assigns. </w:t>
      </w:r>
      <w:r>
        <w:rPr>
          <w:rFonts w:ascii="Times New Roman" w:cs="Times New Roman" w:eastAsia="Times New Roman" w:hAnsi="Times New Roman"/>
          <w:sz w:val="14"/>
          <w:szCs w:val="14"/>
          <w:color w:val="auto"/>
        </w:rPr>
        <w:t>The covenants and conditions herein contained, subject to the provisions as to assignment, apply to and bind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heirs, successors, executors, administrators and assigns of the parties hereto.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31.3 Recordation. </w:t>
      </w:r>
      <w:r>
        <w:rPr>
          <w:rFonts w:ascii="Times New Roman" w:cs="Times New Roman" w:eastAsia="Times New Roman" w:hAnsi="Times New Roman"/>
          <w:sz w:val="14"/>
          <w:szCs w:val="14"/>
          <w:color w:val="auto"/>
        </w:rPr>
        <w:t>Tenant shall not record this Lease or a short form memorandum hereof without the prior written consent of the Landlord.</w:t>
      </w:r>
    </w:p>
    <w:p>
      <w:pPr>
        <w:spacing w:after="0" w:line="175" w:lineRule="exact"/>
        <w:rPr>
          <w:sz w:val="20"/>
          <w:szCs w:val="20"/>
          <w:color w:val="auto"/>
        </w:rPr>
      </w:pPr>
    </w:p>
    <w:p>
      <w:pPr>
        <w:ind w:left="220" w:right="359" w:firstLine="342"/>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31.4 Landlord’s Personal Liability. </w:t>
      </w:r>
      <w:r>
        <w:rPr>
          <w:rFonts w:ascii="Times New Roman" w:cs="Times New Roman" w:eastAsia="Times New Roman" w:hAnsi="Times New Roman"/>
          <w:sz w:val="14"/>
          <w:szCs w:val="14"/>
          <w:color w:val="auto"/>
        </w:rPr>
        <w:t>The liability of Landlord (which, for purposes of this Lease, shall include Landlord and the owner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Building if other than Landlord) to Tenant for any default by Landlord under the terms of this Lease shall be limited to the actual interest of Landlord and its present or future partners or members in the Premises and Building and all rents, incomes, proceeds and awards derived therefrom, and Tenant agrees to look solely to the Premises and Building and all rents, incomes, proceeds and awards derived therefrom for satisfaction of any liability and shall not look to other assets of Landlord nor seek any recourse against the assets of the individual partners, members, directors, officers, shareholders, agents or employees of Landlord (including without limitation, any property management company of Landlord); it being intended that Landlord and the individual partners, members, directors, officers, shareholders,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1" w:right="1440" w:bottom="1440" w:gutter="0" w:footer="0" w:header="0"/>
        </w:sectPr>
      </w:pPr>
    </w:p>
    <w:bookmarkStart w:id="712" w:name="page713"/>
    <w:bookmarkEnd w:id="712"/>
    <w:p>
      <w:pPr>
        <w:ind w:left="220" w:right="3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agents and employees of Landlord (including without limitation, any property management company of Landlord) shall not be personally liable in any manner whatsoever for any judgment or deficiency. The liability of Landlord under this Lease is limited to its actual period of ownership of title to the Building, and in the event of any sale or exchange of the Building by Landlord and assignment of this Lease by Landlord, Landlord shall, upon providing Tenant with written confirmation that the assignee has assumed all obligations of Landlord under this Lease and Landlord has delivered any Security Deposit held by Landlord to Landlord’s successor in interest, be and hereby is entirely relieved of all liability under any and all of Landlord’s covenants and obligations contained in or derived from this Lease with respect to the period commencing with the consummation of the sale or exchange and assignment.</w:t>
      </w:r>
    </w:p>
    <w:p>
      <w:pPr>
        <w:spacing w:after="0" w:line="144" w:lineRule="exact"/>
        <w:rPr>
          <w:sz w:val="20"/>
          <w:szCs w:val="20"/>
          <w:color w:val="auto"/>
        </w:rPr>
      </w:pPr>
    </w:p>
    <w:p>
      <w:pPr>
        <w:ind w:left="220" w:right="51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31.5 Separability. </w:t>
      </w:r>
      <w:r>
        <w:rPr>
          <w:rFonts w:ascii="Times New Roman" w:cs="Times New Roman" w:eastAsia="Times New Roman" w:hAnsi="Times New Roman"/>
          <w:sz w:val="14"/>
          <w:szCs w:val="14"/>
          <w:color w:val="auto"/>
        </w:rPr>
        <w:t>Any provisions of this Lease which shall prove to be invalid, void or illegal shall in no way affect, impair or invalidate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provisions hereof and such other provision shall remain in full force and effect.</w:t>
      </w:r>
    </w:p>
    <w:p>
      <w:pPr>
        <w:spacing w:after="0" w:line="121" w:lineRule="exact"/>
        <w:rPr>
          <w:sz w:val="20"/>
          <w:szCs w:val="20"/>
          <w:color w:val="auto"/>
        </w:rPr>
      </w:pPr>
    </w:p>
    <w:p>
      <w:pPr>
        <w:ind w:left="220" w:right="39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31.6 Choice of Law. </w:t>
      </w:r>
      <w:r>
        <w:rPr>
          <w:rFonts w:ascii="Times New Roman" w:cs="Times New Roman" w:eastAsia="Times New Roman" w:hAnsi="Times New Roman"/>
          <w:sz w:val="14"/>
          <w:szCs w:val="14"/>
          <w:color w:val="auto"/>
        </w:rPr>
        <w:t>This Lease is governed by federal law, including without limitation the Electronic Signatures in Global and National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Commerce Act (15 U.S.C. §§ 7001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and, to the extent that state law applies, the laws of the State of California without regard to its conflicts of law rules. Notwithstanding which of the parties may be deemed to have prepared this Lease, this Lease shall not be interpreted either for or against Landlord or Tenant, but this Lease shall be interpreted in accordance with the general tenor of the language in an effort to reach an equitable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107315</wp:posOffset>
            </wp:positionV>
            <wp:extent cx="5443220" cy="81216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443220" cy="812165"/>
                    </a:xfrm>
                    <a:prstGeom prst="rect">
                      <a:avLst/>
                    </a:prstGeom>
                    <a:noFill/>
                  </pic:spPr>
                </pic:pic>
              </a:graphicData>
            </a:graphic>
          </wp:anchor>
        </w:drawing>
      </w:r>
    </w:p>
    <w:p>
      <w:pPr>
        <w:spacing w:after="0" w:line="179" w:lineRule="exact"/>
        <w:rPr>
          <w:sz w:val="20"/>
          <w:szCs w:val="20"/>
          <w:color w:val="auto"/>
        </w:rPr>
      </w:pPr>
    </w:p>
    <w:p>
      <w:pPr>
        <w:ind w:left="400" w:right="259" w:firstLine="33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31.7 Notices. </w:t>
      </w:r>
      <w:r>
        <w:rPr>
          <w:rFonts w:ascii="Times New Roman" w:cs="Times New Roman" w:eastAsia="Times New Roman" w:hAnsi="Times New Roman"/>
          <w:sz w:val="14"/>
          <w:szCs w:val="14"/>
          <w:color w:val="auto"/>
        </w:rPr>
        <w:t>All notices required under this Lease and other information concerning this Lease (“</w:t>
      </w:r>
      <w:r>
        <w:rPr>
          <w:rFonts w:ascii="Times New Roman" w:cs="Times New Roman" w:eastAsia="Times New Roman" w:hAnsi="Times New Roman"/>
          <w:sz w:val="14"/>
          <w:szCs w:val="14"/>
          <w:b w:val="1"/>
          <w:bCs w:val="1"/>
          <w:color w:val="auto"/>
        </w:rPr>
        <w:t>Communications</w:t>
      </w:r>
      <w:r>
        <w:rPr>
          <w:rFonts w:ascii="Times New Roman" w:cs="Times New Roman" w:eastAsia="Times New Roman" w:hAnsi="Times New Roman"/>
          <w:sz w:val="14"/>
          <w:szCs w:val="14"/>
          <w:color w:val="auto"/>
        </w:rPr>
        <w:t>”) shall be personally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delivered or sent by first class mail, postage prepaid, by overnight courier. Such Communications sent by personal delivery, mail or overnight courier will be sent to the addresses listed in the Basic Lease Information, or to such other addresses as the Landlord and the Tenant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Tenant acknowledges and accepts this Section 31.7.                Tenant’s initials       OA    </w:t>
      </w:r>
    </w:p>
    <w:p>
      <w:pPr>
        <w:spacing w:after="0" w:line="227" w:lineRule="exact"/>
        <w:rPr>
          <w:sz w:val="20"/>
          <w:szCs w:val="20"/>
          <w:color w:val="auto"/>
        </w:rPr>
      </w:pPr>
    </w:p>
    <w:p>
      <w:pPr>
        <w:ind w:left="220" w:right="29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31.8 Attorneys’ Fees. </w:t>
      </w:r>
      <w:r>
        <w:rPr>
          <w:rFonts w:ascii="Times New Roman" w:cs="Times New Roman" w:eastAsia="Times New Roman" w:hAnsi="Times New Roman"/>
          <w:sz w:val="14"/>
          <w:szCs w:val="14"/>
          <w:color w:val="auto"/>
        </w:rPr>
        <w:t>In the event any dispute between the parties results in litigation or other proceeding, the prevailing party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reimbursed by the party not prevailing for all reasonable costs and expenses, including, without limitation, reasonable attorneys’ and experts’ fees and costs incurred by the prevailing party in connection with such litigation or other proceeding, and any appeal thereof. Such costs, expenses and fees shall be included in and made a part of the judgment recovered by the prevailing party, if any.</w:t>
      </w:r>
    </w:p>
    <w:p>
      <w:pPr>
        <w:spacing w:after="0" w:line="136" w:lineRule="exact"/>
        <w:rPr>
          <w:sz w:val="20"/>
          <w:szCs w:val="20"/>
          <w:color w:val="auto"/>
        </w:rPr>
      </w:pPr>
    </w:p>
    <w:p>
      <w:pPr>
        <w:ind w:left="220" w:right="35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31.9 Entire Agreement. </w:t>
      </w:r>
      <w:r>
        <w:rPr>
          <w:rFonts w:ascii="Times New Roman" w:cs="Times New Roman" w:eastAsia="Times New Roman" w:hAnsi="Times New Roman"/>
          <w:sz w:val="14"/>
          <w:szCs w:val="14"/>
          <w:color w:val="auto"/>
        </w:rPr>
        <w:t>This Lease supersedes any prior agreements, representations, negotiations or correspondence between the parties,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contains the entire agreement of the parties on matters covered. No other agreement, statement or promise made by any party, that is not in writing and signed by all parties to this Lease, shall be binding.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1" w:right="1440" w:bottom="1440" w:gutter="0" w:footer="0" w:header="0"/>
        </w:sectPr>
      </w:pPr>
    </w:p>
    <w:bookmarkStart w:id="713" w:name="page714"/>
    <w:bookmarkEnd w:id="713"/>
    <w:p>
      <w:pPr>
        <w:ind w:left="220" w:right="319" w:firstLine="342"/>
        <w:spacing w:after="0" w:line="25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31.10 Warranty of Authority. </w:t>
      </w:r>
      <w:r>
        <w:rPr>
          <w:rFonts w:ascii="Times New Roman" w:cs="Times New Roman" w:eastAsia="Times New Roman" w:hAnsi="Times New Roman"/>
          <w:sz w:val="14"/>
          <w:szCs w:val="14"/>
          <w:color w:val="auto"/>
        </w:rPr>
        <w:t>On the date that Tenant executes this Lease, Tenant shall deliver to Landlord an original certificate of status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issued by the California Secretary of State or statement of partnership for Tenant recorded in the county in which the Premises are located, as applicable, and such other documents as Landlord may reasonably request with regard to the lawful existence of Tenant. Each person executing this Lease on behalf of a party represents and warrants that (1) such person is duly and validly authorized to do so on behalf of the entity it purports to so bind, and (2) if such party is a partnership, corporation or trustee, that such partnership, corporation or trustee has full right and authority to enter into this Lease and perform all of its obligations hereunder. Tenant hereby warrants that this Lease is valid and binding upon Tenant and enforceable against Tenant in accordance with its terms.</w:t>
      </w:r>
    </w:p>
    <w:p>
      <w:pPr>
        <w:spacing w:after="0" w:line="141" w:lineRule="exact"/>
        <w:rPr>
          <w:sz w:val="20"/>
          <w:szCs w:val="20"/>
          <w:color w:val="auto"/>
        </w:rPr>
      </w:pPr>
    </w:p>
    <w:p>
      <w:pPr>
        <w:ind w:left="220" w:right="55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31.11 Joint and Several. </w:t>
      </w:r>
      <w:r>
        <w:rPr>
          <w:rFonts w:ascii="Times New Roman" w:cs="Times New Roman" w:eastAsia="Times New Roman" w:hAnsi="Times New Roman"/>
          <w:sz w:val="14"/>
          <w:szCs w:val="14"/>
          <w:color w:val="auto"/>
        </w:rPr>
        <w:t>If Tenant consists of more than one person or entity, the obligations of all such persons or entities shall be joint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several.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31.12 Covenants and Conditions. </w:t>
      </w:r>
      <w:r>
        <w:rPr>
          <w:rFonts w:ascii="Times New Roman" w:cs="Times New Roman" w:eastAsia="Times New Roman" w:hAnsi="Times New Roman"/>
          <w:sz w:val="14"/>
          <w:szCs w:val="14"/>
          <w:color w:val="auto"/>
        </w:rPr>
        <w:t>Each provision to be performed by Tenant hereunder shall be deemed to be both a covenant and a condition.</w:t>
      </w:r>
    </w:p>
    <w:p>
      <w:pPr>
        <w:spacing w:after="0" w:line="175" w:lineRule="exact"/>
        <w:rPr>
          <w:sz w:val="20"/>
          <w:szCs w:val="20"/>
          <w:color w:val="auto"/>
        </w:rPr>
      </w:pPr>
    </w:p>
    <w:p>
      <w:pPr>
        <w:ind w:left="220" w:right="31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31.13 Waiver of Jury Trial. </w:t>
      </w:r>
      <w:r>
        <w:rPr>
          <w:rFonts w:ascii="Times New Roman" w:cs="Times New Roman" w:eastAsia="Times New Roman" w:hAnsi="Times New Roman"/>
          <w:sz w:val="14"/>
          <w:szCs w:val="14"/>
          <w:color w:val="auto"/>
        </w:rPr>
        <w:t>The parties hereto shall and they hereby do waive trial by jury in any action, proceeding or counterclaim brought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either of the parties hereto against the other on any matters whatsoever arising out of or in any way related to this Lease, the relationship of Landlord and Tenant, Tenant’s use or occupancy of the Premises, the Building or the Park, and/or any claim of injury, loss or damage.</w:t>
      </w:r>
    </w:p>
    <w:p>
      <w:pPr>
        <w:spacing w:after="0" w:line="134" w:lineRule="exact"/>
        <w:rPr>
          <w:sz w:val="20"/>
          <w:szCs w:val="20"/>
          <w:color w:val="auto"/>
        </w:rPr>
      </w:pPr>
    </w:p>
    <w:p>
      <w:pPr>
        <w:ind w:left="220" w:right="23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31.14 Counterclaims. </w:t>
      </w:r>
      <w:r>
        <w:rPr>
          <w:rFonts w:ascii="Times New Roman" w:cs="Times New Roman" w:eastAsia="Times New Roman" w:hAnsi="Times New Roman"/>
          <w:sz w:val="14"/>
          <w:szCs w:val="14"/>
          <w:color w:val="auto"/>
        </w:rPr>
        <w:t>In the event Landlord commences any proceedings for nonpayment of Rent, Additional Rent, or any other sums or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due hereunder, Tenant shall not interpose any counterclaim of whatever nature or description in any such proceedings, provided, however, nothing contained herein shall be deemed or construed as a waiver of the Tenant’s right to assert such claims in any separate action brought by Tenant or the right to offset the amount of any final judgment owed by Landlord to Tenant.</w:t>
      </w:r>
    </w:p>
    <w:p>
      <w:pPr>
        <w:spacing w:after="0" w:line="136" w:lineRule="exact"/>
        <w:rPr>
          <w:sz w:val="20"/>
          <w:szCs w:val="20"/>
          <w:color w:val="auto"/>
        </w:rPr>
      </w:pPr>
    </w:p>
    <w:p>
      <w:pPr>
        <w:ind w:left="220" w:right="65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31.15 Underlining. </w:t>
      </w:r>
      <w:r>
        <w:rPr>
          <w:rFonts w:ascii="Times New Roman" w:cs="Times New Roman" w:eastAsia="Times New Roman" w:hAnsi="Times New Roman"/>
          <w:sz w:val="14"/>
          <w:szCs w:val="14"/>
          <w:color w:val="auto"/>
        </w:rPr>
        <w:t>The use of underlining within the Lease is for Landlord’s reference purposes only and no other meaning or emphasis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intended by this use, nor should any be inferred.</w:t>
      </w:r>
    </w:p>
    <w:p>
      <w:pPr>
        <w:spacing w:after="0" w:line="121" w:lineRule="exact"/>
        <w:rPr>
          <w:sz w:val="20"/>
          <w:szCs w:val="20"/>
          <w:color w:val="auto"/>
        </w:rPr>
      </w:pPr>
    </w:p>
    <w:p>
      <w:pPr>
        <w:ind w:left="220" w:right="27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31.16 Merger. </w:t>
      </w:r>
      <w:r>
        <w:rPr>
          <w:rFonts w:ascii="Times New Roman" w:cs="Times New Roman" w:eastAsia="Times New Roman" w:hAnsi="Times New Roman"/>
          <w:sz w:val="14"/>
          <w:szCs w:val="14"/>
          <w:color w:val="auto"/>
        </w:rPr>
        <w:t>The voluntary or other surrender of this Lease by Tenant, the mutual termination or cancellation hereof by Landlord and Tenant,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termination of this Lease by Landlord for a material default by Tenant hereunder, shall not work a merger, and, at the sole option of Landlord, (i) shall terminate all or any existing subleases or subtenancies, or (ii) may operate as an assignment to Landlord of any or all of such subleases or subtenancies. Landlord’s election of either or both of the foregoing options shall be exercised by delivery by Landlord of written notice thereof to Tenant and all known subtenants under any sublease.</w:t>
      </w:r>
    </w:p>
    <w:p>
      <w:pPr>
        <w:spacing w:after="0" w:line="139" w:lineRule="exact"/>
        <w:rPr>
          <w:sz w:val="20"/>
          <w:szCs w:val="20"/>
          <w:color w:val="auto"/>
        </w:rPr>
      </w:pPr>
    </w:p>
    <w:p>
      <w:pPr>
        <w:ind w:left="220" w:right="25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31.17 Energy Reporting</w:t>
      </w:r>
      <w:r>
        <w:rPr>
          <w:rFonts w:ascii="Times New Roman" w:cs="Times New Roman" w:eastAsia="Times New Roman" w:hAnsi="Times New Roman"/>
          <w:sz w:val="14"/>
          <w:szCs w:val="14"/>
          <w:color w:val="auto"/>
        </w:rPr>
        <w:t>. Tenant shall comply with all reasonably energy usage reporting requirements of Landlord relating to Tenant’s use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Premises, consistent with all applicable laws, rules and regulations.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714" w:name="page715"/>
    <w:bookmarkEnd w:id="714"/>
    <w:p>
      <w:pPr>
        <w:ind w:left="220" w:right="239" w:firstLine="342"/>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31.18 Force Majeure</w:t>
      </w:r>
      <w:r>
        <w:rPr>
          <w:rFonts w:ascii="Times New Roman" w:cs="Times New Roman" w:eastAsia="Times New Roman" w:hAnsi="Times New Roman"/>
          <w:sz w:val="14"/>
          <w:szCs w:val="14"/>
          <w:color w:val="auto"/>
        </w:rPr>
        <w:t>. Any prevention, delay or stoppage due to strikes, lockouts, labor disputes, government mandated shutdowns, government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mandated closures related to COVID-19 or any other viruses, epidemics or pandemics, or acts of God, acts of war, terrorism, terrorist activities, inability to obtain services, labor, or materials or reasonable substitutes therefore, governmental actions, civil commotions and other causes beyond the reasonable control of the party obligated to perform and not due to the fault or neglect of such party claiming the same and except with respect to the obligations imposed with regard to Rent and other charges to be paid by Tenant pursuant to this Lease (collectively, a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In no event shall lack of profitability, inability to obtain financing, or lack or insufficiency of funds be a basis for Force Majeure, and no failure to pay Rent when due shall be excused nor the time for payment extended because of Force Majeure.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111760</wp:posOffset>
            </wp:positionV>
            <wp:extent cx="5443220" cy="20916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443220" cy="2091690"/>
                    </a:xfrm>
                    <a:prstGeom prst="rect">
                      <a:avLst/>
                    </a:prstGeom>
                    <a:noFill/>
                  </pic:spPr>
                </pic:pic>
              </a:graphicData>
            </a:graphic>
          </wp:anchor>
        </w:drawing>
      </w:r>
    </w:p>
    <w:p>
      <w:pPr>
        <w:spacing w:after="0" w:line="354" w:lineRule="exact"/>
        <w:rPr>
          <w:sz w:val="20"/>
          <w:szCs w:val="20"/>
          <w:color w:val="auto"/>
        </w:rPr>
      </w:pPr>
    </w:p>
    <w:p>
      <w:pPr>
        <w:ind w:left="400" w:right="279" w:firstLine="335"/>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31.19 Counterparts; Electronic Signatures. </w:t>
      </w:r>
      <w:r>
        <w:rPr>
          <w:rFonts w:ascii="Times New Roman" w:cs="Times New Roman" w:eastAsia="Times New Roman" w:hAnsi="Times New Roman"/>
          <w:sz w:val="14"/>
          <w:szCs w:val="14"/>
          <w:color w:val="auto"/>
        </w:rPr>
        <w:t>This Lease may be executed in counterparts, including both counterparts that are executed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paper and counterparts that are in the form of electronic records and are executed electronically. An electronic signature means any electronic sound, symbol or process attached to or logically associated with a record and executed and adopted by a party with the intent to sign such record, including facsimile or e-mail electronic signatures. All executed counterparts shall constitute one agreement, and each counterpart shall be deemed an original. The parties hereby acknowledge and agree that electronic records and electronic signatures, as well as facsimile signatures, may be used in connection with the execution of this Lease and electronic signatures, facsimile signatures or signatures transmitted by electronic mail in so-called pdf format shall be legal and binding and shall have the same full force and effect as if a paper original of this Lease had been delivered and signed using a handwritten signature. Landlord and Tenant (i) agree that an electronic signature, whether digital or encrypted, of a party to this Lease is intended to authenticate this writing and to have the same force and effect as a manual signature, (ii) intend to be bound by the signatures (whether original, faxed or electronic) on any document sent or delivered by facsimile, or electronic mail, or other electronic means, (iii) are aware that the other party will rely on such signatures, and (iv) hereby waive any defenses to the enforcement of the terms of this Lease based on the foregoing forms of signature. If this Lease has been executed by electronic signature, all parties executing this document are expressly consenting under the Electronic Signatures in Global and National Commerce Act (“E-SIGN”), and Uniform Electronic Transactions Act (“UETA”), that a signature by fax, email or other electronic means shall constitute an Electronic Signature to an Electronic Record under both E-SIGN and UETA with respect to this specific transaction.</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Tenant acknowledges and accepts this Section 31.19. Tenant’s initials __</w:t>
      </w:r>
      <w:r>
        <w:rPr>
          <w:rFonts w:ascii="Times New Roman" w:cs="Times New Roman" w:eastAsia="Times New Roman" w:hAnsi="Times New Roman"/>
          <w:sz w:val="14"/>
          <w:szCs w:val="14"/>
          <w:b w:val="1"/>
          <w:bCs w:val="1"/>
          <w:u w:val="single" w:color="auto"/>
          <w:color w:val="auto"/>
        </w:rPr>
        <w:t>OA</w:t>
      </w:r>
      <w:r>
        <w:rPr>
          <w:rFonts w:ascii="Times New Roman" w:cs="Times New Roman" w:eastAsia="Times New Roman" w:hAnsi="Times New Roman"/>
          <w:sz w:val="14"/>
          <w:szCs w:val="14"/>
          <w:b w:val="1"/>
          <w:bCs w:val="1"/>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271780</wp:posOffset>
            </wp:positionV>
            <wp:extent cx="5443220" cy="91249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5443220" cy="91249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00" w:right="379" w:firstLine="335"/>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31.20 Amendments. </w:t>
      </w:r>
      <w:r>
        <w:rPr>
          <w:rFonts w:ascii="Times New Roman" w:cs="Times New Roman" w:eastAsia="Times New Roman" w:hAnsi="Times New Roman"/>
          <w:sz w:val="14"/>
          <w:szCs w:val="14"/>
          <w:color w:val="auto"/>
        </w:rPr>
        <w:t>This Lease may only be amended by a writing signed by the parties hereto, or by an electronic record that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Tenant acknowledges and accepts this Section 31.20. Tenant’s initials __</w:t>
      </w:r>
      <w:r>
        <w:rPr>
          <w:rFonts w:ascii="Times New Roman" w:cs="Times New Roman" w:eastAsia="Times New Roman" w:hAnsi="Times New Roman"/>
          <w:sz w:val="14"/>
          <w:szCs w:val="14"/>
          <w:b w:val="1"/>
          <w:bCs w:val="1"/>
          <w:u w:val="single" w:color="auto"/>
          <w:color w:val="auto"/>
        </w:rPr>
        <w:t>OA</w:t>
      </w:r>
      <w:r>
        <w:rPr>
          <w:rFonts w:ascii="Times New Roman" w:cs="Times New Roman" w:eastAsia="Times New Roman" w:hAnsi="Times New Roman"/>
          <w:sz w:val="14"/>
          <w:szCs w:val="14"/>
          <w:b w:val="1"/>
          <w:bCs w:val="1"/>
          <w:color w:val="auto"/>
        </w:rPr>
        <w:t>___</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715" w:name="page716"/>
    <w:bookmarkEnd w:id="715"/>
    <w:p>
      <w:pPr>
        <w:ind w:left="220" w:right="279" w:firstLine="3"/>
        <w:spacing w:after="0" w:line="253" w:lineRule="auto"/>
        <w:tabs>
          <w:tab w:leader="none" w:pos="430" w:val="left"/>
        </w:tabs>
        <w:numPr>
          <w:ilvl w:val="0"/>
          <w:numId w:val="5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Signs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shall be permitted to install signage on the front door and on the monument sign for the Building subject to Landlord’s reasonable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approval of such signage. Tenant shall be provided with signage on the lobby directory. All signs and graphics of every kind visible in or from public view or corridors or the exterior of the Premises shall be subject to Landlord’s prior written approval which approval shall not be unreasonably withheld and shall be subject to any applicable governmental laws, ordinances, and regulations and in compliance with Landlord’s sign criteria as same may exist from time to time. Tenant shall remove all such signs and graphics prior to the termination of this Lease. Such installations and removals shall be made in a manner as to avoid damage or defacement of the Premises; and Tenant shall repair any damage or defacement, including without limitation, discoloration caused by such installation or removal. Landlord shall have the right, at its option, to deduct from the Security Deposit such sums as are reasonably necessary to remove such signs, including, but not limited to, the costs and expenses associated with any repairs necessitated by such removal. Notwithstanding the foregoing, in no event shall any: (a) neon, flashing or moving sign(s) or (b) sign(s) which shall interfere with the visibility of any sign, awning, canopy, advertising matter, or decoration of any kind of any other business or occupant of the Building or the Park be permitted hereunder. Tenant further agrees to maintain any such sign, awning, canopy, advertising matter, lettering, decoration or other thing as may be approved in good condition and repair at all times.</w:t>
      </w:r>
    </w:p>
    <w:p>
      <w:pPr>
        <w:spacing w:after="0" w:line="146" w:lineRule="exact"/>
        <w:rPr>
          <w:rFonts w:ascii="Times New Roman" w:cs="Times New Roman" w:eastAsia="Times New Roman" w:hAnsi="Times New Roman"/>
          <w:sz w:val="14"/>
          <w:szCs w:val="14"/>
          <w:b w:val="1"/>
          <w:bCs w:val="1"/>
          <w:color w:val="auto"/>
        </w:rPr>
      </w:pPr>
    </w:p>
    <w:p>
      <w:pPr>
        <w:ind w:left="220" w:right="279" w:firstLine="3"/>
        <w:spacing w:after="0" w:line="255" w:lineRule="auto"/>
        <w:tabs>
          <w:tab w:leader="none" w:pos="430" w:val="left"/>
        </w:tabs>
        <w:numPr>
          <w:ilvl w:val="0"/>
          <w:numId w:val="5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Mortgagee Protection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any default on the part of Landlord, Tenant will give written notice in accordance with Section 31.10 hereof,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beneficiary of a deed of trust or mortgagee of a mortgage covering the Premises who has provided Tenant with notice of their interest together with an address for receiving notice, and shall offer such beneficiary or mortgagee a reasonable opportunity to cure the default (which, in no event shall be less than sixty (60) days), including time to obtain possession of the Premises by power of sale or a judicial foreclosure, if such should prove necessary to effect a cure. If such default cannot be cured within such time period, then such additional time as may be necessary will be given to such beneficiary or mortgagee to effect such cure so long as such beneficiary or mortgagee has commenced the cure within the original time period and thereafter diligently pursues such cure to completion, in which event this Lease shall not be terminated while such cure is being diligently pursued. Tenant agrees that each lender to whom this Lease has been assigned by Landlord is an express third party beneficiary hereof.</w:t>
      </w:r>
    </w:p>
    <w:p>
      <w:pPr>
        <w:spacing w:after="0" w:line="142" w:lineRule="exact"/>
        <w:rPr>
          <w:rFonts w:ascii="Times New Roman" w:cs="Times New Roman" w:eastAsia="Times New Roman" w:hAnsi="Times New Roman"/>
          <w:sz w:val="14"/>
          <w:szCs w:val="14"/>
          <w:b w:val="1"/>
          <w:bCs w:val="1"/>
          <w:color w:val="auto"/>
        </w:rPr>
      </w:pPr>
    </w:p>
    <w:p>
      <w:pPr>
        <w:ind w:left="220" w:right="279" w:firstLine="3"/>
        <w:spacing w:after="0" w:line="256" w:lineRule="auto"/>
        <w:tabs>
          <w:tab w:leader="none" w:pos="430" w:val="left"/>
        </w:tabs>
        <w:numPr>
          <w:ilvl w:val="0"/>
          <w:numId w:val="5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Warranties of Tenant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hereby warrants and represents to Landlord, for the express benefit of Landlord, that Tenant has undertaken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and independent evaluation of the risks inherent in the execution of this Lease and the operation of the Premises for the use permitted hereby, and that, based upon said independent evaluation, Tenant has elected to enter into this Lease and hereby assumes all risks with respect thereto. Tenant hereby further warrants and represents to Landlord, for the express benefit of Landlord, that in entering into this Lease, Tenant has not relied upon any statement, fact, promise or representation (whether express or implied, written or oral) not specifically set forth herein in writing and that any statement, fact, promise or representation (whether express or implied, written or oral) made at any time to Tenant, which is not expressly incorporated herein in writing, is hereby waived by Tenant.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716" w:name="page717"/>
    <w:bookmarkEnd w:id="716"/>
    <w:p>
      <w:pPr>
        <w:ind w:left="440" w:hanging="217"/>
        <w:spacing w:after="0"/>
        <w:tabs>
          <w:tab w:leader="none" w:pos="440" w:val="left"/>
        </w:tabs>
        <w:numPr>
          <w:ilvl w:val="0"/>
          <w:numId w:val="5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Compliance with Americans with Disabilities Act</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239" w:firstLine="342"/>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35.1 </w:t>
      </w:r>
      <w:r>
        <w:rPr>
          <w:rFonts w:ascii="Times New Roman" w:cs="Times New Roman" w:eastAsia="Times New Roman" w:hAnsi="Times New Roman"/>
          <w:sz w:val="14"/>
          <w:szCs w:val="14"/>
          <w:color w:val="auto"/>
        </w:rPr>
        <w:t>Landlord and Tenant hereby agree and acknowledge that the Premises, the Building and/or the Park may be subject to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Americans with Disabilities Act, a federal law codified at 42 U.S.C. 12101 et seq, including, but not limited to Title III thereof, all regulations and guidelines related thereto, together with any and all laws, rules, regulations, ordinances, codes and statutes now or hereafter enacted by local or state agencies having jurisdiction thereof, including all requirements of Title 24 of the State of California, as the same may be in effect on the date of this Lease and may be hereafter modified, amended or supplemented (collectively, the “</w:t>
      </w:r>
      <w:r>
        <w:rPr>
          <w:rFonts w:ascii="Times New Roman" w:cs="Times New Roman" w:eastAsia="Times New Roman" w:hAnsi="Times New Roman"/>
          <w:sz w:val="14"/>
          <w:szCs w:val="14"/>
          <w:b w:val="1"/>
          <w:bCs w:val="1"/>
          <w:color w:val="auto"/>
        </w:rPr>
        <w:t>ADA</w:t>
      </w:r>
      <w:r>
        <w:rPr>
          <w:rFonts w:ascii="Times New Roman" w:cs="Times New Roman" w:eastAsia="Times New Roman" w:hAnsi="Times New Roman"/>
          <w:sz w:val="14"/>
          <w:szCs w:val="14"/>
          <w:color w:val="auto"/>
        </w:rPr>
        <w:t>”). Any Tenant Improvements to be constructed hereunder shall be in compliance with the requirements of the ADA, and all costs incurred for purposes of compliance therewith shall be a part of and included in the costs of the Tenant Improvements. Tenant shall be solely responsible for conducting its own independent investigation of this matter and for ensuring that the design of all Tenant Improvements strictly comply with all requirements of the ADA; provided that Tenant’s failure to complete such investigation shall not waive Landlord’s obligation to construct the Tenant Improvements in accordance with the terms of the Work Letter. Subject to reimbursement pursuant to Section 6 of the Lease, if any barrier removal work or other work is required to the Common Areas or the Park under the ADA, then such work shall be the responsibility of Landlord; provided, if such work is required under the ADA as a result of Tenant’s specific use of the Premises or any work or alteration made to the Premises by or on behalf of Tenant (other than the Tenant Improvements), then such work shall be performed by Landlord at the sole cost and expense of Tenant. Except as otherwise expressly provided in this provision, Tenant shall be responsible at its sole cost and expense for fully and faithfully complying with all applicable requirements of the ADA, including without limitation, not discriminating against any disabled persons in the operation of Tenant’s business in or about the Premises, and offering or otherwise providing auxiliary aids and services as, and when, required by the ADA. Within ten (10) days after receipt, Landlord and Tenant shall advise the other party in writing, and provide the other with copies of (as applicable), any notices alleging violation of the ADA relating to any portion of the Premises or the Building; any claims made or threatened in writing regarding noncompliance with the ADA and relating to any portion of the Premises or the Building; or any governmental or regulatory actions or investigations instituted or threatened regarding noncompliance with the ADA and relating to any portion of the Premises or the Building. Tenant shall and hereby agrees to protect, defend (with counsel acceptable to Landlord) and hold Landlord and the other Indemnitees harmless and indemnify the Indemnitees from and against all liabilities, damages, claims, losses, penalties, judgments, charges and expenses (including reasonable attorneys’ fees, costs of court and expenses necessary in the prosecution or defense of any litigation including the enforcement of this provision) arising from or in any way related to, directly or indirectly, Tenant’s or Tenant’s Representatives’ violation or alleged violation of the ADA. Tenant agrees that the obligations of Tenant herein shall survive the expiration or earlier termination of this Lease. Notwithstanding anything to the contrary, but subject to Section 9.1 above, Tenant shall have no liability or responsibility to correct any violations of the requirements of the ADA which exist as of the Commencement Date.</w:t>
      </w:r>
    </w:p>
    <w:p>
      <w:pPr>
        <w:spacing w:after="0" w:line="156" w:lineRule="exact"/>
        <w:rPr>
          <w:sz w:val="20"/>
          <w:szCs w:val="20"/>
          <w:color w:val="auto"/>
        </w:rPr>
      </w:pPr>
    </w:p>
    <w:p>
      <w:pPr>
        <w:ind w:left="220" w:right="27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35.2 </w:t>
      </w:r>
      <w:r>
        <w:rPr>
          <w:rFonts w:ascii="Times New Roman" w:cs="Times New Roman" w:eastAsia="Times New Roman" w:hAnsi="Times New Roman"/>
          <w:sz w:val="14"/>
          <w:szCs w:val="14"/>
          <w:b w:val="1"/>
          <w:bCs w:val="1"/>
          <w:u w:val="single" w:color="auto"/>
          <w:color w:val="auto"/>
        </w:rPr>
        <w:t>Civil Code Section 1938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extent permitted by law, Tenant waives any and all rights under and benefits of California Civil Code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1938. In accordance with California Civil Code Section 1938, Landlord hereby informs Tenant that as of the Date of this Lease, neither the Building nor the Premises have been inspected by a Certified Access Specialist (as defined in California Civil Code section 55.52(3)) (“</w:t>
      </w:r>
      <w:r>
        <w:rPr>
          <w:rFonts w:ascii="Times New Roman" w:cs="Times New Roman" w:eastAsia="Times New Roman" w:hAnsi="Times New Roman"/>
          <w:sz w:val="14"/>
          <w:szCs w:val="14"/>
          <w:b w:val="1"/>
          <w:bCs w:val="1"/>
          <w:color w:val="auto"/>
        </w:rPr>
        <w:t>CASp</w:t>
      </w:r>
      <w:r>
        <w:rPr>
          <w:rFonts w:ascii="Times New Roman" w:cs="Times New Roman" w:eastAsia="Times New Roman" w:hAnsi="Times New Roman"/>
          <w:sz w:val="14"/>
          <w:szCs w:val="14"/>
          <w:color w:val="auto"/>
        </w:rPr>
        <w:t>”). Tenant shall not engage any CASp to inspect the Building or Premises without Landlord’s prior written consent, which shall not be unreasonably withheld, conditioned or delayed. California Civil Code Section 1938(e) provides: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717" w:name="page718"/>
    <w:bookmarkEnd w:id="717"/>
    <w:p>
      <w:pPr>
        <w:ind w:left="220" w:right="399" w:firstLine="342"/>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45" w:lineRule="exact"/>
        <w:rPr>
          <w:sz w:val="20"/>
          <w:szCs w:val="20"/>
          <w:color w:val="auto"/>
        </w:rPr>
      </w:pPr>
    </w:p>
    <w:p>
      <w:pPr>
        <w:ind w:left="220" w:right="279"/>
        <w:spacing w:after="0" w:line="281" w:lineRule="auto"/>
        <w:rPr>
          <w:sz w:val="20"/>
          <w:szCs w:val="20"/>
          <w:color w:val="auto"/>
        </w:rPr>
      </w:pPr>
      <w:r>
        <w:rPr>
          <w:rFonts w:ascii="Times New Roman" w:cs="Times New Roman" w:eastAsia="Times New Roman" w:hAnsi="Times New Roman"/>
          <w:sz w:val="13"/>
          <w:szCs w:val="13"/>
          <w:color w:val="auto"/>
        </w:rPr>
        <w:t>Accordingly, Landlord and Tenant hereby mutually agree that if Tenant desires to obtain a CASp inspection, (i) the CASp inspection shall be at Tenant’s sole cost and expense, (ii) the inspection shall be performed by a CASp that is currently certified in California and has been approved by Landlord,</w:t>
      </w:r>
    </w:p>
    <w:p>
      <w:pPr>
        <w:ind w:left="220" w:right="239" w:firstLine="3"/>
        <w:spacing w:after="0" w:line="251" w:lineRule="auto"/>
        <w:tabs>
          <w:tab w:leader="none" w:pos="465"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CASp inspection shall take place during regular business hours with at least five (5) business days’ prior written notice to Landlord and shall not materially disrupt any of the other tenants within the Building, (iv) Tenant shall promptly provide Landlord with a copy of the final report prepared in connection with the CASp inspection (the “</w:t>
      </w:r>
      <w:r>
        <w:rPr>
          <w:rFonts w:ascii="Times New Roman" w:cs="Times New Roman" w:eastAsia="Times New Roman" w:hAnsi="Times New Roman"/>
          <w:sz w:val="14"/>
          <w:szCs w:val="14"/>
          <w:b w:val="1"/>
          <w:bCs w:val="1"/>
          <w:color w:val="auto"/>
        </w:rPr>
        <w:t>CASp Report</w:t>
      </w:r>
      <w:r>
        <w:rPr>
          <w:rFonts w:ascii="Times New Roman" w:cs="Times New Roman" w:eastAsia="Times New Roman" w:hAnsi="Times New Roman"/>
          <w:sz w:val="14"/>
          <w:szCs w:val="14"/>
          <w:color w:val="auto"/>
        </w:rPr>
        <w:t>”), and (v) Tenant shall be solely responsible for promptly making any repair or modifications necessary to correct violations of construction-related accessibility standards that are noted in the CASp Report (the “</w:t>
      </w:r>
      <w:r>
        <w:rPr>
          <w:rFonts w:ascii="Times New Roman" w:cs="Times New Roman" w:eastAsia="Times New Roman" w:hAnsi="Times New Roman"/>
          <w:sz w:val="14"/>
          <w:szCs w:val="14"/>
          <w:b w:val="1"/>
          <w:bCs w:val="1"/>
          <w:color w:val="auto"/>
        </w:rPr>
        <w:t>Required Modifications</w:t>
      </w:r>
      <w:r>
        <w:rPr>
          <w:rFonts w:ascii="Times New Roman" w:cs="Times New Roman" w:eastAsia="Times New Roman" w:hAnsi="Times New Roman"/>
          <w:sz w:val="14"/>
          <w:szCs w:val="14"/>
          <w:color w:val="auto"/>
        </w:rPr>
        <w:t>”) and shall defend with competent counsel, indemnify and hold Landlord harmless from any claims, damages or liability resulting from Tenant’s failure to promptly make such Required Modifications. The Required Modifications shall not proceed until Landlord has approved in writing: (i) Tenant’s contractor, and (ii) complete and detailed plans and specifications for the Required Modifications. The Required Modifications shall be performed in a good and workmanlike manner in compliance with all of the terms of the Lease. At Landlord’s sole discretion, Landlord may elect to complete the Required Modifications. If Landlord elects to complete the Required Modifications, Landlord may forward invoices and bills for the expenses of the Required Modifications to Tenant, and Tenant shall, no later than ten (10) days prior to the due date, pay such invoices or bills and deliver satisfactory evidence of such payment to Landlord. Alternatively, Tenant shall reimburse Landlord for any costs incurred by Landlord within ten (10) days of Landlord’s invoice therefor.</w:t>
      </w:r>
    </w:p>
    <w:p>
      <w:pPr>
        <w:spacing w:after="0" w:line="147" w:lineRule="exact"/>
        <w:rPr>
          <w:sz w:val="20"/>
          <w:szCs w:val="20"/>
          <w:color w:val="auto"/>
        </w:rPr>
      </w:pPr>
    </w:p>
    <w:p>
      <w:pPr>
        <w:ind w:left="220" w:right="339"/>
        <w:spacing w:after="0" w:line="258" w:lineRule="auto"/>
        <w:rPr>
          <w:sz w:val="20"/>
          <w:szCs w:val="20"/>
          <w:color w:val="auto"/>
        </w:rPr>
      </w:pPr>
      <w:r>
        <w:rPr>
          <w:rFonts w:ascii="Times New Roman" w:cs="Times New Roman" w:eastAsia="Times New Roman" w:hAnsi="Times New Roman"/>
          <w:sz w:val="14"/>
          <w:szCs w:val="14"/>
          <w:color w:val="auto"/>
        </w:rPr>
        <w:t>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earlier termination of this Lease.</w:t>
      </w:r>
    </w:p>
    <w:p>
      <w:pPr>
        <w:spacing w:after="0" w:line="140" w:lineRule="exact"/>
        <w:rPr>
          <w:sz w:val="20"/>
          <w:szCs w:val="20"/>
          <w:color w:val="auto"/>
        </w:rPr>
      </w:pPr>
    </w:p>
    <w:p>
      <w:pPr>
        <w:ind w:left="220" w:right="319" w:firstLine="3"/>
        <w:spacing w:after="0" w:line="259" w:lineRule="auto"/>
        <w:tabs>
          <w:tab w:leader="none" w:pos="430" w:val="left"/>
        </w:tabs>
        <w:numPr>
          <w:ilvl w:val="0"/>
          <w:numId w:val="5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Brokerage Commission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and Tenant each represents and warrants for the benefit of the other that it has had no dealings with any real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estate broker, agent or finder in connection with the Premises and/or the negotiation of this Lease, except for the Broker(s) (as set forth in the Basic Lease Information), and that it knows of no other real estate broker, agent or finder who is or might be entitled to a real estate brokerage commission or finder’s fee in connection with this Lease or otherwise based upon contacts between the claimant and Tenant. Each party shall indemnify and hold harmless the other from and against any and all liabilities or expenses arising</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1" w:right="1440" w:bottom="1440" w:gutter="0" w:footer="0" w:header="0"/>
        </w:sectPr>
      </w:pPr>
    </w:p>
    <w:bookmarkStart w:id="718" w:name="page719"/>
    <w:bookmarkEnd w:id="718"/>
    <w:p>
      <w:pPr>
        <w:ind w:left="220" w:right="3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out of claims made for a fee or commission by any real estate broker, agent or finder in connection with the Premises and this Lease other than Broker(s), if any, resulting from the actions of the indemnifying party. Any real estate brokerage commission or finder’s fee payable to the Broker(s) in connection with this Lease shall be payable pursuant to a separate agreement.</w:t>
      </w:r>
    </w:p>
    <w:p>
      <w:pPr>
        <w:spacing w:after="0" w:line="134" w:lineRule="exact"/>
        <w:rPr>
          <w:sz w:val="20"/>
          <w:szCs w:val="20"/>
          <w:color w:val="auto"/>
        </w:rPr>
      </w:pPr>
    </w:p>
    <w:p>
      <w:pPr>
        <w:ind w:left="220" w:right="359" w:firstLine="3"/>
        <w:spacing w:after="0" w:line="259" w:lineRule="auto"/>
        <w:tabs>
          <w:tab w:leader="none" w:pos="430" w:val="left"/>
        </w:tabs>
        <w:numPr>
          <w:ilvl w:val="0"/>
          <w:numId w:val="5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Quiet Enjoyment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covenants with Tenant, upon the paying of Rent and observing and keeping the covenants, agreements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this Lease on its part to be kept, and during the periods that Tenant is not otherwise in default of any of the terms or provisions of this Lease beyond expiration of all applicable notice and cure periods, and subject to the rights of any of Landlord’s lenders, (i) that Tenant shall and may peaceably and quietly hold, occupy and enjoy the Premises and the Common Areas during the Term of this Lease, and (ii) neither Landlord, nor any successor or assign of Landlord, shall disturb Tenant’s occupancy or enjoyment of the Premises and the Common Areas.</w:t>
      </w:r>
    </w:p>
    <w:p>
      <w:pPr>
        <w:spacing w:after="0" w:line="138" w:lineRule="exact"/>
        <w:rPr>
          <w:rFonts w:ascii="Times New Roman" w:cs="Times New Roman" w:eastAsia="Times New Roman" w:hAnsi="Times New Roman"/>
          <w:sz w:val="14"/>
          <w:szCs w:val="14"/>
          <w:b w:val="1"/>
          <w:bCs w:val="1"/>
          <w:color w:val="auto"/>
        </w:rPr>
      </w:pPr>
    </w:p>
    <w:p>
      <w:pPr>
        <w:ind w:left="220" w:right="239" w:firstLine="3"/>
        <w:spacing w:after="0" w:line="254" w:lineRule="auto"/>
        <w:tabs>
          <w:tab w:leader="none" w:pos="430" w:val="left"/>
        </w:tabs>
        <w:numPr>
          <w:ilvl w:val="0"/>
          <w:numId w:val="5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Landlord’s Ability to Perform Tenant’s Unperformed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anything to the contrary contained in this Lease, if Tenant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fail to perform any of the terms, provisions, covenants or conditions to be performed or complied with by Tenant pursuant to this Lease beyond any applicable notice and cure period, and/or if the failure of Tenant relates to a matter which in Landlord’s judgment reasonably exercised is of an emergency nature and such failure shall remain uncured for a period of time commensurate with such emergency, then Landlord may, at Landlord’s option without any obligation to do so, and in its sole discretion as to the necessity therefor, perform any such term, provision, covenant, or condition, or make any such payment and Landlord by reason of so doing shall not be liable or responsible for any loss or damage thereby sustained by Tenant or anyone holding under or through Tenant. If Landlord so performs any of Tenant’s obligations hereunder, the full amount of the cost and expense entailed or the payment so made or the amount of the loss so sustained shall immediately be owing by Tenant to Landlord, and Tenant shall promptly pay to Landlord within five (5) days of notice, as Additional Rent, the full amount thereof and Enforcement Expenses.</w:t>
      </w:r>
    </w:p>
    <w:p>
      <w:pPr>
        <w:spacing w:after="0" w:line="145" w:lineRule="exact"/>
        <w:rPr>
          <w:rFonts w:ascii="Times New Roman" w:cs="Times New Roman" w:eastAsia="Times New Roman" w:hAnsi="Times New Roman"/>
          <w:sz w:val="14"/>
          <w:szCs w:val="14"/>
          <w:b w:val="1"/>
          <w:bCs w:val="1"/>
          <w:color w:val="auto"/>
        </w:rPr>
      </w:pPr>
    </w:p>
    <w:p>
      <w:pPr>
        <w:ind w:left="220" w:right="239" w:firstLine="3"/>
        <w:spacing w:after="0" w:line="253" w:lineRule="auto"/>
        <w:tabs>
          <w:tab w:leader="none" w:pos="430" w:val="left"/>
        </w:tabs>
        <w:numPr>
          <w:ilvl w:val="0"/>
          <w:numId w:val="5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Sustainability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and Tenant acknowledge and agree that Landlord is committed to employing sustainable operating and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practices for the Building. Tenant shall fully cooperate with Landlord in any programs in which Landlord may elect to participate relating to the Building’s (i) energy efficiency, management and conservation; (ii) water conservation and management; (iii) environmental standards and efficiency; (iv) recycling and reduction programs; and/or (v) safety, which participation may include, without limitation, the Leadership in Energy and Environmental Design (LEED) program and related Green Building Rating System promoted by the U.S. Green Building Council. All carbon tax credits and similar credits, offsets and deductions are the sole and exclusive property of Landlord. Tenant affirms its support of these practices, and agrees to cooperate with Landlord by implementing reasonable conservation practices. Periodically, Landlord may offer additional examples, guidance and practices related to energy conservation measures, which Tenant agrees to consider for implementation. Notwithstanding anything herein to the contrary, Tenant shall not be restricted from operating its business in the fashion and manner which it deems appropriate for itself. Should any specific practice(s) proposed by Landlord be deemed to be inconsistent with Tenant’s business operations, Tenant shall so advise Landlord in writing as its reason for declining to implement such specific practice(s).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1" w:right="1440" w:bottom="1440" w:gutter="0" w:footer="0" w:header="0"/>
        </w:sectPr>
      </w:pPr>
    </w:p>
    <w:bookmarkStart w:id="719" w:name="page720"/>
    <w:bookmarkEnd w:id="719"/>
    <w:p>
      <w:pPr>
        <w:jc w:val="center"/>
        <w:ind w:right="-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this Lease is executed by the parties as of the Lease Date referenced in the Basic Lease Information of this Lease.</w:t>
      </w: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71" w:lineRule="exact"/>
        <w:rPr>
          <w:sz w:val="20"/>
          <w:szCs w:val="20"/>
          <w:color w:val="auto"/>
        </w:rPr>
      </w:pPr>
    </w:p>
    <w:p>
      <w:pPr>
        <w:ind w:left="220"/>
        <w:spacing w:after="0"/>
        <w:tabs>
          <w:tab w:leader="none" w:pos="560" w:val="left"/>
          <w:tab w:leader="none" w:pos="5940" w:val="left"/>
        </w:tabs>
        <w:rPr>
          <w:sz w:val="20"/>
          <w:szCs w:val="20"/>
          <w:color w:val="auto"/>
        </w:rPr>
      </w:pPr>
      <w:r>
        <w:rPr>
          <w:rFonts w:ascii="Times New Roman" w:cs="Times New Roman" w:eastAsia="Times New Roman" w:hAnsi="Times New Roman"/>
          <w:sz w:val="14"/>
          <w:szCs w:val="14"/>
          <w:color w:val="auto"/>
        </w:rPr>
        <w:t>BY:</w:t>
        <w:tab/>
        <w:t>/s/ Oguzhan Atay</w:t>
      </w:r>
      <w:r>
        <w:rPr>
          <w:sz w:val="20"/>
          <w:szCs w:val="20"/>
          <w:color w:val="auto"/>
        </w:rPr>
        <w:tab/>
      </w:r>
      <w:r>
        <w:rPr>
          <w:rFonts w:ascii="Times New Roman" w:cs="Times New Roman" w:eastAsia="Times New Roman" w:hAnsi="Times New Roman"/>
          <w:sz w:val="13"/>
          <w:szCs w:val="13"/>
          <w:color w:val="auto"/>
        </w:rPr>
        <w:t>DATE: 05/19/2020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13970</wp:posOffset>
            </wp:positionV>
            <wp:extent cx="1632585" cy="635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632585"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 CEO</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O’BRIEN DRIVE PORTFOLIO, LLC,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 Delaware limited liability company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TARLTON PROPERTIES,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California corporation its managing member</w:t>
      </w:r>
    </w:p>
    <w:p>
      <w:pPr>
        <w:spacing w:after="0" w:line="171"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John C. Tarlton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13970</wp:posOffset>
            </wp:positionV>
            <wp:extent cx="1972310" cy="635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972310"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John C. Tarlton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President &amp; CEO</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O’BRIEN DRIVE PORTFOLIO MEMBER,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limited liability company, its co-managing</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member</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PRINCIPAL REAL ESTATE INVESTORS,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limited liability company, its authorized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signatory</w:t>
      </w:r>
    </w:p>
    <w:p>
      <w:pPr>
        <w:spacing w:after="0" w:line="171"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Jeff Uittenbogaard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13970</wp:posOffset>
            </wp:positionV>
            <wp:extent cx="1972310" cy="635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972310"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Jeff Uittenbogaard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Title: Investment Director</w:t>
      </w:r>
    </w:p>
    <w:p>
      <w:pPr>
        <w:spacing w:after="0" w:line="160"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Joel Woehler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13970</wp:posOffset>
            </wp:positionV>
            <wp:extent cx="1885950" cy="635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885950" cy="635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Joel Woehler</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Title: Investment Director – Asset Management</w:t>
      </w:r>
    </w:p>
    <w:p>
      <w:pPr>
        <w:sectPr>
          <w:pgSz w:w="11900" w:h="16838" w:orient="portrait"/>
          <w:cols w:equalWidth="0" w:num="1">
            <w:col w:w="9019"/>
          </w:cols>
          <w:pgMar w:left="1440" w:top="242" w:right="1440" w:bottom="1440" w:gutter="0" w:footer="0" w:header="0"/>
        </w:sectPr>
      </w:pPr>
    </w:p>
    <w:bookmarkStart w:id="720" w:name="page721"/>
    <w:bookmarkEnd w:id="72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A</w:t>
      </w:r>
    </w:p>
    <w:p>
      <w:pPr>
        <w:sectPr>
          <w:pgSz w:w="11900" w:h="16838" w:orient="portrait"/>
          <w:cols w:equalWidth="0" w:num="1">
            <w:col w:w="9019"/>
          </w:cols>
          <w:pgMar w:left="1440" w:top="239"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PREMISES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9019"/>
          </w:cols>
          <w:pgMar w:left="1440" w:top="239" w:right="1440" w:bottom="1440" w:gutter="0" w:footer="0" w:header="0"/>
          <w:type w:val="continuous"/>
        </w:sectPr>
      </w:pPr>
    </w:p>
    <w:bookmarkStart w:id="721" w:name="page722"/>
    <w:bookmarkEnd w:id="72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B</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WORK LETTER AGREEMENT</w:t>
      </w:r>
    </w:p>
    <w:p>
      <w:pPr>
        <w:spacing w:after="0" w:line="177" w:lineRule="exact"/>
        <w:rPr>
          <w:sz w:val="20"/>
          <w:szCs w:val="20"/>
          <w:color w:val="auto"/>
        </w:rPr>
      </w:pPr>
    </w:p>
    <w:p>
      <w:pPr>
        <w:ind w:left="220" w:right="239"/>
        <w:spacing w:after="0" w:line="282" w:lineRule="auto"/>
        <w:rPr>
          <w:sz w:val="20"/>
          <w:szCs w:val="20"/>
          <w:color w:val="auto"/>
        </w:rPr>
      </w:pPr>
      <w:r>
        <w:rPr>
          <w:rFonts w:ascii="Times New Roman" w:cs="Times New Roman" w:eastAsia="Times New Roman" w:hAnsi="Times New Roman"/>
          <w:sz w:val="14"/>
          <w:szCs w:val="14"/>
          <w:color w:val="auto"/>
        </w:rPr>
        <w:t xml:space="preserve">This Work Letter (“Work Letter”) sets forth the terms and conditions relating to the construction of improvements for the Premises. All references in this Work Letter to the “Lease” shall mean the relevant portions of the Lease to which this Work Letter is attached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SECTION 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BASE, SHELL AND CORE</w:t>
      </w:r>
    </w:p>
    <w:p>
      <w:pPr>
        <w:spacing w:after="0" w:line="177" w:lineRule="exact"/>
        <w:rPr>
          <w:sz w:val="20"/>
          <w:szCs w:val="20"/>
          <w:color w:val="auto"/>
        </w:rPr>
      </w:pPr>
    </w:p>
    <w:p>
      <w:pPr>
        <w:ind w:left="220" w:right="239" w:firstLine="342"/>
        <w:spacing w:after="0" w:line="256" w:lineRule="auto"/>
        <w:rPr>
          <w:sz w:val="20"/>
          <w:szCs w:val="20"/>
          <w:color w:val="auto"/>
        </w:rPr>
      </w:pPr>
      <w:r>
        <w:rPr>
          <w:rFonts w:ascii="Times New Roman" w:cs="Times New Roman" w:eastAsia="Times New Roman" w:hAnsi="Times New Roman"/>
          <w:sz w:val="14"/>
          <w:szCs w:val="14"/>
          <w:color w:val="auto"/>
        </w:rPr>
        <w:t>Except as otherwise provided in the Lease or this Work Letter, Tenant hereby accepts the base, shell and core of the Premises (collectively, the “Base, Shell and Core”), in its current “AS-IS” condition existing as of the date of the Lease and the Commencement Date. Except for the Allowance set forth below, Landlord shall not be obligated to make or pay for any alterations or improvements to the Premises, the Building or the Real Property. Tenant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 Any exception to the foregoing provisions must be made by express written agreement by both parties.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SECTION 2</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CONSTRUCTION DRAWINGS FOR THE PREMISES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Prior to the execution of this Lease, Landlord and Tenant have approved a detailed space plan for the construction of certain improvements in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Premises, which space plan has been prepared by DES Architects, as 20-0410 BTO Pricing Plans-Space Plan, attached hereto as Schedule 1 (the “</w:t>
      </w:r>
      <w:r>
        <w:rPr>
          <w:rFonts w:ascii="Times New Roman" w:cs="Times New Roman" w:eastAsia="Times New Roman" w:hAnsi="Times New Roman"/>
          <w:sz w:val="14"/>
          <w:szCs w:val="14"/>
          <w:b w:val="1"/>
          <w:bCs w:val="1"/>
          <w:color w:val="auto"/>
        </w:rPr>
        <w:t>Final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Space Plan</w:t>
      </w:r>
      <w:r>
        <w:rPr>
          <w:rFonts w:ascii="Times New Roman" w:cs="Times New Roman" w:eastAsia="Times New Roman" w:hAnsi="Times New Roman"/>
          <w:sz w:val="13"/>
          <w:szCs w:val="13"/>
          <w:color w:val="auto"/>
        </w:rPr>
        <w:t>”). Based upon and in conformity with the Final Space Plan, Landlord shall cause its architect and engineers to prepare and deliver to Tenant,</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Tenant’s approval, detailed specifications and engineered working drawings for the tenant improvements shown on the Final Space Plan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Working Drawings</w:t>
      </w:r>
      <w:r>
        <w:rPr>
          <w:rFonts w:ascii="Times New Roman" w:cs="Times New Roman" w:eastAsia="Times New Roman" w:hAnsi="Times New Roman"/>
          <w:sz w:val="14"/>
          <w:szCs w:val="14"/>
          <w:color w:val="auto"/>
        </w:rPr>
        <w:t>”). The Working Drawings shall incorporate modifications to the Final Space Plan as necessary to comply with the floor load and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 structural and system requirements of the Building. To the extent that the finishes and specifications are not completely set forth in the Final Space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Plan for any portion of the tenant improvements depicted thereon, the actual specifications and finish work shall be in accordance with the specifications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the Building’s standard tenant improvement items (“</w:t>
      </w:r>
      <w:r>
        <w:rPr>
          <w:rFonts w:ascii="Times New Roman" w:cs="Times New Roman" w:eastAsia="Times New Roman" w:hAnsi="Times New Roman"/>
          <w:sz w:val="14"/>
          <w:szCs w:val="14"/>
          <w:b w:val="1"/>
          <w:bCs w:val="1"/>
          <w:color w:val="auto"/>
        </w:rPr>
        <w:t>Specifications</w:t>
      </w:r>
      <w:r>
        <w:rPr>
          <w:rFonts w:ascii="Times New Roman" w:cs="Times New Roman" w:eastAsia="Times New Roman" w:hAnsi="Times New Roman"/>
          <w:sz w:val="14"/>
          <w:szCs w:val="14"/>
          <w:color w:val="auto"/>
        </w:rPr>
        <w:t>”), as determined by Landlord. Within seven (7) business days after Tenant’s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receipt of the Working Drawings, Tenant shall approve or disapprove the same, which approval shall not be unreasonably withheld; provided, however,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that Tenant may only disapprove the Working Drawings to the extent such Working Drawings are inconsistent with the Final Space Plan and only if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Tenant delivers to Landlord, within such seven (7) business-day period, specific changes proposed by Tenant which are consistent with the Final Space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Plan and do not constitute changes which would result in any of the circumstances described in items (i) through (iv) below. If any such revisions are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timely and properly proposed by Tenant, Landlord shall cause its architect and engineers to revise the Working Drawings to incorporate such revisions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 submit the same for Tenant’s approval in accordance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B-1</w:t>
      </w:r>
    </w:p>
    <w:p>
      <w:pPr>
        <w:sectPr>
          <w:pgSz w:w="11900" w:h="16838" w:orient="portrait"/>
          <w:cols w:equalWidth="0" w:num="1">
            <w:col w:w="9019"/>
          </w:cols>
          <w:pgMar w:left="1440" w:top="239" w:right="1440" w:bottom="1440" w:gutter="0" w:footer="0" w:header="0"/>
        </w:sectPr>
      </w:pPr>
    </w:p>
    <w:bookmarkStart w:id="722" w:name="page723"/>
    <w:bookmarkEnd w:id="722"/>
    <w:p>
      <w:pPr>
        <w:ind w:left="220" w:right="27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with the foregoing provisions, and the parties shall follow the foregoing procedures for approving the Working Drawings until the same are finally approved by Landlord and Tenant. Upon Landlord’s and Tenant’s approval of the Working Drawings, the same shall be known as the “</w:t>
      </w:r>
      <w:r>
        <w:rPr>
          <w:rFonts w:ascii="Times New Roman" w:cs="Times New Roman" w:eastAsia="Times New Roman" w:hAnsi="Times New Roman"/>
          <w:sz w:val="13"/>
          <w:szCs w:val="13"/>
          <w:b w:val="1"/>
          <w:bCs w:val="1"/>
          <w:color w:val="auto"/>
        </w:rPr>
        <w:t>Approved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Working Drawings</w:t>
      </w:r>
      <w:r>
        <w:rPr>
          <w:rFonts w:ascii="Times New Roman" w:cs="Times New Roman" w:eastAsia="Times New Roman" w:hAnsi="Times New Roman"/>
          <w:sz w:val="13"/>
          <w:szCs w:val="13"/>
          <w:color w:val="auto"/>
        </w:rPr>
        <w:t>”. The tenant improvements shown on the Approved Working Drawings shall be referred to herein as the “</w:t>
      </w:r>
      <w:r>
        <w:rPr>
          <w:rFonts w:ascii="Times New Roman" w:cs="Times New Roman" w:eastAsia="Times New Roman" w:hAnsi="Times New Roman"/>
          <w:sz w:val="13"/>
          <w:szCs w:val="13"/>
          <w:b w:val="1"/>
          <w:bCs w:val="1"/>
          <w:color w:val="auto"/>
        </w:rPr>
        <w:t>Tenant Improvements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Once the Approved Working Drawings have been approved by Landlord and Tenant, Tenant shall make no changes, change orders or modifications thereto without the prior written consent of Landlord, which consent shall not be unreasonably withheld, but may be withheld in Landlord’s sole discretion if such change or modification would: (i) be of a quality lower than the quality of the standard tenant improvement items for the Building;</w:t>
      </w:r>
    </w:p>
    <w:p>
      <w:pPr>
        <w:spacing w:after="0" w:line="2" w:lineRule="exact"/>
        <w:rPr>
          <w:sz w:val="20"/>
          <w:szCs w:val="20"/>
          <w:color w:val="auto"/>
        </w:rPr>
      </w:pPr>
    </w:p>
    <w:p>
      <w:pPr>
        <w:jc w:val="both"/>
        <w:ind w:left="220" w:right="419" w:firstLine="3"/>
        <w:spacing w:after="0" w:line="255" w:lineRule="auto"/>
        <w:tabs>
          <w:tab w:leader="none" w:pos="426"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increase the cost of designing or constructing the Tenant Improvements above the cost of the tenant improvements depicted in the Final Space Plan; and/or (iii) require any changes to the Base, Shell and Core or structural improvements or systems of the Building. The Final Space Plan, Working Drawings and Approved Working Drawings shall be collectively referred to herein as, the “</w:t>
      </w:r>
      <w:r>
        <w:rPr>
          <w:rFonts w:ascii="Times New Roman" w:cs="Times New Roman" w:eastAsia="Times New Roman" w:hAnsi="Times New Roman"/>
          <w:sz w:val="14"/>
          <w:szCs w:val="14"/>
          <w:b w:val="1"/>
          <w:bCs w:val="1"/>
          <w:color w:val="auto"/>
        </w:rPr>
        <w:t>Construction Drawings</w:t>
      </w:r>
      <w:r>
        <w:rPr>
          <w:rFonts w:ascii="Times New Roman" w:cs="Times New Roman" w:eastAsia="Times New Roman" w:hAnsi="Times New Roman"/>
          <w:sz w:val="14"/>
          <w:szCs w:val="14"/>
          <w:color w:val="auto"/>
        </w:rPr>
        <w: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SECTION 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CONSTRUCTION AND COSTS OF TENANT IMPROVEMENTS</w:t>
      </w:r>
    </w:p>
    <w:p>
      <w:pPr>
        <w:spacing w:after="0" w:line="175" w:lineRule="exact"/>
        <w:rPr>
          <w:sz w:val="20"/>
          <w:szCs w:val="20"/>
          <w:color w:val="auto"/>
        </w:rPr>
      </w:pPr>
    </w:p>
    <w:p>
      <w:pPr>
        <w:ind w:left="220" w:right="279" w:firstLine="342"/>
        <w:spacing w:after="0" w:line="272" w:lineRule="auto"/>
        <w:rPr>
          <w:sz w:val="20"/>
          <w:szCs w:val="20"/>
          <w:color w:val="auto"/>
        </w:rPr>
      </w:pPr>
      <w:r>
        <w:rPr>
          <w:rFonts w:ascii="Times New Roman" w:cs="Times New Roman" w:eastAsia="Times New Roman" w:hAnsi="Times New Roman"/>
          <w:sz w:val="13"/>
          <w:szCs w:val="13"/>
          <w:color w:val="auto"/>
        </w:rPr>
        <w:t>Landlord has obtained a bid to construct the Tenant Improvements from C.P. Construction (the “</w:t>
      </w:r>
      <w:r>
        <w:rPr>
          <w:rFonts w:ascii="Times New Roman" w:cs="Times New Roman" w:eastAsia="Times New Roman" w:hAnsi="Times New Roman"/>
          <w:sz w:val="13"/>
          <w:szCs w:val="13"/>
          <w:b w:val="1"/>
          <w:bCs w:val="1"/>
          <w:color w:val="auto"/>
        </w:rPr>
        <w:t>Contractor</w:t>
      </w:r>
      <w:r>
        <w:rPr>
          <w:rFonts w:ascii="Times New Roman" w:cs="Times New Roman" w:eastAsia="Times New Roman" w:hAnsi="Times New Roman"/>
          <w:sz w:val="13"/>
          <w:szCs w:val="13"/>
          <w:color w:val="auto"/>
        </w:rPr>
        <w:t>”) to (i) obtain all applicable building permits for construction of the Tenant Improvements (collectively, the “</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and (ii) construct the Tenant Improvements as depicted on the Approved Working Drawings, in compliance with such Permits and all applicable laws in effect at the time of construction, and in good workmanlike manner. Any contract with Contractor to construct the Tenant Improvements shall be based upon a stipulated sum or guaranteed maximum price. Tenant shall be entitled to a one-time improvement allowance (the “</w:t>
      </w:r>
      <w:r>
        <w:rPr>
          <w:rFonts w:ascii="Times New Roman" w:cs="Times New Roman" w:eastAsia="Times New Roman" w:hAnsi="Times New Roman"/>
          <w:sz w:val="13"/>
          <w:szCs w:val="13"/>
          <w:b w:val="1"/>
          <w:bCs w:val="1"/>
          <w:color w:val="auto"/>
        </w:rPr>
        <w:t>Allowance</w:t>
      </w:r>
      <w:r>
        <w:rPr>
          <w:rFonts w:ascii="Times New Roman" w:cs="Times New Roman" w:eastAsia="Times New Roman" w:hAnsi="Times New Roman"/>
          <w:sz w:val="13"/>
          <w:szCs w:val="13"/>
          <w:color w:val="auto"/>
        </w:rPr>
        <w:t>”) in an amount up to, but not exceeding, Sixty and 00/100 Dollars ($60.00) per rentable square foot of the Premises (</w:t>
      </w:r>
      <w:r>
        <w:rPr>
          <w:rFonts w:ascii="Times New Roman" w:cs="Times New Roman" w:eastAsia="Times New Roman" w:hAnsi="Times New Roman"/>
          <w:sz w:val="13"/>
          <w:szCs w:val="13"/>
          <w:u w:val="single" w:color="auto"/>
          <w:color w:val="auto"/>
        </w:rPr>
        <w:t>i.e.</w:t>
      </w:r>
      <w:r>
        <w:rPr>
          <w:rFonts w:ascii="Times New Roman" w:cs="Times New Roman" w:eastAsia="Times New Roman" w:hAnsi="Times New Roman"/>
          <w:sz w:val="13"/>
          <w:szCs w:val="13"/>
          <w:color w:val="auto"/>
        </w:rPr>
        <w:t>, up to Two Million One Hundred Sixty-Four Thousand Eighty and 00/100 Dollars ($2,164,080.00)) (the “</w:t>
      </w:r>
      <w:r>
        <w:rPr>
          <w:rFonts w:ascii="Times New Roman" w:cs="Times New Roman" w:eastAsia="Times New Roman" w:hAnsi="Times New Roman"/>
          <w:sz w:val="13"/>
          <w:szCs w:val="13"/>
          <w:b w:val="1"/>
          <w:bCs w:val="1"/>
          <w:color w:val="auto"/>
        </w:rPr>
        <w:t>Allowance</w:t>
      </w:r>
      <w:r>
        <w:rPr>
          <w:rFonts w:ascii="Times New Roman" w:cs="Times New Roman" w:eastAsia="Times New Roman" w:hAnsi="Times New Roman"/>
          <w:sz w:val="13"/>
          <w:szCs w:val="13"/>
          <w:color w:val="auto"/>
        </w:rPr>
        <w:t xml:space="preserve">”) for (i) the costs reasonably relating to the design and construction of the Tenant Improvements and (ii) the costs to purchase approximately one hundred ninety-four (194) mobile benches for the laboratory space of the Premises to be tagged by Landlord, at Landlord’s option; provided, however, that the final number shall be set forth on the commencement memorandum in the form of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attached hereto (the “Mobile Benches”). The cost of the design and construction of the Tenant Improvements shall include Landlord’s construction supervision and management fee in an amount equal to four percent (4%) of hard construction costs (scope of work to include coordination of architect, engineer, design/build subcontractors, general contractor, submittals for permits, construction and punch list) as a cost of the Tenant Improvements. Prior to the execution of this Lease, Landlord and Tenant have approved a preliminary budget for the Tenant Improvements, which is attached hereto as Schedule 2 (the “</w:t>
      </w:r>
      <w:r>
        <w:rPr>
          <w:rFonts w:ascii="Times New Roman" w:cs="Times New Roman" w:eastAsia="Times New Roman" w:hAnsi="Times New Roman"/>
          <w:sz w:val="13"/>
          <w:szCs w:val="13"/>
          <w:b w:val="1"/>
          <w:bCs w:val="1"/>
          <w:color w:val="auto"/>
        </w:rPr>
        <w:t>Initial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Budget</w:t>
      </w:r>
      <w:r>
        <w:rPr>
          <w:rFonts w:ascii="Times New Roman" w:cs="Times New Roman" w:eastAsia="Times New Roman" w:hAnsi="Times New Roman"/>
          <w:sz w:val="13"/>
          <w:szCs w:val="13"/>
          <w:color w:val="auto"/>
        </w:rPr>
        <w:t>”), which may be adjusted upon agreement of the parties to include all or any portion of the additional items and increased cost associated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items to construct the Tenant Improvements as set forth on Schedule 3 attached hereto (the “</w:t>
      </w:r>
      <w:r>
        <w:rPr>
          <w:rFonts w:ascii="Times New Roman" w:cs="Times New Roman" w:eastAsia="Times New Roman" w:hAnsi="Times New Roman"/>
          <w:sz w:val="13"/>
          <w:szCs w:val="13"/>
          <w:b w:val="1"/>
          <w:bCs w:val="1"/>
          <w:color w:val="auto"/>
        </w:rPr>
        <w:t>Budget Adjustments</w:t>
      </w:r>
      <w:r>
        <w:rPr>
          <w:rFonts w:ascii="Times New Roman" w:cs="Times New Roman" w:eastAsia="Times New Roman" w:hAnsi="Times New Roman"/>
          <w:sz w:val="13"/>
          <w:szCs w:val="13"/>
          <w:color w:val="auto"/>
        </w:rPr>
        <w:t>”). Tenant shall pay for all costs and fees of the Tenant Improvements in excess of the Allowance and Additional Allowance, if any, (“</w:t>
      </w:r>
      <w:r>
        <w:rPr>
          <w:rFonts w:ascii="Times New Roman" w:cs="Times New Roman" w:eastAsia="Times New Roman" w:hAnsi="Times New Roman"/>
          <w:sz w:val="13"/>
          <w:szCs w:val="13"/>
          <w:b w:val="1"/>
          <w:bCs w:val="1"/>
          <w:color w:val="auto"/>
        </w:rPr>
        <w:t>Over-Allowance Amount</w:t>
      </w:r>
      <w:r>
        <w:rPr>
          <w:rFonts w:ascii="Times New Roman" w:cs="Times New Roman" w:eastAsia="Times New Roman" w:hAnsi="Times New Roman"/>
          <w:sz w:val="13"/>
          <w:szCs w:val="13"/>
          <w:color w:val="auto"/>
        </w:rPr>
        <w:t>”), on a pari passu basis with Landlord as such costs become due, in the proportion of the Over-Allowance Amount payable by Tenant to the Allowance (and, if properly requested by Tenant pursuant to this Section 3, the Additional Allowance). Landlord shall disburse the Allowance and Additional Allowance, if</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B-2</w:t>
      </w:r>
    </w:p>
    <w:p>
      <w:pPr>
        <w:sectPr>
          <w:pgSz w:w="11900" w:h="16838" w:orient="portrait"/>
          <w:cols w:equalWidth="0" w:num="1">
            <w:col w:w="9019"/>
          </w:cols>
          <w:pgMar w:left="1440" w:top="241" w:right="1440" w:bottom="1440" w:gutter="0" w:footer="0" w:header="0"/>
        </w:sectPr>
      </w:pPr>
    </w:p>
    <w:bookmarkStart w:id="723" w:name="page724"/>
    <w:bookmarkEnd w:id="723"/>
    <w:p>
      <w:pPr>
        <w:ind w:left="220" w:right="2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directly to the applicable design professional, contractor, materialman or other laborer in connection with the construction of the Tenant Improvements. In the event that Tenant requests any changes, change orders or modifications to the Final Space Plan (which Landlord approves pursuant to Section 1 above) which increase the cost to construct the Tenant Improvements above the Allowance (and, if properly requested by Tenant pursuant to this Section 3, the Additional Allowance) (“</w:t>
      </w:r>
      <w:r>
        <w:rPr>
          <w:rFonts w:ascii="Times New Roman" w:cs="Times New Roman" w:eastAsia="Times New Roman" w:hAnsi="Times New Roman"/>
          <w:sz w:val="14"/>
          <w:szCs w:val="14"/>
          <w:b w:val="1"/>
          <w:bCs w:val="1"/>
          <w:color w:val="auto"/>
        </w:rPr>
        <w:t>Change Orders</w:t>
      </w:r>
      <w:r>
        <w:rPr>
          <w:rFonts w:ascii="Times New Roman" w:cs="Times New Roman" w:eastAsia="Times New Roman" w:hAnsi="Times New Roman"/>
          <w:sz w:val="14"/>
          <w:szCs w:val="14"/>
          <w:color w:val="auto"/>
        </w:rPr>
        <w:t>”), such increased cost shall become part of the Over-Allowance Amount. If such Change Orders delay Landlord’s completion of the Tenant Improvements set forth on the Final Space Plan, then such delay shall constitute a “</w:t>
      </w:r>
      <w:r>
        <w:rPr>
          <w:rFonts w:ascii="Times New Roman" w:cs="Times New Roman" w:eastAsia="Times New Roman" w:hAnsi="Times New Roman"/>
          <w:sz w:val="14"/>
          <w:szCs w:val="14"/>
          <w:b w:val="1"/>
          <w:bCs w:val="1"/>
          <w:color w:val="auto"/>
        </w:rPr>
        <w:t>Tenant Delay</w:t>
      </w:r>
      <w:r>
        <w:rPr>
          <w:rFonts w:ascii="Times New Roman" w:cs="Times New Roman" w:eastAsia="Times New Roman" w:hAnsi="Times New Roman"/>
          <w:sz w:val="14"/>
          <w:szCs w:val="14"/>
          <w:color w:val="auto"/>
        </w:rPr>
        <w:t>”. Except with respect to the Mobile Benches, in no event shall Landlord be obligated to pay for any of Tenant’s furniture, computer systems, telephone systems, equipment or other personal property which may be depicted on the Construction Drawings; such items shall be paid for by Tenant. Tenant shall not be entitled to receive in cash or as a credit against any rental or otherwise, any portion of the Allowance not used to pay for the cost of the design and construction of the Tenant Improvements. If any portion of the Allowance or Additional Allowance, if any, is not used by Tenant within twelve (12) months following the Commencement Date, such portion shall be deemed waived with no further obligation by Landlord with respect thereto. In no event shall Landlord be obligated to make disbursements pursuant to this Work Letter in a total amount that exceeds the Allowance and the Additional Allowance, if any, and in no event shall Tenant be entitled to any excess, credit, deduction or offset against Rent for any unused portion of the Allowance or Additional Allowance.</w:t>
      </w:r>
    </w:p>
    <w:p>
      <w:pPr>
        <w:spacing w:after="0" w:line="153" w:lineRule="exact"/>
        <w:rPr>
          <w:sz w:val="20"/>
          <w:szCs w:val="20"/>
          <w:color w:val="auto"/>
        </w:rPr>
      </w:pPr>
    </w:p>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t>Tenant shall have the option of increasing the Allowance up to an additional $5.00 per rentable square foot of the Premises (i.e., up to an additional One Hundred Eighty Thousand Three Hundred Forty and 00/100 Dollars ($180,340.00)) (the “</w:t>
      </w:r>
      <w:r>
        <w:rPr>
          <w:rFonts w:ascii="Times New Roman" w:cs="Times New Roman" w:eastAsia="Times New Roman" w:hAnsi="Times New Roman"/>
          <w:sz w:val="14"/>
          <w:szCs w:val="14"/>
          <w:b w:val="1"/>
          <w:bCs w:val="1"/>
          <w:color w:val="auto"/>
        </w:rPr>
        <w:t>Additional Allowance</w:t>
      </w:r>
      <w:r>
        <w:rPr>
          <w:rFonts w:ascii="Times New Roman" w:cs="Times New Roman" w:eastAsia="Times New Roman" w:hAnsi="Times New Roman"/>
          <w:sz w:val="14"/>
          <w:szCs w:val="14"/>
          <w:color w:val="auto"/>
        </w:rPr>
        <w:t>”) for the costs reasonably relating to the design and construction of the Tenant Improvements, upon written notice to Landlord prior to the Commencement Date. Any portion of the Additional Allowance used shall be amortized into the Monthly Base Rent at eight percent (8%) per annum over the Term commencing on the Commencement Date and shall be memorialized through an amendment to this Lease.</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SECTION 4</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READY FOR OCCUPANCY; SUBSTANTIAL COMPLETION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OF THE TENANT IMPROVEMENTS</w:t>
      </w:r>
    </w:p>
    <w:p>
      <w:pPr>
        <w:spacing w:after="0" w:line="175" w:lineRule="exact"/>
        <w:rPr>
          <w:sz w:val="20"/>
          <w:szCs w:val="20"/>
          <w:color w:val="auto"/>
        </w:rPr>
      </w:pPr>
    </w:p>
    <w:p>
      <w:pPr>
        <w:ind w:left="220" w:right="259" w:firstLine="34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b w:val="1"/>
          <w:bCs w:val="1"/>
          <w:u w:val="single" w:color="auto"/>
          <w:color w:val="auto"/>
        </w:rPr>
        <w:t>Ready for Occupancy; Substantial Completion</w:t>
      </w:r>
      <w:r>
        <w:rPr>
          <w:rFonts w:ascii="Times New Roman" w:cs="Times New Roman" w:eastAsia="Times New Roman" w:hAnsi="Times New Roman"/>
          <w:sz w:val="14"/>
          <w:szCs w:val="14"/>
          <w:color w:val="auto"/>
        </w:rPr>
        <w:t>. For purposes of this Lease, including for purposes of determining the Commencement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set forth in the Basic Lease Information), the Premises shall be ready for occupancy upon Substantial Completion of the Premises. For purposes of this Lease, “Substantial Completion” of the Premises shall occur upon the completion of construction of the Tenant Improvements in the Premises pursuant to the Approved Working Drawings and the final sign-off by the applicable authorities that allows the Premises to be occupied, with the exception of any punch list items and any tenant fixtures, work-stations, built-in furniture, or equipment to be installed by Tenant or under the supervision of Contractor.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B-3</w:t>
      </w:r>
    </w:p>
    <w:p>
      <w:pPr>
        <w:sectPr>
          <w:pgSz w:w="11900" w:h="16838" w:orient="portrait"/>
          <w:cols w:equalWidth="0" w:num="1">
            <w:col w:w="9019"/>
          </w:cols>
          <w:pgMar w:left="1440" w:top="241" w:right="1440" w:bottom="1440" w:gutter="0" w:footer="0" w:header="0"/>
        </w:sectPr>
      </w:pPr>
    </w:p>
    <w:bookmarkStart w:id="724" w:name="page725"/>
    <w:bookmarkEnd w:id="72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4.2 </w:t>
      </w:r>
      <w:r>
        <w:rPr>
          <w:rFonts w:ascii="Times New Roman" w:cs="Times New Roman" w:eastAsia="Times New Roman" w:hAnsi="Times New Roman"/>
          <w:sz w:val="14"/>
          <w:szCs w:val="14"/>
          <w:b w:val="1"/>
          <w:bCs w:val="1"/>
          <w:u w:val="single" w:color="auto"/>
          <w:color w:val="auto"/>
        </w:rPr>
        <w:t>Delay of the Substantial Completion of the Premises</w:t>
      </w:r>
      <w:r>
        <w:rPr>
          <w:rFonts w:ascii="Times New Roman" w:cs="Times New Roman" w:eastAsia="Times New Roman" w:hAnsi="Times New Roman"/>
          <w:sz w:val="14"/>
          <w:szCs w:val="14"/>
          <w:color w:val="auto"/>
        </w:rPr>
        <w:t>. If there shall be a delay or there are delays in the Substantial Completion of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Premises as a direct, indirect, partial, or total result of any of the following (collectively, “Tenant Delays”):</w:t>
      </w:r>
    </w:p>
    <w:p>
      <w:pPr>
        <w:spacing w:after="0" w:line="158" w:lineRule="exact"/>
        <w:rPr>
          <w:sz w:val="20"/>
          <w:szCs w:val="20"/>
          <w:color w:val="auto"/>
        </w:rPr>
      </w:pPr>
    </w:p>
    <w:p>
      <w:pPr>
        <w:ind w:left="220" w:right="339" w:firstLine="771"/>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4.2.1 </w:t>
      </w:r>
      <w:r>
        <w:rPr>
          <w:rFonts w:ascii="Times New Roman" w:cs="Times New Roman" w:eastAsia="Times New Roman" w:hAnsi="Times New Roman"/>
          <w:sz w:val="14"/>
          <w:szCs w:val="14"/>
          <w:color w:val="auto"/>
        </w:rPr>
        <w:t>Tenant’s failure to timely respond to requests for approval of the Working Drawings or any other matter requiring Tenant’s approval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action and this Work Letter does not deem approval given for such failure to respond;</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 xml:space="preserve">4.2.2 </w:t>
      </w:r>
      <w:r>
        <w:rPr>
          <w:rFonts w:ascii="Times New Roman" w:cs="Times New Roman" w:eastAsia="Times New Roman" w:hAnsi="Times New Roman"/>
          <w:sz w:val="14"/>
          <w:szCs w:val="14"/>
          <w:color w:val="auto"/>
        </w:rPr>
        <w:t>a breach by Tenant of the terms of this Work Letter or the Lease;</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 xml:space="preserve">4.2.3 </w:t>
      </w:r>
      <w:r>
        <w:rPr>
          <w:rFonts w:ascii="Times New Roman" w:cs="Times New Roman" w:eastAsia="Times New Roman" w:hAnsi="Times New Roman"/>
          <w:sz w:val="14"/>
          <w:szCs w:val="14"/>
          <w:color w:val="auto"/>
        </w:rPr>
        <w:t>Tenant’s request for changes in any of the Construction Drawings and/or any Change Orders;</w:t>
      </w:r>
    </w:p>
    <w:p>
      <w:pPr>
        <w:spacing w:after="0" w:line="175" w:lineRule="exact"/>
        <w:rPr>
          <w:sz w:val="20"/>
          <w:szCs w:val="20"/>
          <w:color w:val="auto"/>
        </w:rPr>
      </w:pPr>
    </w:p>
    <w:p>
      <w:pPr>
        <w:ind w:left="220" w:right="539" w:firstLine="771"/>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4.2.4 </w:t>
      </w:r>
      <w:r>
        <w:rPr>
          <w:rFonts w:ascii="Times New Roman" w:cs="Times New Roman" w:eastAsia="Times New Roman" w:hAnsi="Times New Roman"/>
          <w:sz w:val="14"/>
          <w:szCs w:val="14"/>
          <w:color w:val="auto"/>
        </w:rPr>
        <w:t>Tenant’s requirement for materials, components, finishes or improvements which are not available in a commercially reasonable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provided that promptly after Landlord learns of such long lead times, Landlord informs Tenant that such materials, components, finishes or improvements will not be available in a commercially reasonable time;</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 xml:space="preserve">4.2.5 </w:t>
      </w:r>
      <w:r>
        <w:rPr>
          <w:rFonts w:ascii="Times New Roman" w:cs="Times New Roman" w:eastAsia="Times New Roman" w:hAnsi="Times New Roman"/>
          <w:sz w:val="14"/>
          <w:szCs w:val="14"/>
          <w:color w:val="auto"/>
        </w:rPr>
        <w:t>Tenant’s delay in making payments for Over-Allowance Amount as required in Section 3 above; or</w:t>
      </w:r>
    </w:p>
    <w:p>
      <w:pPr>
        <w:spacing w:after="0" w:line="175" w:lineRule="exact"/>
        <w:rPr>
          <w:sz w:val="20"/>
          <w:szCs w:val="20"/>
          <w:color w:val="auto"/>
        </w:rPr>
      </w:pPr>
    </w:p>
    <w:p>
      <w:pPr>
        <w:ind w:left="220" w:right="379" w:firstLine="771"/>
        <w:spacing w:after="0" w:line="325" w:lineRule="auto"/>
        <w:rPr>
          <w:sz w:val="20"/>
          <w:szCs w:val="20"/>
          <w:color w:val="auto"/>
        </w:rPr>
      </w:pPr>
      <w:r>
        <w:rPr>
          <w:rFonts w:ascii="Times New Roman" w:cs="Times New Roman" w:eastAsia="Times New Roman" w:hAnsi="Times New Roman"/>
          <w:sz w:val="13"/>
          <w:szCs w:val="13"/>
          <w:b w:val="1"/>
          <w:bCs w:val="1"/>
          <w:color w:val="auto"/>
        </w:rPr>
        <w:t xml:space="preserve">4.2.6 </w:t>
      </w:r>
      <w:r>
        <w:rPr>
          <w:rFonts w:ascii="Times New Roman" w:cs="Times New Roman" w:eastAsia="Times New Roman" w:hAnsi="Times New Roman"/>
          <w:sz w:val="13"/>
          <w:szCs w:val="13"/>
          <w:color w:val="auto"/>
        </w:rPr>
        <w:t>Any other act or omission by Tenant, or its contractor, consultants, agents, or employees, or persons employed by any such persons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results in a delay of Substantial Completion and that continues for more than two (2) business days after Landlord’s written notice to Tenant.</w:t>
      </w:r>
    </w:p>
    <w:p>
      <w:pPr>
        <w:spacing w:after="0" w:line="101" w:lineRule="exact"/>
        <w:rPr>
          <w:sz w:val="20"/>
          <w:szCs w:val="20"/>
          <w:color w:val="auto"/>
        </w:rPr>
      </w:pPr>
    </w:p>
    <w:p>
      <w:pPr>
        <w:ind w:left="220" w:right="239"/>
        <w:spacing w:after="0" w:line="256" w:lineRule="auto"/>
        <w:rPr>
          <w:sz w:val="20"/>
          <w:szCs w:val="20"/>
          <w:color w:val="auto"/>
        </w:rPr>
      </w:pPr>
      <w:r>
        <w:rPr>
          <w:rFonts w:ascii="Times New Roman" w:cs="Times New Roman" w:eastAsia="Times New Roman" w:hAnsi="Times New Roman"/>
          <w:sz w:val="14"/>
          <w:szCs w:val="14"/>
          <w:color w:val="auto"/>
        </w:rPr>
        <w:t>then, notwithstanding anything to the contrary set forth in the Lease and regardless of the actual date of Substantial Completion, the Commencement Date (as set forth in the Basic Lease Information) shall be deemed to be the date the Lease Commencement Date would have occurred if no Tenant Delay or Delays, as set forth above, had occurred. Notwithstanding anything the contrary, any event of Force Majeure (as defined in Section 31.18 of the Lease) shall not be a Tenant Delay. In no event shall lack of profitability, inability to obtain financing, or lack or insufficiency of funds be a basis for Force Majeure, and no failure to pay the Over-Allowance Amount or other amounts when due shall be excused nor the time for payment extended because of Force Majeure.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SECTION 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5" w:lineRule="exact"/>
        <w:rPr>
          <w:sz w:val="20"/>
          <w:szCs w:val="20"/>
          <w:color w:val="auto"/>
        </w:rPr>
      </w:pPr>
    </w:p>
    <w:p>
      <w:pPr>
        <w:ind w:left="220" w:right="53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5.1 </w:t>
      </w:r>
      <w:r>
        <w:rPr>
          <w:rFonts w:ascii="Times New Roman" w:cs="Times New Roman" w:eastAsia="Times New Roman" w:hAnsi="Times New Roman"/>
          <w:sz w:val="14"/>
          <w:szCs w:val="14"/>
          <w:b w:val="1"/>
          <w:bCs w:val="1"/>
          <w:u w:val="single" w:color="auto"/>
          <w:color w:val="auto"/>
        </w:rPr>
        <w:t>Tenant’s Representative</w:t>
      </w:r>
      <w:r>
        <w:rPr>
          <w:rFonts w:ascii="Times New Roman" w:cs="Times New Roman" w:eastAsia="Times New Roman" w:hAnsi="Times New Roman"/>
          <w:sz w:val="14"/>
          <w:szCs w:val="14"/>
          <w:color w:val="auto"/>
        </w:rPr>
        <w:t>. Tenant has designated Oguzhan Atay as its sole representative with respect to the matters set forth in this Work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Letter, who shall have full authority and responsibility to act on behalf of the Tenant as required in this Work Letter.</w:t>
      </w:r>
    </w:p>
    <w:p>
      <w:pPr>
        <w:spacing w:after="0" w:line="121" w:lineRule="exact"/>
        <w:rPr>
          <w:sz w:val="20"/>
          <w:szCs w:val="20"/>
          <w:color w:val="auto"/>
        </w:rPr>
      </w:pPr>
    </w:p>
    <w:p>
      <w:pPr>
        <w:ind w:left="220" w:right="43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5.2 </w:t>
      </w:r>
      <w:r>
        <w:rPr>
          <w:rFonts w:ascii="Times New Roman" w:cs="Times New Roman" w:eastAsia="Times New Roman" w:hAnsi="Times New Roman"/>
          <w:sz w:val="14"/>
          <w:szCs w:val="14"/>
          <w:b w:val="1"/>
          <w:bCs w:val="1"/>
          <w:u w:val="single" w:color="auto"/>
          <w:color w:val="auto"/>
        </w:rPr>
        <w:t>Landlord’s Representative</w:t>
      </w:r>
      <w:r>
        <w:rPr>
          <w:rFonts w:ascii="Times New Roman" w:cs="Times New Roman" w:eastAsia="Times New Roman" w:hAnsi="Times New Roman"/>
          <w:sz w:val="14"/>
          <w:szCs w:val="14"/>
          <w:color w:val="auto"/>
        </w:rPr>
        <w:t>. Landlord has designated Ron Krietemeyer as its sole representative with respect to the matters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Work Letter, who, until further notice to Tenant, shall have full authority and responsibility to act on behalf of the Landlord as required in this Work Letter.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B-4</w:t>
      </w:r>
    </w:p>
    <w:p>
      <w:pPr>
        <w:sectPr>
          <w:pgSz w:w="11900" w:h="16838" w:orient="portrait"/>
          <w:cols w:equalWidth="0" w:num="1">
            <w:col w:w="9019"/>
          </w:cols>
          <w:pgMar w:left="1440" w:top="238" w:right="1440" w:bottom="1440" w:gutter="0" w:footer="0" w:header="0"/>
        </w:sectPr>
      </w:pPr>
    </w:p>
    <w:bookmarkStart w:id="725" w:name="page726"/>
    <w:bookmarkEnd w:id="725"/>
    <w:p>
      <w:pPr>
        <w:ind w:left="220" w:right="27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5.3 </w:t>
      </w:r>
      <w:r>
        <w:rPr>
          <w:rFonts w:ascii="Times New Roman" w:cs="Times New Roman" w:eastAsia="Times New Roman" w:hAnsi="Times New Roman"/>
          <w:sz w:val="14"/>
          <w:szCs w:val="14"/>
          <w:b w:val="1"/>
          <w:bCs w:val="1"/>
          <w:u w:val="single" w:color="auto"/>
          <w:color w:val="auto"/>
        </w:rPr>
        <w:t>Time of the Essence in This Work Letter</w:t>
      </w:r>
      <w:r>
        <w:rPr>
          <w:rFonts w:ascii="Times New Roman" w:cs="Times New Roman" w:eastAsia="Times New Roman" w:hAnsi="Times New Roman"/>
          <w:sz w:val="14"/>
          <w:szCs w:val="14"/>
          <w:color w:val="auto"/>
        </w:rPr>
        <w:t>. Unless otherwise indicated, all references herein to a “number of days” shall mean and refer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days. In all instances where Tenant is required to approve or deliver an item, if no written notice of approval is given or the item is not delivered within the stated time period, at Landlord’s sole option, at the end of said period the item shall automatically be deemed approved or delivered by Tenant and the next succeeding time period shall commence.</w:t>
      </w:r>
    </w:p>
    <w:p>
      <w:pPr>
        <w:spacing w:after="0" w:line="136" w:lineRule="exact"/>
        <w:rPr>
          <w:sz w:val="20"/>
          <w:szCs w:val="20"/>
          <w:color w:val="auto"/>
        </w:rPr>
      </w:pPr>
    </w:p>
    <w:p>
      <w:pPr>
        <w:ind w:left="220" w:right="239" w:firstLine="342"/>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5.4 </w:t>
      </w:r>
      <w:r>
        <w:rPr>
          <w:rFonts w:ascii="Times New Roman" w:cs="Times New Roman" w:eastAsia="Times New Roman" w:hAnsi="Times New Roman"/>
          <w:sz w:val="14"/>
          <w:szCs w:val="14"/>
          <w:b w:val="1"/>
          <w:bCs w:val="1"/>
          <w:u w:val="single" w:color="auto"/>
          <w:color w:val="auto"/>
        </w:rPr>
        <w:t>Tenant’s Lease Default</w:t>
      </w:r>
      <w:r>
        <w:rPr>
          <w:rFonts w:ascii="Times New Roman" w:cs="Times New Roman" w:eastAsia="Times New Roman" w:hAnsi="Times New Roman"/>
          <w:sz w:val="14"/>
          <w:szCs w:val="14"/>
          <w:color w:val="auto"/>
        </w:rPr>
        <w:t>. Notwithstanding any provision to the contrary contained in the Lease, if an event of default by Tenant as described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20 of the Lease or any default by Tenant under this Work Letter has occurred at any time on or before the Substantial Completion of the Premises, then (i) in addition to all other rights and remedies granted to Landlord pursuant to the Lease, at law or in equity, Landlord shall have the right to withhold payment of all or any portion of the Allowance, the Additional Allowance, if any, and/or Landlord may cause Contractor to cease the construction of the Premises (in which case, Tenant shall be responsible for any delay in the Substantial Completion of the Premises caused by such work stoppage), and (ii) all other obligations of Landlord under the terms of this Work Letter shall be forgiven, until such time as such default is cured pursuant to the terms of the Lease (in which case, Tenant shall be responsible for any delay in Substantial Completion of the Premises caused by such inaction by Landlord). In addition, if the Lease is terminated prior to the Lease Commencement Date, due to a default by Tenant as described in Section 20 of the Lease or under this Work Letter, in addition to any other remedies available to Landlord under the Lease, at law and/or in equity, Tenant shall pay to Landlord, as Additional Rent under the Lease, within five (5) days of receipt of a statement therefor, any and all costs incurred by Landlord (including any portion of the Allowance and Additional Allowance, if any,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B-5</w:t>
      </w:r>
    </w:p>
    <w:p>
      <w:pPr>
        <w:sectPr>
          <w:pgSz w:w="11900" w:h="16838" w:orient="portrait"/>
          <w:cols w:equalWidth="0" w:num="1">
            <w:col w:w="9019"/>
          </w:cols>
          <w:pgMar w:left="1440" w:top="239" w:right="1440" w:bottom="1440" w:gutter="0" w:footer="0" w:header="0"/>
        </w:sectPr>
      </w:pPr>
    </w:p>
    <w:bookmarkStart w:id="726" w:name="page727"/>
    <w:bookmarkEnd w:id="72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SPACE PLANS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1</w:t>
      </w:r>
    </w:p>
    <w:p>
      <w:pPr>
        <w:sectPr>
          <w:pgSz w:w="11900" w:h="16838" w:orient="portrait"/>
          <w:cols w:equalWidth="0" w:num="1">
            <w:col w:w="9019"/>
          </w:cols>
          <w:pgMar w:left="1440" w:top="239" w:right="1440" w:bottom="1440" w:gutter="0" w:footer="0" w:header="0"/>
        </w:sectPr>
      </w:pPr>
    </w:p>
    <w:bookmarkStart w:id="727" w:name="page728"/>
    <w:bookmarkEnd w:id="72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INITIAL BUDGET</w:t>
      </w:r>
    </w:p>
    <w:p>
      <w:pPr>
        <w:sectPr>
          <w:pgSz w:w="11900" w:h="16838" w:orient="portrait"/>
          <w:cols w:equalWidth="0" w:num="1">
            <w:col w:w="9019"/>
          </w:cols>
          <w:pgMar w:left="1440" w:top="239" w:right="1440" w:bottom="1440" w:gutter="0" w:footer="0" w:header="0"/>
        </w:sectPr>
      </w:pPr>
    </w:p>
    <w:bookmarkStart w:id="728" w:name="page729"/>
    <w:bookmarkEnd w:id="72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BUDGET ADJUSTMENTS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3</w:t>
      </w:r>
    </w:p>
    <w:p>
      <w:pPr>
        <w:sectPr>
          <w:pgSz w:w="11900" w:h="16838" w:orient="portrait"/>
          <w:cols w:equalWidth="0" w:num="1">
            <w:col w:w="9019"/>
          </w:cols>
          <w:pgMar w:left="1440" w:top="238" w:right="1440" w:bottom="1440" w:gutter="0" w:footer="0" w:header="0"/>
        </w:sectPr>
      </w:pPr>
    </w:p>
    <w:bookmarkStart w:id="729" w:name="page730"/>
    <w:bookmarkEnd w:id="72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HAZARDOUS MATERIALS DISCLOSURE CERTIFICATE EXAMPLE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C-1</w:t>
      </w:r>
    </w:p>
    <w:p>
      <w:pPr>
        <w:sectPr>
          <w:pgSz w:w="11900" w:h="16838" w:orient="portrait"/>
          <w:cols w:equalWidth="0" w:num="1">
            <w:col w:w="9019"/>
          </w:cols>
          <w:pgMar w:left="1440" w:top="240" w:right="1440" w:bottom="1440" w:gutter="0" w:footer="0" w:header="0"/>
        </w:sectPr>
      </w:pPr>
    </w:p>
    <w:bookmarkStart w:id="730" w:name="page731"/>
    <w:bookmarkEnd w:id="73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CHANGE OF COMMENCEMENT DATE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D-1</w:t>
      </w:r>
    </w:p>
    <w:p>
      <w:pPr>
        <w:sectPr>
          <w:pgSz w:w="11900" w:h="16838" w:orient="portrait"/>
          <w:cols w:equalWidth="0" w:num="1">
            <w:col w:w="9019"/>
          </w:cols>
          <w:pgMar w:left="1440" w:top="239" w:right="1440" w:bottom="1440" w:gutter="0" w:footer="0" w:header="0"/>
        </w:sectPr>
      </w:pPr>
    </w:p>
    <w:bookmarkStart w:id="731" w:name="page732"/>
    <w:bookmarkEnd w:id="73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TENANT’S HAZARDOUS MATERIALS DISCLOSURE CERTIFICATE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E-1</w:t>
      </w:r>
    </w:p>
    <w:p>
      <w:pPr>
        <w:sectPr>
          <w:pgSz w:w="11900" w:h="16838" w:orient="portrait"/>
          <w:cols w:equalWidth="0" w:num="1">
            <w:col w:w="9019"/>
          </w:cols>
          <w:pgMar w:left="1440" w:top="239" w:right="1440" w:bottom="1440" w:gutter="0" w:footer="0" w:header="0"/>
        </w:sectPr>
      </w:pPr>
    </w:p>
    <w:bookmarkStart w:id="732" w:name="page733"/>
    <w:bookmarkEnd w:id="732"/>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FIRST AMENDMENT TO LEASE</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1035 O’Brien Drive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Menlo Park, California 94025</w:t>
      </w:r>
    </w:p>
    <w:p>
      <w:pPr>
        <w:spacing w:after="0" w:line="158" w:lineRule="exact"/>
        <w:rPr>
          <w:sz w:val="20"/>
          <w:szCs w:val="20"/>
          <w:color w:val="auto"/>
        </w:rPr>
      </w:pPr>
    </w:p>
    <w:p>
      <w:pPr>
        <w:ind w:left="220" w:right="359" w:firstLine="342"/>
        <w:spacing w:after="0" w:line="325" w:lineRule="auto"/>
        <w:rPr>
          <w:sz w:val="20"/>
          <w:szCs w:val="20"/>
          <w:color w:val="auto"/>
        </w:rPr>
      </w:pPr>
      <w:r>
        <w:rPr>
          <w:rFonts w:ascii="Times New Roman" w:cs="Times New Roman" w:eastAsia="Times New Roman" w:hAnsi="Times New Roman"/>
          <w:sz w:val="13"/>
          <w:szCs w:val="13"/>
          <w:color w:val="auto"/>
        </w:rPr>
        <w:t>THIS FIRST AMENDMENT TO LEASE (this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made as of August 7, 2021 (the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by and between O’BRIEN DRIVE PORTFOLIO, LLC, a Delaware limited liability Company (“</w:t>
      </w:r>
      <w:r>
        <w:rPr>
          <w:rFonts w:ascii="Times New Roman" w:cs="Times New Roman" w:eastAsia="Times New Roman" w:hAnsi="Times New Roman"/>
          <w:sz w:val="13"/>
          <w:szCs w:val="13"/>
          <w:b w:val="1"/>
          <w:bCs w:val="1"/>
          <w:color w:val="auto"/>
        </w:rPr>
        <w:t>Landlord</w:t>
      </w:r>
      <w:r>
        <w:rPr>
          <w:rFonts w:ascii="Times New Roman" w:cs="Times New Roman" w:eastAsia="Times New Roman" w:hAnsi="Times New Roman"/>
          <w:sz w:val="13"/>
          <w:szCs w:val="13"/>
          <w:color w:val="auto"/>
        </w:rPr>
        <w:t>”), and BillionToOne, Inc., a Delaware corporation (“</w:t>
      </w:r>
      <w:r>
        <w:rPr>
          <w:rFonts w:ascii="Times New Roman" w:cs="Times New Roman" w:eastAsia="Times New Roman" w:hAnsi="Times New Roman"/>
          <w:sz w:val="13"/>
          <w:szCs w:val="13"/>
          <w:b w:val="1"/>
          <w:bCs w:val="1"/>
          <w:color w:val="auto"/>
        </w:rPr>
        <w:t>Tenant</w:t>
      </w:r>
      <w:r>
        <w:rPr>
          <w:rFonts w:ascii="Times New Roman" w:cs="Times New Roman" w:eastAsia="Times New Roman" w:hAnsi="Times New Roman"/>
          <w:sz w:val="13"/>
          <w:szCs w:val="13"/>
          <w:color w:val="auto"/>
        </w:rPr>
        <w: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RECITALS</w:t>
      </w:r>
    </w:p>
    <w:p>
      <w:pPr>
        <w:spacing w:after="0" w:line="173" w:lineRule="exact"/>
        <w:rPr>
          <w:sz w:val="20"/>
          <w:szCs w:val="20"/>
          <w:color w:val="auto"/>
        </w:rPr>
      </w:pPr>
    </w:p>
    <w:p>
      <w:pPr>
        <w:ind w:left="220" w:right="259" w:firstLine="342"/>
        <w:spacing w:after="0" w:line="285" w:lineRule="auto"/>
        <w:rPr>
          <w:sz w:val="20"/>
          <w:szCs w:val="20"/>
          <w:color w:val="auto"/>
        </w:rPr>
      </w:pPr>
      <w:r>
        <w:rPr>
          <w:rFonts w:ascii="Times New Roman" w:cs="Times New Roman" w:eastAsia="Times New Roman" w:hAnsi="Times New Roman"/>
          <w:sz w:val="14"/>
          <w:szCs w:val="14"/>
          <w:color w:val="auto"/>
        </w:rPr>
        <w:t>WHEREAS, Landlord and Tenant are parties to that Certain Lease Agreement dated May 21, 2021 (the “</w:t>
      </w: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 with respect to Certain premises identified in the Lease 1035 O’Brien Drive, Menlo Park, California 94025 (the “</w:t>
      </w:r>
      <w:r>
        <w:rPr>
          <w:rFonts w:ascii="Times New Roman" w:cs="Times New Roman" w:eastAsia="Times New Roman" w:hAnsi="Times New Roman"/>
          <w:sz w:val="14"/>
          <w:szCs w:val="14"/>
          <w:b w:val="1"/>
          <w:bCs w:val="1"/>
          <w:color w:val="auto"/>
        </w:rPr>
        <w:t>Premises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Landlord and Tenant desire to amend the Lease on the terms set forth herein, all as more particularly set forth herein.</w:t>
      </w:r>
    </w:p>
    <w:p>
      <w:pPr>
        <w:spacing w:after="0" w:line="175" w:lineRule="exact"/>
        <w:rPr>
          <w:sz w:val="20"/>
          <w:szCs w:val="20"/>
          <w:color w:val="auto"/>
        </w:rPr>
      </w:pPr>
    </w:p>
    <w:p>
      <w:pPr>
        <w:ind w:left="220" w:right="479" w:firstLine="34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mutual Covenants herein Contained, and other good and valuable Consideration, the receipt and sufficiency of which are hereby acknowledged, Landlord and Tenant agree as follows:</w:t>
      </w:r>
    </w:p>
    <w:p>
      <w:pPr>
        <w:spacing w:after="0" w:line="41" w:lineRule="exact"/>
        <w:rPr>
          <w:sz w:val="20"/>
          <w:szCs w:val="20"/>
          <w:color w:val="auto"/>
        </w:rPr>
      </w:pPr>
    </w:p>
    <w:p>
      <w:pPr>
        <w:ind w:left="220" w:right="339" w:firstLine="345"/>
        <w:spacing w:after="0" w:line="282" w:lineRule="auto"/>
        <w:tabs>
          <w:tab w:leader="none" w:pos="702"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Capitalized terms defined in the Lease which are used in this Amendment shall have the same meaning as in the Lease, except as otherwise provided in this Amendment.</w:t>
      </w:r>
    </w:p>
    <w:p>
      <w:pPr>
        <w:spacing w:after="0" w:line="41" w:lineRule="exact"/>
        <w:rPr>
          <w:rFonts w:ascii="Times New Roman" w:cs="Times New Roman" w:eastAsia="Times New Roman" w:hAnsi="Times New Roman"/>
          <w:sz w:val="14"/>
          <w:szCs w:val="14"/>
          <w:color w:val="auto"/>
        </w:rPr>
      </w:pPr>
    </w:p>
    <w:p>
      <w:pPr>
        <w:ind w:left="220" w:right="379" w:firstLine="345"/>
        <w:spacing w:after="0" w:line="261" w:lineRule="auto"/>
        <w:tabs>
          <w:tab w:leader="none" w:pos="702"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Allowance</w:t>
      </w:r>
      <w:r>
        <w:rPr>
          <w:rFonts w:ascii="Times New Roman" w:cs="Times New Roman" w:eastAsia="Times New Roman" w:hAnsi="Times New Roman"/>
          <w:sz w:val="14"/>
          <w:szCs w:val="14"/>
          <w:color w:val="auto"/>
        </w:rPr>
        <w:t>. Tenant has exercised its option to increase the Allowance for an additional One Hundred Twenty-Two Thousand Eight Hundred Eighteen and 13/100 Dollars ($122,818.13)) (the “</w:t>
      </w:r>
      <w:r>
        <w:rPr>
          <w:rFonts w:ascii="Times New Roman" w:cs="Times New Roman" w:eastAsia="Times New Roman" w:hAnsi="Times New Roman"/>
          <w:sz w:val="14"/>
          <w:szCs w:val="14"/>
          <w:b w:val="1"/>
          <w:bCs w:val="1"/>
          <w:color w:val="auto"/>
        </w:rPr>
        <w:t>Additional Allowance</w:t>
      </w:r>
      <w:r>
        <w:rPr>
          <w:rFonts w:ascii="Times New Roman" w:cs="Times New Roman" w:eastAsia="Times New Roman" w:hAnsi="Times New Roman"/>
          <w:sz w:val="14"/>
          <w:szCs w:val="14"/>
          <w:color w:val="auto"/>
        </w:rPr>
        <w:t>”) to be used for the Costs reasonably relating to the design and Construction of the Tenant Improvements. The Additional Allowance shall be disbursed in accordance with the terms and Conditions pertaining to the Allowance as set forth in the Lease.</w:t>
      </w:r>
    </w:p>
    <w:p>
      <w:pPr>
        <w:spacing w:after="0" w:line="55" w:lineRule="exact"/>
        <w:rPr>
          <w:rFonts w:ascii="Times New Roman" w:cs="Times New Roman" w:eastAsia="Times New Roman" w:hAnsi="Times New Roman"/>
          <w:sz w:val="14"/>
          <w:szCs w:val="14"/>
          <w:color w:val="auto"/>
        </w:rPr>
      </w:pPr>
    </w:p>
    <w:p>
      <w:pPr>
        <w:ind w:left="220" w:right="239" w:firstLine="345"/>
        <w:spacing w:after="0" w:line="261" w:lineRule="auto"/>
        <w:tabs>
          <w:tab w:leader="none" w:pos="702"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Rent</w:t>
      </w:r>
      <w:r>
        <w:rPr>
          <w:rFonts w:ascii="Times New Roman" w:cs="Times New Roman" w:eastAsia="Times New Roman" w:hAnsi="Times New Roman"/>
          <w:sz w:val="14"/>
          <w:szCs w:val="14"/>
          <w:color w:val="auto"/>
        </w:rPr>
        <w:t>. Pursuant to the terms of the Lease, the Additional Allowance shall be amortized into the Monthly Base Rent at eight percent (8%) per annum over the Term. Accordingly, effective as of July 1, 2021, the Monthly Base Rent shall be increased by an amount equal to One Thousand Five Hundred Twenty-Three and 77/100 Dollars ($1,523.77), and the Base Rent Chart set forth in the Basic Lease Information of the Lease is hereby revised and replaced with the following Base Rent Chart below:</w:t>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155"/>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1900" w:type="dxa"/>
            <w:vAlign w:val="bottom"/>
          </w:tcPr>
          <w:p>
            <w:pPr>
              <w:spacing w:after="0"/>
              <w:rPr>
                <w:sz w:val="13"/>
                <w:szCs w:val="13"/>
                <w:color w:val="auto"/>
              </w:rPr>
            </w:pPr>
          </w:p>
        </w:tc>
        <w:tc>
          <w:tcPr>
            <w:tcW w:w="2760" w:type="dxa"/>
            <w:vAlign w:val="bottom"/>
            <w:gridSpan w:val="3"/>
          </w:tcPr>
          <w:p>
            <w:pPr>
              <w:ind w:left="1820"/>
              <w:spacing w:after="0"/>
              <w:rPr>
                <w:sz w:val="20"/>
                <w:szCs w:val="20"/>
                <w:color w:val="auto"/>
              </w:rPr>
            </w:pPr>
            <w:r>
              <w:rPr>
                <w:rFonts w:ascii="Times New Roman" w:cs="Times New Roman" w:eastAsia="Times New Roman" w:hAnsi="Times New Roman"/>
                <w:sz w:val="11"/>
                <w:szCs w:val="11"/>
                <w:b w:val="1"/>
                <w:bCs w:val="1"/>
                <w:color w:val="auto"/>
              </w:rPr>
              <w:t>Monthly Base Rent</w:t>
            </w:r>
          </w:p>
        </w:tc>
        <w:tc>
          <w:tcPr>
            <w:tcW w:w="152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NNN Rent/PSF/month</w:t>
            </w:r>
          </w:p>
        </w:tc>
      </w:tr>
      <w:tr>
        <w:trPr>
          <w:trHeight w:val="149"/>
        </w:trPr>
        <w:tc>
          <w:tcPr>
            <w:tcW w:w="22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7/1/2021 - 2/21/2022</w:t>
            </w:r>
          </w:p>
        </w:tc>
        <w:tc>
          <w:tcPr>
            <w:tcW w:w="18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129,413.77</w:t>
            </w:r>
          </w:p>
        </w:tc>
        <w:tc>
          <w:tcPr>
            <w:tcW w:w="4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2/22/2022 - 8/21/2022</w:t>
            </w:r>
          </w:p>
        </w:tc>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168,179.77</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40" w:type="dxa"/>
            <w:vAlign w:val="bottom"/>
          </w:tcPr>
          <w:p>
            <w:pPr>
              <w:spacing w:after="0"/>
              <w:rPr>
                <w:sz w:val="14"/>
                <w:szCs w:val="14"/>
                <w:color w:val="auto"/>
              </w:rPr>
            </w:pPr>
          </w:p>
        </w:tc>
      </w:tr>
      <w:tr>
        <w:trPr>
          <w:trHeight w:val="16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8/22/2022 - 2/21/2023</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225,506.05</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40" w:type="dxa"/>
            <w:vAlign w:val="bottom"/>
            <w:shd w:val="clear" w:color="auto" w:fill="CCEEFF"/>
          </w:tcPr>
          <w:p>
            <w:pPr>
              <w:spacing w:after="0"/>
              <w:rPr>
                <w:sz w:val="14"/>
                <w:szCs w:val="14"/>
                <w:color w:val="auto"/>
              </w:rPr>
            </w:pP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2/22/2023 - 2/21/2024</w:t>
            </w:r>
          </w:p>
        </w:tc>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233,345.43</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40" w:type="dxa"/>
            <w:vAlign w:val="bottom"/>
          </w:tcPr>
          <w:p>
            <w:pPr>
              <w:spacing w:after="0"/>
              <w:rPr>
                <w:sz w:val="14"/>
                <w:szCs w:val="14"/>
                <w:color w:val="auto"/>
              </w:rPr>
            </w:pPr>
          </w:p>
        </w:tc>
      </w:tr>
      <w:tr>
        <w:trPr>
          <w:trHeight w:val="16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2/22/2024 - 2/21/2025</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241,459.19</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40" w:type="dxa"/>
            <w:vAlign w:val="bottom"/>
            <w:shd w:val="clear" w:color="auto" w:fill="CCEEFF"/>
          </w:tcPr>
          <w:p>
            <w:pPr>
              <w:spacing w:after="0"/>
              <w:rPr>
                <w:sz w:val="14"/>
                <w:szCs w:val="14"/>
                <w:color w:val="auto"/>
              </w:rPr>
            </w:pP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2/22/2025 - 2/21/2026</w:t>
            </w:r>
          </w:p>
        </w:tc>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249,856.93</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40" w:type="dxa"/>
            <w:vAlign w:val="bottom"/>
          </w:tcPr>
          <w:p>
            <w:pPr>
              <w:spacing w:after="0"/>
              <w:rPr>
                <w:sz w:val="14"/>
                <w:szCs w:val="14"/>
                <w:color w:val="auto"/>
              </w:rPr>
            </w:pPr>
          </w:p>
        </w:tc>
      </w:tr>
      <w:tr>
        <w:trPr>
          <w:trHeight w:val="16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2/22/2026 - 2/21/2027</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258,548.59</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shd w:val="clear" w:color="auto" w:fill="CCEEFF"/>
          </w:tcPr>
          <w:p>
            <w:pPr>
              <w:spacing w:after="0"/>
              <w:rPr>
                <w:sz w:val="14"/>
                <w:szCs w:val="14"/>
                <w:color w:val="auto"/>
              </w:rPr>
            </w:pP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2/22/2027 - 2/21/2028</w:t>
            </w:r>
          </w:p>
        </w:tc>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267,544.46</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40" w:type="dxa"/>
            <w:vAlign w:val="bottom"/>
          </w:tcPr>
          <w:p>
            <w:pPr>
              <w:spacing w:after="0"/>
              <w:rPr>
                <w:sz w:val="14"/>
                <w:szCs w:val="14"/>
                <w:color w:val="auto"/>
              </w:rPr>
            </w:pPr>
          </w:p>
        </w:tc>
      </w:tr>
      <w:tr>
        <w:trPr>
          <w:trHeight w:val="16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2/22/2028 - 2/21/2029</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276,855.18</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4"/>
                <w:szCs w:val="14"/>
                <w:color w:val="auto"/>
              </w:rPr>
            </w:pP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2/22/2029 - 2/21/2030</w:t>
            </w:r>
          </w:p>
        </w:tc>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286,491.78</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40" w:type="dxa"/>
            <w:vAlign w:val="bottom"/>
          </w:tcPr>
          <w:p>
            <w:pPr>
              <w:spacing w:after="0"/>
              <w:rPr>
                <w:sz w:val="14"/>
                <w:szCs w:val="14"/>
                <w:color w:val="auto"/>
              </w:rPr>
            </w:pPr>
          </w:p>
        </w:tc>
      </w:tr>
      <w:tr>
        <w:trPr>
          <w:trHeight w:val="16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2/22/2030 - 2/28/2031</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296,465.66</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40" w:type="dxa"/>
            <w:vAlign w:val="bottom"/>
            <w:shd w:val="clear" w:color="auto" w:fill="CCEEFF"/>
          </w:tcPr>
          <w:p>
            <w:pPr>
              <w:spacing w:after="0"/>
              <w:rPr>
                <w:sz w:val="14"/>
                <w:szCs w:val="14"/>
                <w:color w:val="auto"/>
              </w:rPr>
            </w:pPr>
          </w:p>
        </w:tc>
      </w:tr>
      <w:tr>
        <w:trPr>
          <w:trHeight w:val="283"/>
        </w:trPr>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733" w:name="page734"/>
    <w:bookmarkEnd w:id="733"/>
    <w:p>
      <w:pPr>
        <w:ind w:left="220" w:right="399" w:firstLine="345"/>
        <w:spacing w:after="0" w:line="258" w:lineRule="auto"/>
        <w:tabs>
          <w:tab w:leader="none" w:pos="702"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Mobile Benches</w:t>
      </w:r>
      <w:r>
        <w:rPr>
          <w:rFonts w:ascii="Times New Roman" w:cs="Times New Roman" w:eastAsia="Times New Roman" w:hAnsi="Times New Roman"/>
          <w:sz w:val="14"/>
          <w:szCs w:val="14"/>
          <w:color w:val="auto"/>
        </w:rPr>
        <w:t xml:space="preserve">. Pursuant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the Work Letter, Tenant was entitled to apply the Allowance toward the purchase of the Mobile Benches; however, Tenant elected not to purchase the Mobile Benches with the Allowance and paid directly for the Mobile Benches without reimbursement. Landlord acknowledges and agrees that the Mobile Benches were bought and paid for directly by Tenant without application of any Allowance funds. Landlord and Tenant hereby agree that the Mobile Benches (i) are and shall remain the personal property of Tenant, and (ii) shall be removed from the Premises by Tenant upon Tenant’s surrender of the Premises in accordance with the requirements of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of the Lease.</w:t>
      </w:r>
    </w:p>
    <w:p>
      <w:pPr>
        <w:spacing w:after="0" w:line="58" w:lineRule="exact"/>
        <w:rPr>
          <w:rFonts w:ascii="Times New Roman" w:cs="Times New Roman" w:eastAsia="Times New Roman" w:hAnsi="Times New Roman"/>
          <w:sz w:val="14"/>
          <w:szCs w:val="14"/>
          <w:color w:val="auto"/>
        </w:rPr>
      </w:pPr>
    </w:p>
    <w:p>
      <w:pPr>
        <w:ind w:left="220" w:right="359" w:firstLine="345"/>
        <w:spacing w:after="0" w:line="254" w:lineRule="auto"/>
        <w:tabs>
          <w:tab w:leader="none" w:pos="702"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Civil Code Section 1938 Disclosure</w:t>
      </w:r>
      <w:r>
        <w:rPr>
          <w:rFonts w:ascii="Times New Roman" w:cs="Times New Roman" w:eastAsia="Times New Roman" w:hAnsi="Times New Roman"/>
          <w:sz w:val="14"/>
          <w:szCs w:val="14"/>
          <w:color w:val="auto"/>
        </w:rPr>
        <w:t>. For purposes of Section 1938(a) of the California Civil Code, Landlord hereby discloses to Tenant, and Tenant hereby acknowledges, that neither the Building nor the Premises has undergone inspection by a Certified Access Specialist (CASp) (defined by California Civil Code Section 55.52). Pursuant to California Civil Code Section 1938, Tenant is hereby notified that a CASp can inspect the Premises and determine whether the Premises complies with all of the applicable construction-related accessibility standards under state law. Although state law does not require a CASp inspection of the Premises, Landlord may not prohibit Tenant from obtaining a CASp inspection of the Premises for the occupancy of the Tenant, if requested by Tenant. Landlord and Tenant shall mutually agree on the arrangements for the time and manner of any CASp inspection, the payment of the fee for the CASp inspection and the cost of making any repairs necessary to correct violations of construction-related accessibility standards within the Premises</w:t>
      </w:r>
    </w:p>
    <w:p>
      <w:pPr>
        <w:spacing w:after="0" w:line="64" w:lineRule="exact"/>
        <w:rPr>
          <w:rFonts w:ascii="Times New Roman" w:cs="Times New Roman" w:eastAsia="Times New Roman" w:hAnsi="Times New Roman"/>
          <w:sz w:val="14"/>
          <w:szCs w:val="14"/>
          <w:color w:val="auto"/>
        </w:rPr>
      </w:pPr>
    </w:p>
    <w:p>
      <w:pPr>
        <w:ind w:left="220" w:right="279" w:firstLine="345"/>
        <w:spacing w:after="0" w:line="256" w:lineRule="auto"/>
        <w:tabs>
          <w:tab w:leader="none" w:pos="702"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OFAC List Representation</w:t>
      </w:r>
      <w:r>
        <w:rPr>
          <w:rFonts w:ascii="Times New Roman" w:cs="Times New Roman" w:eastAsia="Times New Roman" w:hAnsi="Times New Roman"/>
          <w:sz w:val="14"/>
          <w:szCs w:val="14"/>
          <w:color w:val="auto"/>
        </w:rPr>
        <w:t>. Tenant hereby represents and warrants to Landlord that neither Tenant nor any of its officers, directors, shareholders, partners, members or affiliates is or will be an entity or person: (i) that is listed in the annex to, or is otherwise subject to the provisions of, Executive Order 13224 issued on September 24, 2001 (“</w:t>
      </w:r>
      <w:r>
        <w:rPr>
          <w:rFonts w:ascii="Times New Roman" w:cs="Times New Roman" w:eastAsia="Times New Roman" w:hAnsi="Times New Roman"/>
          <w:sz w:val="14"/>
          <w:szCs w:val="14"/>
          <w:b w:val="1"/>
          <w:bCs w:val="1"/>
          <w:color w:val="auto"/>
        </w:rPr>
        <w:t>EO 13224</w:t>
      </w:r>
      <w:r>
        <w:rPr>
          <w:rFonts w:ascii="Times New Roman" w:cs="Times New Roman" w:eastAsia="Times New Roman" w:hAnsi="Times New Roman"/>
          <w:sz w:val="14"/>
          <w:szCs w:val="14"/>
          <w:color w:val="auto"/>
        </w:rPr>
        <w:t>”); (ii) whose name appears on the United States Treasury Department’s Office of Foreign Assets Control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most current list of “Specifically Designated National and Blocked Persons” (which list may be published from time to time in various mediums including, but not limited to, the OFAC website, http:www.treas.gov/ofac/t11sdn.pdf); (iii) who commits, threatens to commit or supports “terrorism,” as that term is defined in EO 13224; or (iv) who is otherwise affiliated with any entity or person listed above.</w:t>
      </w:r>
    </w:p>
    <w:p>
      <w:pPr>
        <w:spacing w:after="0" w:line="60"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02"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Continuing Effect; Conflicts</w:t>
      </w:r>
      <w:r>
        <w:rPr>
          <w:rFonts w:ascii="Times New Roman" w:cs="Times New Roman" w:eastAsia="Times New Roman" w:hAnsi="Times New Roman"/>
          <w:sz w:val="14"/>
          <w:szCs w:val="14"/>
          <w:color w:val="auto"/>
        </w:rPr>
        <w:t>. All of the terms and conditions of the Lease shall remain in full force and effect, as the Lease is amended by this Amendment. If any provision of this Amendment conflicts with the Lease, the provisions of this Amendment shall control.</w:t>
      </w:r>
    </w:p>
    <w:p>
      <w:pPr>
        <w:spacing w:after="0" w:line="41" w:lineRule="exact"/>
        <w:rPr>
          <w:rFonts w:ascii="Times New Roman" w:cs="Times New Roman" w:eastAsia="Times New Roman" w:hAnsi="Times New Roman"/>
          <w:sz w:val="14"/>
          <w:szCs w:val="14"/>
          <w:color w:val="auto"/>
        </w:rPr>
      </w:pPr>
    </w:p>
    <w:p>
      <w:pPr>
        <w:jc w:val="both"/>
        <w:ind w:left="220" w:right="239" w:firstLine="345"/>
        <w:spacing w:after="0" w:line="266" w:lineRule="auto"/>
        <w:tabs>
          <w:tab w:leader="none" w:pos="702"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Warranty of Authority</w:t>
      </w:r>
      <w:r>
        <w:rPr>
          <w:rFonts w:ascii="Times New Roman" w:cs="Times New Roman" w:eastAsia="Times New Roman" w:hAnsi="Times New Roman"/>
          <w:sz w:val="14"/>
          <w:szCs w:val="14"/>
          <w:color w:val="auto"/>
        </w:rPr>
        <w:t>. Each party represents and warrants to the other that the person signing this Amendment is duly and validly authorized to do so on behalf of the entity it purports to so bind, and if such party is a limited liability company or a corporation, that such limited liability company or corporation has full right and authority to enter into this Amendment and to perform all of its obligations hereunder.</w:t>
      </w:r>
    </w:p>
    <w:p>
      <w:pPr>
        <w:spacing w:after="0" w:line="104" w:lineRule="exact"/>
        <w:rPr>
          <w:rFonts w:ascii="Times New Roman" w:cs="Times New Roman" w:eastAsia="Times New Roman" w:hAnsi="Times New Roman"/>
          <w:sz w:val="14"/>
          <w:szCs w:val="14"/>
          <w:color w:val="auto"/>
        </w:rPr>
      </w:pPr>
    </w:p>
    <w:p>
      <w:pPr>
        <w:ind w:left="320" w:right="459" w:firstLine="337"/>
        <w:spacing w:after="0" w:line="261" w:lineRule="auto"/>
        <w:tabs>
          <w:tab w:leader="none" w:pos="798" w:val="left"/>
        </w:tabs>
        <w:numPr>
          <w:ilvl w:val="1"/>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-464185</wp:posOffset>
            </wp:positionV>
            <wp:extent cx="5443220" cy="7054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5443220" cy="705485"/>
                    </a:xfrm>
                    <a:prstGeom prst="rect">
                      <a:avLst/>
                    </a:prstGeom>
                    <a:noFill/>
                  </pic:spPr>
                </pic:pic>
              </a:graphicData>
            </a:graphic>
          </wp:anchor>
        </w:drawing>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Tenant acknowledges and accepts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Tenant’s Initials </w:t>
      </w:r>
      <w:r>
        <w:rPr>
          <w:rFonts w:ascii="Times New Roman" w:cs="Times New Roman" w:eastAsia="Times New Roman" w:hAnsi="Times New Roman"/>
          <w:sz w:val="14"/>
          <w:szCs w:val="14"/>
          <w:u w:val="single" w:color="auto"/>
          <w:color w:val="auto"/>
        </w:rPr>
        <w:t>OA</w:t>
      </w:r>
      <w:r>
        <w:rPr>
          <w:rFonts w:ascii="Times New Roman" w:cs="Times New Roman" w:eastAsia="Times New Roman" w:hAnsi="Times New Roman"/>
          <w:sz w:val="14"/>
          <w:szCs w:val="14"/>
          <w:color w:val="auto"/>
        </w:rPr>
        <w:t>__/____</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734" w:name="page735"/>
    <w:bookmarkEnd w:id="734"/>
    <w:p>
      <w:pPr>
        <w:ind w:left="220" w:right="359" w:firstLine="345"/>
        <w:spacing w:after="0" w:line="282" w:lineRule="auto"/>
        <w:tabs>
          <w:tab w:leader="none" w:pos="772"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Effectiveness</w:t>
      </w:r>
      <w:r>
        <w:rPr>
          <w:rFonts w:ascii="Times New Roman" w:cs="Times New Roman" w:eastAsia="Times New Roman" w:hAnsi="Times New Roman"/>
          <w:sz w:val="14"/>
          <w:szCs w:val="14"/>
          <w:color w:val="auto"/>
        </w:rPr>
        <w:t>. No binding agreement between the parties pursuant hereto shall arise or become effective until this Amendment has been duly executed by both Tenant and Landlord and a fully executed copy of this Amendment has been delivered to both Tenant and Landlord.</w:t>
      </w:r>
    </w:p>
    <w:p>
      <w:pPr>
        <w:spacing w:after="0" w:line="93" w:lineRule="exact"/>
        <w:rPr>
          <w:rFonts w:ascii="Times New Roman" w:cs="Times New Roman" w:eastAsia="Times New Roman" w:hAnsi="Times New Roman"/>
          <w:sz w:val="14"/>
          <w:szCs w:val="14"/>
          <w:color w:val="auto"/>
        </w:rPr>
      </w:pPr>
    </w:p>
    <w:p>
      <w:pPr>
        <w:ind w:left="320" w:right="259" w:firstLine="337"/>
        <w:spacing w:after="0" w:line="252" w:lineRule="auto"/>
        <w:tabs>
          <w:tab w:leader="none" w:pos="863" w:val="left"/>
        </w:tabs>
        <w:numPr>
          <w:ilvl w:val="1"/>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Electronic Signatures</w:t>
      </w:r>
      <w:r>
        <w:rPr>
          <w:rFonts w:ascii="Times New Roman" w:cs="Times New Roman" w:eastAsia="Times New Roman" w:hAnsi="Times New Roman"/>
          <w:sz w:val="14"/>
          <w:szCs w:val="14"/>
          <w:color w:val="auto"/>
        </w:rPr>
        <w:t>. This Lease may be executed in counterparts, including both counterparts that are executed on paper and counterparts that are in the form of electronic records and are executed electronically. An electronic signature means any electronic sound, symbol or process attached to or logically associated with a record and executed and adopted by a party with the intent to sign such record, including facsimile or e mail electronic signatures. All executed counterparts shall constitute one agreement, and each counterpart shall be deemed an original. The parties hereby acknowledge and agree that electronic records and electronic signatures, as well as facsimile signatures, may be used in connection with the execution of this Lease and electronic signatures, facsimile signatures or signatures transmitted by electronic mail in so-called pdf format shall be legal and binding and shall have the same full force and effect as if a paper original of this Lease had been delivered and signed using a handwritten signature. Landlord and Tenant (i) agree that an electronic signature, whether digital or encrypted, of a party to this Lease is intended to authenticate this writing and to have the same force and effect as a manual signature, (ii) intend to be bound by the signatures (whether original, faxed or electronic) on any document sent or delivered by facsimile, or electronic mail, or other electronic means, (iii) are aware that the other party will rely on such signatures, and (iv) hereby waive any defenses to the enforcement of the terms of this Lease based on the foregoing forms of signature. If this Lease has been executed by electronic signature, all parties executing this document are expressly consenting under the Electronic Signatures in Global and National Commerce Act (“E-SIGN”), and Uniform Electronic Transactions Act (“UETA”), that a signature by fax, email or other electronic means shall constitute an Electronic Signature to an Electronic Record under both E-SIGN and UETA with respect to this specific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-1630045</wp:posOffset>
            </wp:positionV>
            <wp:extent cx="5443220" cy="34239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5443220" cy="3423920"/>
                    </a:xfrm>
                    <a:prstGeom prst="rect">
                      <a:avLst/>
                    </a:prstGeom>
                    <a:noFill/>
                  </pic:spPr>
                </pic:pic>
              </a:graphicData>
            </a:graphic>
          </wp:anchor>
        </w:drawing>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Tenant acknowledges and accepts this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Tenant’s Initials </w:t>
      </w:r>
      <w:r>
        <w:rPr>
          <w:rFonts w:ascii="Times New Roman" w:cs="Times New Roman" w:eastAsia="Times New Roman" w:hAnsi="Times New Roman"/>
          <w:sz w:val="14"/>
          <w:szCs w:val="14"/>
          <w:u w:val="single" w:color="auto"/>
          <w:color w:val="auto"/>
        </w:rPr>
        <w:t>OA</w:t>
      </w:r>
      <w:r>
        <w:rPr>
          <w:rFonts w:ascii="Times New Roman" w:cs="Times New Roman" w:eastAsia="Times New Roman" w:hAnsi="Times New Roman"/>
          <w:sz w:val="14"/>
          <w:szCs w:val="14"/>
          <w:color w:val="auto"/>
        </w:rPr>
        <w:t>__/____</w:t>
      </w:r>
    </w:p>
    <w:p>
      <w:pPr>
        <w:spacing w:after="0" w:line="91" w:lineRule="exact"/>
        <w:rPr>
          <w:sz w:val="20"/>
          <w:szCs w:val="20"/>
          <w:color w:val="auto"/>
        </w:rPr>
      </w:pPr>
    </w:p>
    <w:p>
      <w:pPr>
        <w:ind w:left="320" w:right="759" w:firstLine="337"/>
        <w:spacing w:after="0" w:line="261" w:lineRule="auto"/>
        <w:tabs>
          <w:tab w:leader="none" w:pos="868"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All notices required under this Lease and other information concerning this Lease (“Communications”) shall be personally delivered or sent by first class mail, postage prepaid, by overnight courier. In addition, the Landlord may, in its sole discretion, send such Communications to the Tenant electronically, or permit the Tenant to send such Communications to the Landlord electronically, in the manner described in this Section.</w:t>
      </w:r>
    </w:p>
    <w:p>
      <w:pPr>
        <w:spacing w:after="0" w:line="139" w:lineRule="exact"/>
        <w:rPr>
          <w:sz w:val="20"/>
          <w:szCs w:val="20"/>
          <w:color w:val="auto"/>
        </w:rPr>
      </w:pPr>
    </w:p>
    <w:p>
      <w:pPr>
        <w:ind w:left="320" w:right="259" w:firstLine="338"/>
        <w:spacing w:after="0" w:line="261" w:lineRule="auto"/>
        <w:rPr>
          <w:sz w:val="20"/>
          <w:szCs w:val="20"/>
          <w:color w:val="auto"/>
        </w:rPr>
      </w:pPr>
      <w:r>
        <w:rPr>
          <w:rFonts w:ascii="Times New Roman" w:cs="Times New Roman" w:eastAsia="Times New Roman" w:hAnsi="Times New Roman"/>
          <w:sz w:val="14"/>
          <w:szCs w:val="14"/>
          <w:color w:val="auto"/>
        </w:rPr>
        <w:t>Such Communications sent by personal delivery, mail or overnight courier will be sent to the addresses listed in the Basic Lease Information, or to such other addresses as the Landlord and the Tenant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spacing w:after="0" w:line="139" w:lineRule="exact"/>
        <w:rPr>
          <w:sz w:val="20"/>
          <w:szCs w:val="20"/>
          <w:color w:val="auto"/>
        </w:rPr>
      </w:pPr>
    </w:p>
    <w:p>
      <w:pPr>
        <w:ind w:left="320" w:right="659"/>
        <w:spacing w:after="0" w:line="261" w:lineRule="auto"/>
        <w:rPr>
          <w:sz w:val="20"/>
          <w:szCs w:val="20"/>
          <w:color w:val="auto"/>
        </w:rPr>
      </w:pPr>
      <w:r>
        <w:rPr>
          <w:rFonts w:ascii="Times New Roman" w:cs="Times New Roman" w:eastAsia="Times New Roman" w:hAnsi="Times New Roman"/>
          <w:sz w:val="14"/>
          <w:szCs w:val="14"/>
          <w:color w:val="auto"/>
        </w:rPr>
        <w:t>Such Communications may be sent electronically by the Landlord to the Tenant (i) by transmitting the Communication to the electronic address provided by the Tenant or to such other electronic address as the Tenant may specify from time to time in writing, or (ii) by posting the Communication on a website and sending the Tenant a notice to the Tenant’s postal address or electronic address telling the Tenant that the Communication has been posted, its location, and providing instructions on how to view it.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735" w:name="page736"/>
    <w:bookmarkEnd w:id="735"/>
    <w:p>
      <w:pPr>
        <w:ind w:left="320" w:right="29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56261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01535" cy="562610"/>
                    </a:xfrm>
                    <a:prstGeom prst="rect">
                      <a:avLst/>
                    </a:prstGeom>
                    <a:noFill/>
                  </pic:spPr>
                </pic:pic>
              </a:graphicData>
            </a:graphic>
          </wp:anchor>
        </w:drawing>
        <w:t>Communications sent electronically to the Tenant will be effective when the Communication, or a notice advising of its posting to a website, is sent to the Tenant’s electronic address.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Tenant acknowledges and accepts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Tenant’s Initials </w:t>
      </w:r>
      <w:r>
        <w:rPr>
          <w:rFonts w:ascii="Times New Roman" w:cs="Times New Roman" w:eastAsia="Times New Roman" w:hAnsi="Times New Roman"/>
          <w:sz w:val="14"/>
          <w:szCs w:val="14"/>
          <w:u w:val="single" w:color="auto"/>
          <w:color w:val="auto"/>
        </w:rPr>
        <w:t>OA</w:t>
      </w:r>
      <w:r>
        <w:rPr>
          <w:rFonts w:ascii="Times New Roman" w:cs="Times New Roman" w:eastAsia="Times New Roman" w:hAnsi="Times New Roman"/>
          <w:sz w:val="14"/>
          <w:szCs w:val="14"/>
          <w:color w:val="auto"/>
        </w:rPr>
        <w:t>__/____</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84" w:right="1440" w:bottom="1440" w:gutter="0" w:footer="0" w:header="0"/>
        </w:sectPr>
      </w:pPr>
    </w:p>
    <w:bookmarkStart w:id="736" w:name="page737"/>
    <w:bookmarkEnd w:id="73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Landlord and Tenant have executed this Amendment as of the date first set forth above.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60" w:lineRule="exact"/>
        <w:rPr>
          <w:sz w:val="20"/>
          <w:szCs w:val="20"/>
          <w:color w:val="auto"/>
        </w:rPr>
      </w:pPr>
    </w:p>
    <w:p>
      <w:pPr>
        <w:ind w:left="220"/>
        <w:spacing w:after="0"/>
        <w:tabs>
          <w:tab w:leader="none" w:pos="560" w:val="left"/>
          <w:tab w:leader="none" w:pos="4920" w:val="left"/>
        </w:tabs>
        <w:rPr>
          <w:sz w:val="20"/>
          <w:szCs w:val="20"/>
          <w:color w:val="auto"/>
        </w:rPr>
      </w:pPr>
      <w:r>
        <w:rPr>
          <w:rFonts w:ascii="Times New Roman" w:cs="Times New Roman" w:eastAsia="Times New Roman" w:hAnsi="Times New Roman"/>
          <w:sz w:val="14"/>
          <w:szCs w:val="14"/>
          <w:color w:val="auto"/>
        </w:rPr>
        <w:t>BY:</w:t>
        <w:tab/>
        <w:t>/s/ Oguzhan Atay</w:t>
      </w:r>
      <w:r>
        <w:rPr>
          <w:sz w:val="20"/>
          <w:szCs w:val="20"/>
          <w:color w:val="auto"/>
        </w:rPr>
        <w:tab/>
      </w:r>
      <w:r>
        <w:rPr>
          <w:rFonts w:ascii="Times New Roman" w:cs="Times New Roman" w:eastAsia="Times New Roman" w:hAnsi="Times New Roman"/>
          <w:sz w:val="13"/>
          <w:szCs w:val="13"/>
          <w:color w:val="auto"/>
        </w:rPr>
        <w:t>DATE: August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13970</wp:posOffset>
            </wp:positionV>
            <wp:extent cx="2498725" cy="635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498725" cy="6350"/>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  CEO</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O’BRIEN DRIVE PORTFOLIO, LLC,</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TARLTON PROPERTIES,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California corporation, its managing member</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0" w:type="dxa"/>
            <w:vAlign w:val="bottom"/>
          </w:tcPr>
          <w:p>
            <w:pPr>
              <w:spacing w:after="0"/>
              <w:rPr>
                <w:sz w:val="15"/>
                <w:szCs w:val="15"/>
                <w:color w:val="auto"/>
              </w:rPr>
            </w:pP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John C. Tarlton</w:t>
            </w:r>
          </w:p>
        </w:tc>
        <w:tc>
          <w:tcPr>
            <w:tcW w:w="60" w:type="dxa"/>
            <w:vAlign w:val="bottom"/>
          </w:tcPr>
          <w:p>
            <w:pPr>
              <w:spacing w:after="0"/>
              <w:rPr>
                <w:sz w:val="15"/>
                <w:szCs w:val="15"/>
                <w:color w:val="auto"/>
              </w:rPr>
            </w:pPr>
          </w:p>
        </w:tc>
        <w:tc>
          <w:tcPr>
            <w:tcW w:w="2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DATE: August 9, 2021</w:t>
            </w:r>
          </w:p>
        </w:tc>
      </w:tr>
      <w:tr>
        <w:trPr>
          <w:trHeight w:val="154"/>
        </w:trPr>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John C. Tarlton</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&amp; CEO</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2"/>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By: O’BRIEN DRIVE PORTFOLIO MEMBER, LLC,</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Delaware limited liability company, its co-managing member</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21"/>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By: PRINCIPAL REAL ESTATE INVESTORS, LLC,</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Delaware limited liability company, its authorized signatory</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Alex Mather</w:t>
            </w:r>
          </w:p>
        </w:tc>
        <w:tc>
          <w:tcPr>
            <w:tcW w:w="6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396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color w:val="auto"/>
              </w:rPr>
              <w:t>Name: Alex Mather</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3"/>
        </w:trPr>
        <w:tc>
          <w:tcPr>
            <w:tcW w:w="34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Managing Director</w:t>
            </w:r>
          </w:p>
        </w:tc>
        <w:tc>
          <w:tcPr>
            <w:tcW w:w="6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DATE:</w:t>
            </w: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August 20, 2021</w:t>
            </w:r>
          </w:p>
        </w:tc>
      </w:tr>
      <w:tr>
        <w:trPr>
          <w:trHeight w:val="336"/>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37"/>
        </w:trPr>
        <w:tc>
          <w:tcPr>
            <w:tcW w:w="340" w:type="dxa"/>
            <w:vAlign w:val="bottom"/>
          </w:tcPr>
          <w:p>
            <w:pPr>
              <w:spacing w:after="0"/>
              <w:rPr>
                <w:sz w:val="11"/>
                <w:szCs w:val="11"/>
                <w:color w:val="auto"/>
              </w:rPr>
            </w:pPr>
          </w:p>
        </w:tc>
        <w:tc>
          <w:tcPr>
            <w:tcW w:w="50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Title:</w:t>
            </w:r>
          </w:p>
        </w:tc>
        <w:tc>
          <w:tcPr>
            <w:tcW w:w="3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Pr>
          <w:p>
            <w:pPr>
              <w:ind w:left="400"/>
              <w:spacing w:after="0" w:line="137" w:lineRule="exact"/>
              <w:rPr>
                <w:sz w:val="20"/>
                <w:szCs w:val="20"/>
                <w:color w:val="auto"/>
              </w:rPr>
            </w:pPr>
            <w:r>
              <w:rPr>
                <w:rFonts w:ascii="Times New Roman" w:cs="Times New Roman" w:eastAsia="Times New Roman" w:hAnsi="Times New Roman"/>
                <w:sz w:val="14"/>
                <w:szCs w:val="14"/>
                <w:color w:val="auto"/>
              </w:rPr>
              <w:t>DATE:</w:t>
            </w:r>
          </w:p>
        </w:tc>
        <w:tc>
          <w:tcPr>
            <w:tcW w:w="154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 xml:space="preserve">                               </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9019"/>
          </w:cols>
          <w:pgMar w:left="1440" w:top="241" w:right="1440" w:bottom="1440" w:gutter="0" w:footer="0" w:header="0"/>
        </w:sectPr>
      </w:pPr>
    </w:p>
    <w:bookmarkStart w:id="737" w:name="page738"/>
    <w:bookmarkEnd w:id="737"/>
    <w:p>
      <w:pPr>
        <w:ind w:left="8060"/>
        <w:spacing w:after="0"/>
        <w:rPr>
          <w:sz w:val="20"/>
          <w:szCs w:val="20"/>
          <w:color w:val="auto"/>
        </w:rPr>
      </w:pPr>
      <w:r>
        <w:rPr>
          <w:rFonts w:ascii="Times New Roman" w:cs="Times New Roman" w:eastAsia="Times New Roman" w:hAnsi="Times New Roman"/>
          <w:sz w:val="13"/>
          <w:szCs w:val="13"/>
          <w:b w:val="1"/>
          <w:bCs w:val="1"/>
          <w:color w:val="auto"/>
        </w:rPr>
        <w:t>Exhibit 10.7</w:t>
      </w:r>
    </w:p>
    <w:p>
      <w:pPr>
        <w:spacing w:after="0" w:line="186"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b w:val="1"/>
          <w:bCs w:val="1"/>
          <w:u w:val="single" w:color="auto"/>
          <w:color w:val="auto"/>
        </w:rPr>
        <w:t>CERTAIN CONFIDENTIAL INFORMATION CONTAINED IN THIS DOCUMENT, MARKED BY [***], HAS BEEN OMITTED BECAUSE IT IS BOTH (I) NOT MATERIAL AND (II) IS THE TYPE THAT THE REGISTRANT ACTUALLY TREATS AS PRIVATE OR CONFIDENTIAL.</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COLLABORATION AGREEMENT</w:t>
      </w:r>
    </w:p>
    <w:p>
      <w:pPr>
        <w:spacing w:after="0" w:line="175" w:lineRule="exact"/>
        <w:rPr>
          <w:sz w:val="20"/>
          <w:szCs w:val="20"/>
          <w:color w:val="auto"/>
        </w:rPr>
      </w:pPr>
    </w:p>
    <w:p>
      <w:pPr>
        <w:ind w:left="220" w:right="359" w:firstLine="342"/>
        <w:spacing w:after="0" w:line="267" w:lineRule="auto"/>
        <w:rPr>
          <w:sz w:val="20"/>
          <w:szCs w:val="20"/>
          <w:color w:val="auto"/>
        </w:rPr>
      </w:pPr>
      <w:r>
        <w:rPr>
          <w:rFonts w:ascii="Times New Roman" w:cs="Times New Roman" w:eastAsia="Times New Roman" w:hAnsi="Times New Roman"/>
          <w:sz w:val="14"/>
          <w:szCs w:val="14"/>
          <w:color w:val="auto"/>
        </w:rPr>
        <w:t xml:space="preserve">This collaboration agreement (the “Agreement”) dated January 6, 2023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xml:space="preserve"> is between BillionToOne, Inc., having offices at 1035 O’Brien Dr., Menlo Park, California 94025 (“BTO”) and Janssen Research &amp; Development, LLC, having offices at 920 Route 202, Raritan, New Jersey 08869 </w:t>
      </w:r>
      <w:r>
        <w:rPr>
          <w:rFonts w:ascii="Times New Roman" w:cs="Times New Roman" w:eastAsia="Times New Roman" w:hAnsi="Times New Roman"/>
          <w:sz w:val="14"/>
          <w:szCs w:val="14"/>
          <w:b w:val="1"/>
          <w:bCs w:val="1"/>
          <w:color w:val="auto"/>
        </w:rPr>
        <w:t>(“Janssen”).</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BTO has expertise and experience developing and commercializing molecular diagnostic assays.</w:t>
      </w:r>
    </w:p>
    <w:p>
      <w:pPr>
        <w:spacing w:after="0" w:line="175" w:lineRule="exact"/>
        <w:rPr>
          <w:sz w:val="20"/>
          <w:szCs w:val="20"/>
          <w:color w:val="auto"/>
        </w:rPr>
      </w:pPr>
    </w:p>
    <w:p>
      <w:pPr>
        <w:jc w:val="both"/>
        <w:ind w:left="220" w:right="459"/>
        <w:spacing w:after="0" w:line="266" w:lineRule="auto"/>
        <w:rPr>
          <w:sz w:val="20"/>
          <w:szCs w:val="20"/>
          <w:color w:val="auto"/>
        </w:rPr>
      </w:pPr>
      <w:r>
        <w:rPr>
          <w:rFonts w:ascii="Times New Roman" w:cs="Times New Roman" w:eastAsia="Times New Roman" w:hAnsi="Times New Roman"/>
          <w:sz w:val="14"/>
          <w:szCs w:val="14"/>
          <w:color w:val="auto"/>
        </w:rPr>
        <w:t>Janssen is developing the compound Nipocalimab (M281), an anti-neonatal Fc receptor (FcRn) monoclonal antibody for the treatment of Hemolytic Disease of the Fetus and Newborn (HDFN) and has clinical samples of maternal blood to which circulating fetal DNA and a blood group of the fetus can be determined that Janssen is interested in having tested with an assay developed and being commercialized by BTO.</w:t>
      </w:r>
    </w:p>
    <w:p>
      <w:pPr>
        <w:spacing w:after="0" w:line="136" w:lineRule="exact"/>
        <w:rPr>
          <w:sz w:val="20"/>
          <w:szCs w:val="20"/>
          <w:color w:val="auto"/>
        </w:rPr>
      </w:pPr>
    </w:p>
    <w:p>
      <w:pPr>
        <w:jc w:val="both"/>
        <w:ind w:left="220" w:right="399"/>
        <w:spacing w:after="0" w:line="266" w:lineRule="auto"/>
        <w:rPr>
          <w:sz w:val="20"/>
          <w:szCs w:val="20"/>
          <w:color w:val="auto"/>
        </w:rPr>
      </w:pPr>
      <w:r>
        <w:rPr>
          <w:rFonts w:ascii="Times New Roman" w:cs="Times New Roman" w:eastAsia="Times New Roman" w:hAnsi="Times New Roman"/>
          <w:sz w:val="14"/>
          <w:szCs w:val="14"/>
          <w:color w:val="auto"/>
        </w:rPr>
        <w:t xml:space="preserve">Janssen and BTO want to conduct preliminary research to determine suitability of use of BTO’s existing proprietary assay to test subjects who may be treated with Janssen’s M281 in a clinical trial (the </w:t>
      </w:r>
      <w:r>
        <w:rPr>
          <w:rFonts w:ascii="Times New Roman" w:cs="Times New Roman" w:eastAsia="Times New Roman" w:hAnsi="Times New Roman"/>
          <w:sz w:val="14"/>
          <w:szCs w:val="14"/>
          <w:b w:val="1"/>
          <w:bCs w:val="1"/>
          <w:color w:val="auto"/>
        </w:rPr>
        <w:t>“Study”).</w:t>
      </w:r>
      <w:r>
        <w:rPr>
          <w:rFonts w:ascii="Times New Roman" w:cs="Times New Roman" w:eastAsia="Times New Roman" w:hAnsi="Times New Roman"/>
          <w:sz w:val="14"/>
          <w:szCs w:val="14"/>
          <w:color w:val="auto"/>
        </w:rPr>
        <w:t xml:space="preserve"> All activities under this Agreement including the Study shall be conducted in the United States only.</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parties therefore agree as follows: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right="379" w:firstLine="34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“Applicable Laws” </w:t>
      </w:r>
      <w:r>
        <w:rPr>
          <w:rFonts w:ascii="Times New Roman" w:cs="Times New Roman" w:eastAsia="Times New Roman" w:hAnsi="Times New Roman"/>
          <w:sz w:val="14"/>
          <w:szCs w:val="14"/>
          <w:color w:val="auto"/>
        </w:rPr>
        <w:t>means United States federal, state or local laws, rules and regulations (including privacy), including any rules, regulations,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guidance or other requirements of a Regulatory Authority, that may be in effect from time to time and applicable to a particular activity hereunder, and subject to the conditions and limitations set forth in this Agreement, shall include the applicable regulations and guidance of the FDA that constitute good manufacturing practices and good clinical practices.</w:t>
      </w:r>
    </w:p>
    <w:p>
      <w:pPr>
        <w:spacing w:after="0" w:line="136" w:lineRule="exact"/>
        <w:rPr>
          <w:sz w:val="20"/>
          <w:szCs w:val="20"/>
          <w:color w:val="auto"/>
        </w:rPr>
      </w:pPr>
    </w:p>
    <w:p>
      <w:pPr>
        <w:ind w:left="220" w:right="479" w:firstLine="342"/>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“Investigational Use Device or Device for Performance Study” </w:t>
      </w:r>
      <w:r>
        <w:rPr>
          <w:rFonts w:ascii="Times New Roman" w:cs="Times New Roman" w:eastAsia="Times New Roman" w:hAnsi="Times New Roman"/>
          <w:sz w:val="14"/>
          <w:szCs w:val="14"/>
          <w:color w:val="auto"/>
        </w:rPr>
        <w:t>means a device (which includes an assay or test) requested by Janssen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used in the performance of the Study. It is a device that is either (i) an existing laboratory developed test, or (ii) a diagnostic test not yet cleared or approved for use as an IVD (in vitro diagnostic) and is in the development stage and for which the full performance characteristics have not yet been established. A device intended to be used for research purposes, without any medical objective, shall not be deemed to be a device for performance study.</w:t>
      </w:r>
    </w:p>
    <w:p>
      <w:pPr>
        <w:spacing w:after="0" w:line="139" w:lineRule="exact"/>
        <w:rPr>
          <w:sz w:val="20"/>
          <w:szCs w:val="20"/>
          <w:color w:val="auto"/>
        </w:rPr>
      </w:pPr>
    </w:p>
    <w:p>
      <w:pPr>
        <w:ind w:left="220" w:right="359" w:firstLine="342"/>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“IVD”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“In Vitro Diagnostic” </w:t>
      </w:r>
      <w:r>
        <w:rPr>
          <w:rFonts w:ascii="Times New Roman" w:cs="Times New Roman" w:eastAsia="Times New Roman" w:hAnsi="Times New Roman"/>
          <w:sz w:val="14"/>
          <w:szCs w:val="14"/>
          <w:color w:val="auto"/>
        </w:rPr>
        <w:t>means a product or service for in vitro testing of patient or subject specimens, or other biological materials,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 in the diagnosis or evaluation of a disease or for the prediction or monitoring of a response to any Therapeutic Product (or other agent) or other prognostic use.</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“Regulatory Authority” </w:t>
      </w:r>
      <w:r>
        <w:rPr>
          <w:rFonts w:ascii="Times New Roman" w:cs="Times New Roman" w:eastAsia="Times New Roman" w:hAnsi="Times New Roman"/>
          <w:sz w:val="14"/>
          <w:szCs w:val="14"/>
          <w:color w:val="auto"/>
        </w:rPr>
        <w:t>means the United States Food and Drug Administration (FDA).</w:t>
      </w:r>
    </w:p>
    <w:p>
      <w:pPr>
        <w:sectPr>
          <w:pgSz w:w="11900" w:h="16838" w:orient="portrait"/>
          <w:cols w:equalWidth="0" w:num="1">
            <w:col w:w="9019"/>
          </w:cols>
          <w:pgMar w:left="1440" w:top="124" w:right="1440" w:bottom="1440" w:gutter="0" w:footer="0" w:header="0"/>
        </w:sectPr>
      </w:pPr>
    </w:p>
    <w:bookmarkStart w:id="738" w:name="page739"/>
    <w:bookmarkEnd w:id="738"/>
    <w:p>
      <w:pPr>
        <w:ind w:left="220" w:right="45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“Regulatory Documentation” </w:t>
      </w:r>
      <w:r>
        <w:rPr>
          <w:rFonts w:ascii="Times New Roman" w:cs="Times New Roman" w:eastAsia="Times New Roman" w:hAnsi="Times New Roman"/>
          <w:sz w:val="14"/>
          <w:szCs w:val="14"/>
          <w:color w:val="auto"/>
        </w:rPr>
        <w:t>means any documents BTO submits to any Regulatory Authority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any subsequent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feedback therefrom.</w:t>
      </w:r>
    </w:p>
    <w:p>
      <w:pPr>
        <w:spacing w:after="0" w:line="121" w:lineRule="exact"/>
        <w:rPr>
          <w:sz w:val="20"/>
          <w:szCs w:val="20"/>
          <w:color w:val="auto"/>
        </w:rPr>
      </w:pPr>
    </w:p>
    <w:p>
      <w:pPr>
        <w:ind w:left="220" w:right="679" w:firstLine="34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“Therapeutic Product” </w:t>
      </w:r>
      <w:r>
        <w:rPr>
          <w:rFonts w:ascii="Times New Roman" w:cs="Times New Roman" w:eastAsia="Times New Roman" w:hAnsi="Times New Roman"/>
          <w:sz w:val="14"/>
          <w:szCs w:val="14"/>
          <w:color w:val="auto"/>
        </w:rPr>
        <w:t>means any product that constitutes or contains a chemical or biologic substance for the medical cure, treatment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prevention of disease.</w:t>
      </w:r>
    </w:p>
    <w:p>
      <w:pPr>
        <w:spacing w:after="0" w:line="237" w:lineRule="exact"/>
        <w:rPr>
          <w:sz w:val="20"/>
          <w:szCs w:val="20"/>
          <w:color w:val="auto"/>
        </w:rPr>
      </w:pPr>
    </w:p>
    <w:p>
      <w:pPr>
        <w:ind w:left="560" w:hanging="337"/>
        <w:spacing w:after="0"/>
        <w:tabs>
          <w:tab w:leader="none" w:pos="560"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PERFORMANCE, PAYMENT, AND TAX</w:t>
      </w:r>
    </w:p>
    <w:p>
      <w:pPr>
        <w:spacing w:after="0" w:line="91" w:lineRule="exact"/>
        <w:rPr>
          <w:sz w:val="20"/>
          <w:szCs w:val="20"/>
          <w:color w:val="auto"/>
        </w:rPr>
      </w:pPr>
    </w:p>
    <w:p>
      <w:pPr>
        <w:ind w:left="220" w:right="419" w:firstLine="342"/>
        <w:spacing w:after="0" w:line="267" w:lineRule="auto"/>
        <w:rPr>
          <w:sz w:val="20"/>
          <w:szCs w:val="20"/>
          <w:color w:val="auto"/>
        </w:rPr>
      </w:pPr>
      <w:r>
        <w:rPr>
          <w:rFonts w:ascii="Times New Roman" w:cs="Times New Roman" w:eastAsia="Times New Roman" w:hAnsi="Times New Roman"/>
          <w:sz w:val="14"/>
          <w:szCs w:val="14"/>
          <w:color w:val="auto"/>
        </w:rPr>
        <w:t xml:space="preserve">1.1 BTO shall perform the activities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Research Plan</w:t>
      </w:r>
      <w:r>
        <w:rPr>
          <w:rFonts w:ascii="Times New Roman" w:cs="Times New Roman" w:eastAsia="Times New Roman" w:hAnsi="Times New Roman"/>
          <w:sz w:val="14"/>
          <w:szCs w:val="14"/>
          <w:color w:val="auto"/>
        </w:rPr>
        <w:t>”) and provide Janssen with a summary of all results of those activities. Janssen and BTO agree that any additional research, if desired by both parties, would be conducted according to a separate agreement or an amendment to this Agreement; however, neither party is obligated to enter into any such separate agreement or amendment.</w:t>
      </w:r>
    </w:p>
    <w:p>
      <w:pPr>
        <w:spacing w:after="0" w:line="52" w:lineRule="exact"/>
        <w:rPr>
          <w:sz w:val="20"/>
          <w:szCs w:val="20"/>
          <w:color w:val="auto"/>
        </w:rPr>
      </w:pPr>
    </w:p>
    <w:p>
      <w:pPr>
        <w:ind w:left="220" w:right="279" w:firstLine="342"/>
        <w:spacing w:after="0" w:line="282" w:lineRule="auto"/>
        <w:rPr>
          <w:sz w:val="20"/>
          <w:szCs w:val="20"/>
          <w:color w:val="auto"/>
        </w:rPr>
      </w:pPr>
      <w:r>
        <w:rPr>
          <w:rFonts w:ascii="Times New Roman" w:cs="Times New Roman" w:eastAsia="Times New Roman" w:hAnsi="Times New Roman"/>
          <w:sz w:val="14"/>
          <w:szCs w:val="14"/>
          <w:color w:val="auto"/>
        </w:rPr>
        <w:t>1.2 Within [***] following the Effective Date Janssen shall pay BTO an upfront payment of [***]. The foregoing payment shall be nonrefundable and non-creditable against any other payments due under this Agreement.</w:t>
      </w:r>
    </w:p>
    <w:p>
      <w:pPr>
        <w:spacing w:after="0" w:line="39" w:lineRule="exact"/>
        <w:rPr>
          <w:sz w:val="20"/>
          <w:szCs w:val="20"/>
          <w:color w:val="auto"/>
        </w:rPr>
      </w:pPr>
    </w:p>
    <w:p>
      <w:pPr>
        <w:ind w:left="220" w:right="419" w:firstLine="342"/>
        <w:spacing w:after="0" w:line="262" w:lineRule="auto"/>
        <w:rPr>
          <w:sz w:val="20"/>
          <w:szCs w:val="20"/>
          <w:color w:val="auto"/>
        </w:rPr>
      </w:pPr>
      <w:r>
        <w:rPr>
          <w:rFonts w:ascii="Times New Roman" w:cs="Times New Roman" w:eastAsia="Times New Roman" w:hAnsi="Times New Roman"/>
          <w:sz w:val="14"/>
          <w:szCs w:val="14"/>
          <w:color w:val="auto"/>
        </w:rPr>
        <w:t xml:space="preserve">1.3 The parties have agreed on payments for milestones of BTO’s activities in the Research Plan (each, a </w:t>
      </w:r>
      <w:r>
        <w:rPr>
          <w:rFonts w:ascii="Times New Roman" w:cs="Times New Roman" w:eastAsia="Times New Roman" w:hAnsi="Times New Roman"/>
          <w:sz w:val="14"/>
          <w:szCs w:val="14"/>
          <w:b w:val="1"/>
          <w:bCs w:val="1"/>
          <w:color w:val="auto"/>
        </w:rPr>
        <w:t>“Milestone Payment”).</w:t>
      </w:r>
      <w:r>
        <w:rPr>
          <w:rFonts w:ascii="Times New Roman" w:cs="Times New Roman" w:eastAsia="Times New Roman" w:hAnsi="Times New Roman"/>
          <w:sz w:val="14"/>
          <w:szCs w:val="14"/>
          <w:color w:val="auto"/>
        </w:rPr>
        <w:t xml:space="preserve"> Janssen shall pay to BTO the Milestone Payment upon the achievement of the applicable milestone. BTO will notify Janssen in writing promptly after the achievement of such milestone and will invoice Janssen for payment of such milestone as provided in Section 1.4. Each Milestone Payment is nonrefundable and non- creditable against any other payments due under this Agreement.</w:t>
      </w:r>
    </w:p>
    <w:p>
      <w:pPr>
        <w:spacing w:after="0" w:line="138" w:lineRule="exact"/>
        <w:rPr>
          <w:sz w:val="20"/>
          <w:szCs w:val="20"/>
          <w:color w:val="auto"/>
        </w:rPr>
      </w:pPr>
    </w:p>
    <w:p>
      <w:pPr>
        <w:ind w:left="220" w:right="499" w:firstLine="342"/>
        <w:spacing w:after="0" w:line="282" w:lineRule="auto"/>
        <w:rPr>
          <w:sz w:val="20"/>
          <w:szCs w:val="20"/>
          <w:color w:val="auto"/>
        </w:rPr>
      </w:pPr>
      <w:r>
        <w:rPr>
          <w:rFonts w:ascii="Times New Roman" w:cs="Times New Roman" w:eastAsia="Times New Roman" w:hAnsi="Times New Roman"/>
          <w:sz w:val="14"/>
          <w:szCs w:val="14"/>
          <w:color w:val="auto"/>
        </w:rPr>
        <w:t>BTO shall keep records of matters relating to its performance under the Research Plan and will make those records available to Janssen’s duly authorized representative for examination upon reasonable notice to BTO and no more frequently than [***].</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 The following procedures apply to invoicing and payment for processing of samples submitted. BTO invoices will be due and payable within</w:t>
      </w:r>
    </w:p>
    <w:p>
      <w:pPr>
        <w:spacing w:after="0" w:line="22" w:lineRule="exact"/>
        <w:rPr>
          <w:sz w:val="20"/>
          <w:szCs w:val="20"/>
          <w:color w:val="auto"/>
        </w:rPr>
      </w:pPr>
    </w:p>
    <w:p>
      <w:pPr>
        <w:ind w:left="220" w:right="339" w:firstLine="3"/>
        <w:spacing w:after="0" w:line="260" w:lineRule="auto"/>
        <w:tabs>
          <w:tab w:leader="none" w:pos="558"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BTO submits them. BTO will submit invoices electronically through a web-based system using the Accounts Payable website, [***]. When logging into the website, BTO will be prompted for its supplier number, which can be found on the Purchase Order.</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valid nine-digit Purchase Order (PO) number and nine-digit supplier number is needed and will be furnished by Janssen to BTO.</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Invoices will only be paid via Electronic Funds Transfer (EFT), an electronic payment method in which funds are directly deposited into a bank account.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BTO will not send paper invoices to Janssen Accounts Payable.</w:t>
      </w:r>
    </w:p>
    <w:p>
      <w:pPr>
        <w:spacing w:after="0" w:line="175" w:lineRule="exact"/>
        <w:rPr>
          <w:sz w:val="20"/>
          <w:szCs w:val="20"/>
          <w:color w:val="auto"/>
        </w:rPr>
      </w:pPr>
    </w:p>
    <w:p>
      <w:pPr>
        <w:ind w:left="220" w:right="439"/>
        <w:spacing w:after="0" w:line="266" w:lineRule="auto"/>
        <w:rPr>
          <w:sz w:val="20"/>
          <w:szCs w:val="20"/>
          <w:color w:val="auto"/>
        </w:rPr>
      </w:pPr>
      <w:r>
        <w:rPr>
          <w:rFonts w:ascii="Times New Roman" w:cs="Times New Roman" w:eastAsia="Times New Roman" w:hAnsi="Times New Roman"/>
          <w:sz w:val="14"/>
          <w:szCs w:val="14"/>
          <w:color w:val="auto"/>
        </w:rPr>
        <w:t>BTO will submit a completed Account Management Profile Form to Janssen Accounts Payable. Invoices will not be processed without an invoice number, invoice date, amount of invoice, purchase order number, explanation of work completed, or a remit to address. If desired by BTO, a courtesy invoice copy marked “customer copy” should be sent via e-mail to [***] at [***].</w:t>
      </w:r>
    </w:p>
    <w:p>
      <w:pPr>
        <w:spacing w:after="0" w:line="136" w:lineRule="exact"/>
        <w:rPr>
          <w:sz w:val="20"/>
          <w:szCs w:val="20"/>
          <w:color w:val="auto"/>
        </w:rPr>
      </w:pPr>
    </w:p>
    <w:p>
      <w:pPr>
        <w:ind w:left="220" w:right="599"/>
        <w:spacing w:after="0" w:line="282" w:lineRule="auto"/>
        <w:rPr>
          <w:sz w:val="20"/>
          <w:szCs w:val="20"/>
          <w:color w:val="auto"/>
        </w:rPr>
      </w:pPr>
      <w:r>
        <w:rPr>
          <w:rFonts w:ascii="Times New Roman" w:cs="Times New Roman" w:eastAsia="Times New Roman" w:hAnsi="Times New Roman"/>
          <w:sz w:val="14"/>
          <w:szCs w:val="14"/>
          <w:color w:val="auto"/>
        </w:rPr>
        <w:t>If requested by BTO, Janssen will provide reasonable technical support to BTO to ensure that BTO is able to properly submit invoices through the Janssen accounts payable website.</w:t>
      </w:r>
    </w:p>
    <w:p>
      <w:pPr>
        <w:sectPr>
          <w:pgSz w:w="11900" w:h="16838" w:orient="portrait"/>
          <w:cols w:equalWidth="0" w:num="1">
            <w:col w:w="9019"/>
          </w:cols>
          <w:pgMar w:left="1440" w:top="239" w:right="1440" w:bottom="1440" w:gutter="0" w:footer="0" w:header="0"/>
        </w:sectPr>
      </w:pPr>
    </w:p>
    <w:bookmarkStart w:id="739" w:name="page740"/>
    <w:bookmarkEnd w:id="73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1.5 Tax matters will be treated as follows.</w:t>
      </w:r>
    </w:p>
    <w:p>
      <w:pPr>
        <w:spacing w:after="0" w:line="89" w:lineRule="exact"/>
        <w:rPr>
          <w:sz w:val="20"/>
          <w:szCs w:val="20"/>
          <w:color w:val="auto"/>
        </w:rPr>
      </w:pPr>
    </w:p>
    <w:p>
      <w:pPr>
        <w:ind w:left="220" w:right="439" w:firstLine="771"/>
        <w:spacing w:after="0" w:line="285" w:lineRule="auto"/>
        <w:rPr>
          <w:sz w:val="20"/>
          <w:szCs w:val="20"/>
          <w:color w:val="auto"/>
        </w:rPr>
      </w:pPr>
      <w:r>
        <w:rPr>
          <w:rFonts w:ascii="Times New Roman" w:cs="Times New Roman" w:eastAsia="Times New Roman" w:hAnsi="Times New Roman"/>
          <w:sz w:val="14"/>
          <w:szCs w:val="14"/>
          <w:color w:val="auto"/>
        </w:rPr>
        <w:t xml:space="preserve">1.5.1 </w:t>
      </w:r>
      <w:r>
        <w:rPr>
          <w:rFonts w:ascii="Times New Roman" w:cs="Times New Roman" w:eastAsia="Times New Roman" w:hAnsi="Times New Roman"/>
          <w:sz w:val="14"/>
          <w:szCs w:val="14"/>
          <w:b w:val="1"/>
          <w:bCs w:val="1"/>
          <w:color w:val="auto"/>
        </w:rPr>
        <w:t>“Tax”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 xml:space="preserve"> means any present or future taxes, levies, imposts, duties, charges, assessments or fees of any nature (including any interest thereon).</w:t>
      </w:r>
    </w:p>
    <w:p>
      <w:pPr>
        <w:spacing w:after="0" w:line="39" w:lineRule="exact"/>
        <w:rPr>
          <w:sz w:val="20"/>
          <w:szCs w:val="20"/>
          <w:color w:val="auto"/>
        </w:rPr>
      </w:pPr>
    </w:p>
    <w:p>
      <w:pPr>
        <w:ind w:left="220" w:right="399" w:firstLine="771"/>
        <w:spacing w:after="0" w:line="261" w:lineRule="auto"/>
        <w:rPr>
          <w:sz w:val="20"/>
          <w:szCs w:val="20"/>
          <w:color w:val="auto"/>
        </w:rPr>
      </w:pPr>
      <w:r>
        <w:rPr>
          <w:rFonts w:ascii="Times New Roman" w:cs="Times New Roman" w:eastAsia="Times New Roman" w:hAnsi="Times New Roman"/>
          <w:sz w:val="14"/>
          <w:szCs w:val="14"/>
          <w:color w:val="auto"/>
        </w:rPr>
        <w:t>1.5.2 Janssen will make all payments to BTO under this Agreement without deduction or withholding for Taxes except to the extent that any such deduction or withholding is required by Applicable Laws in effect at the time of payment and only after such deduction or withholding has been reviewed and approved in writing by BTO. On the date of execution of this Agreement, BTO will deliver to Janssen an accurate and complete Internal Revenue Service Form W-9.</w:t>
      </w:r>
    </w:p>
    <w:p>
      <w:pPr>
        <w:spacing w:after="0" w:line="55" w:lineRule="exact"/>
        <w:rPr>
          <w:sz w:val="20"/>
          <w:szCs w:val="20"/>
          <w:color w:val="auto"/>
        </w:rPr>
      </w:pPr>
    </w:p>
    <w:p>
      <w:pPr>
        <w:ind w:left="220" w:right="239" w:firstLine="771"/>
        <w:spacing w:after="0" w:line="261" w:lineRule="auto"/>
        <w:rPr>
          <w:sz w:val="20"/>
          <w:szCs w:val="20"/>
          <w:color w:val="auto"/>
        </w:rPr>
      </w:pPr>
      <w:r>
        <w:rPr>
          <w:rFonts w:ascii="Times New Roman" w:cs="Times New Roman" w:eastAsia="Times New Roman" w:hAnsi="Times New Roman"/>
          <w:sz w:val="14"/>
          <w:szCs w:val="14"/>
          <w:color w:val="auto"/>
        </w:rPr>
        <w:t>1.5.3 Subject to Section 1.5.2, any Tax required to be withheld on amounts payable under this Agreement will be paid by Janssen on behalf of BTO to the appropriate governmental authority, and Janssen will furnish BTO with proof of payment of such Tax. Any such Tax required to be withheld will be an expense of and borne by BTO. If any such Tax properly owing by BTO is assessed against and paid by Janssen, then BTO will indemnify and hold harmless Janssen from and against such Tax, except to the extent attributable to Janssen’s acts or omissions.</w:t>
      </w:r>
    </w:p>
    <w:p>
      <w:pPr>
        <w:spacing w:after="0" w:line="55" w:lineRule="exact"/>
        <w:rPr>
          <w:sz w:val="20"/>
          <w:szCs w:val="20"/>
          <w:color w:val="auto"/>
        </w:rPr>
      </w:pPr>
    </w:p>
    <w:p>
      <w:pPr>
        <w:ind w:left="220" w:right="619" w:firstLine="771"/>
        <w:spacing w:after="0" w:line="282" w:lineRule="auto"/>
        <w:rPr>
          <w:sz w:val="20"/>
          <w:szCs w:val="20"/>
          <w:color w:val="auto"/>
        </w:rPr>
      </w:pPr>
      <w:r>
        <w:rPr>
          <w:rFonts w:ascii="Times New Roman" w:cs="Times New Roman" w:eastAsia="Times New Roman" w:hAnsi="Times New Roman"/>
          <w:sz w:val="14"/>
          <w:szCs w:val="14"/>
          <w:color w:val="auto"/>
        </w:rPr>
        <w:t>1.5.4 Subject to Section 1.5.2, Janssen and BTO will cooperate with respect to all documentation required by any taxing authority or reasonably requested by Janssen to secure a reduction in the rate of applicable withholding Taxes.</w:t>
      </w:r>
    </w:p>
    <w:p>
      <w:pPr>
        <w:spacing w:after="0" w:line="41" w:lineRule="exact"/>
        <w:rPr>
          <w:sz w:val="20"/>
          <w:szCs w:val="20"/>
          <w:color w:val="auto"/>
        </w:rPr>
      </w:pPr>
    </w:p>
    <w:p>
      <w:pPr>
        <w:ind w:left="220" w:right="279" w:firstLine="771"/>
        <w:spacing w:after="0" w:line="253" w:lineRule="auto"/>
        <w:rPr>
          <w:sz w:val="20"/>
          <w:szCs w:val="20"/>
          <w:color w:val="auto"/>
        </w:rPr>
      </w:pPr>
      <w:r>
        <w:rPr>
          <w:rFonts w:ascii="Times New Roman" w:cs="Times New Roman" w:eastAsia="Times New Roman" w:hAnsi="Times New Roman"/>
          <w:sz w:val="14"/>
          <w:szCs w:val="14"/>
          <w:color w:val="auto"/>
        </w:rPr>
        <w:t xml:space="preserve">1.5.5 </w:t>
      </w:r>
      <w:r>
        <w:rPr>
          <w:rFonts w:ascii="Times New Roman" w:cs="Times New Roman" w:eastAsia="Times New Roman" w:hAnsi="Times New Roman"/>
          <w:sz w:val="14"/>
          <w:szCs w:val="14"/>
          <w:u w:val="single" w:color="auto"/>
          <w:color w:val="auto"/>
        </w:rPr>
        <w:t>Indirect Taxes</w:t>
      </w:r>
      <w:r>
        <w:rPr>
          <w:rFonts w:ascii="Times New Roman" w:cs="Times New Roman" w:eastAsia="Times New Roman" w:hAnsi="Times New Roman"/>
          <w:sz w:val="14"/>
          <w:szCs w:val="14"/>
          <w:color w:val="auto"/>
        </w:rPr>
        <w:t>. Amounts payable under this Agreement do not include any sales, use, excise, value added or other applicable taxes, tariffs or duties. If any taxing authority imposes a VAT, GST, sales, use, service, consumption, business or similar tax with respect to the work undertaken under this Agreement, then Janssen agrees to pay that amount if specified in a valid invoice or supply exemption documentation. For avoidance of doubt, BTO will not be entitled to pass on to Janssen, and Janssen will not be obligated to pay or bear, any tax that is based on BTO’s real, personal or intangible property (whether owned or leased), corporate structure, franchise, continuing business operations, income, gross receipts, capital stock, net worth or imposed with respect to BTO’s engagement of employees or independent contractors or that BTO incurs upon subcontracting any work hereunder, in whole or in part, to any affiliated or non-affiliated third party. BTO is solely responsible, to the extent required by applicable law, for identifying, billing, and collecting the taxes payable by Janssen in all relevant federal, state, county, municipal and other taxing jurisdictions and for filing all required tax returns in a timely manner</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To the extent that BTO does not provide Janssen a valid invoice (i.e., an invoice compliant with this Agreement and the applicable Research Plan and the rules and regulations of the jurisdiction of both BTO and Janssen, including separate identification of the tax where legally required, then BTO shall be responsible for any penalty resulting directly from such noncompliance. The parties will cooperate in good faith to minimize taxes to the extent legally permissible.</w:t>
      </w:r>
    </w:p>
    <w:p>
      <w:pPr>
        <w:spacing w:after="0" w:line="260" w:lineRule="exact"/>
        <w:rPr>
          <w:sz w:val="20"/>
          <w:szCs w:val="20"/>
          <w:color w:val="auto"/>
        </w:rPr>
      </w:pPr>
    </w:p>
    <w:p>
      <w:pPr>
        <w:ind w:left="560" w:hanging="337"/>
        <w:spacing w:after="0"/>
        <w:tabs>
          <w:tab w:leader="none" w:pos="560" w:val="left"/>
        </w:tabs>
        <w:numPr>
          <w:ilvl w:val="0"/>
          <w:numId w:val="5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GOVERNANCE</w:t>
      </w:r>
    </w:p>
    <w:p>
      <w:pPr>
        <w:spacing w:after="0" w:line="91" w:lineRule="exact"/>
        <w:rPr>
          <w:sz w:val="20"/>
          <w:szCs w:val="20"/>
          <w:color w:val="auto"/>
        </w:rPr>
      </w:pPr>
    </w:p>
    <w:p>
      <w:pPr>
        <w:ind w:left="220" w:right="299" w:firstLine="342"/>
        <w:spacing w:after="0" w:line="259" w:lineRule="auto"/>
        <w:rPr>
          <w:sz w:val="20"/>
          <w:szCs w:val="20"/>
          <w:color w:val="auto"/>
        </w:rPr>
      </w:pPr>
      <w:r>
        <w:rPr>
          <w:rFonts w:ascii="Times New Roman" w:cs="Times New Roman" w:eastAsia="Times New Roman" w:hAnsi="Times New Roman"/>
          <w:sz w:val="14"/>
          <w:szCs w:val="14"/>
          <w:color w:val="auto"/>
        </w:rPr>
        <w:t>2.1 A Joint Steering Committee (“</w:t>
      </w:r>
      <w:r>
        <w:rPr>
          <w:rFonts w:ascii="Times New Roman" w:cs="Times New Roman" w:eastAsia="Times New Roman" w:hAnsi="Times New Roman"/>
          <w:sz w:val="14"/>
          <w:szCs w:val="14"/>
          <w:b w:val="1"/>
          <w:bCs w:val="1"/>
          <w:color w:val="auto"/>
        </w:rPr>
        <w:t>JSC</w:t>
      </w:r>
      <w:r>
        <w:rPr>
          <w:rFonts w:ascii="Times New Roman" w:cs="Times New Roman" w:eastAsia="Times New Roman" w:hAnsi="Times New Roman"/>
          <w:sz w:val="14"/>
          <w:szCs w:val="14"/>
          <w:color w:val="auto"/>
        </w:rPr>
        <w:t>”) shall be established [***]. The JSC will be responsible for (a) overseeing and assisting the Project Team in coordinating research activities under this Agreement (including the Research Plan), (b) resolving any matter relating to research in which the parties are unable to reach consensus, and/or (c) approving plans, budgets, and/or resource allocation for research including updating the Research Plan. [***]. The JSC may conduct meetings in any manner convenient to its members and confirmed by consensus. For the avoidance of doubt, the JSC shall have no authority to amend this Agreement or the terms hereunder without the express written consent of both Janssen and BTO.</w:t>
      </w:r>
    </w:p>
    <w:p>
      <w:pPr>
        <w:sectPr>
          <w:pgSz w:w="11900" w:h="16838" w:orient="portrait"/>
          <w:cols w:equalWidth="0" w:num="1">
            <w:col w:w="9019"/>
          </w:cols>
          <w:pgMar w:left="1440" w:top="242" w:right="1440" w:bottom="1440" w:gutter="0" w:footer="0" w:header="0"/>
        </w:sectPr>
      </w:pPr>
    </w:p>
    <w:bookmarkStart w:id="740" w:name="page741"/>
    <w:bookmarkEnd w:id="740"/>
    <w:p>
      <w:pPr>
        <w:ind w:left="220" w:right="43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2.2 The parties will discuss and review day-to-day activities related to the Research Plan through technical, clinical, regulatory and commercial project representatives appointed by each party (the “</w:t>
      </w:r>
      <w:r>
        <w:rPr>
          <w:rFonts w:ascii="Times New Roman" w:cs="Times New Roman" w:eastAsia="Times New Roman" w:hAnsi="Times New Roman"/>
          <w:sz w:val="14"/>
          <w:szCs w:val="14"/>
          <w:b w:val="1"/>
          <w:bCs w:val="1"/>
          <w:color w:val="auto"/>
        </w:rPr>
        <w:t>Project Team</w:t>
      </w:r>
      <w:r>
        <w:rPr>
          <w:rFonts w:ascii="Times New Roman" w:cs="Times New Roman" w:eastAsia="Times New Roman" w:hAnsi="Times New Roman"/>
          <w:sz w:val="14"/>
          <w:szCs w:val="14"/>
          <w:color w:val="auto"/>
        </w:rPr>
        <w:t>”). The Project Team will meet [***] unless the parties agree that more or less frequent meetings are required. The Project Team may elevate or otherwise seek input on issues from the JSC.</w:t>
      </w:r>
    </w:p>
    <w:p>
      <w:pPr>
        <w:spacing w:after="0" w:line="250" w:lineRule="exact"/>
        <w:rPr>
          <w:sz w:val="20"/>
          <w:szCs w:val="20"/>
          <w:color w:val="auto"/>
        </w:rPr>
      </w:pPr>
    </w:p>
    <w:p>
      <w:pPr>
        <w:ind w:left="560" w:hanging="337"/>
        <w:spacing w:after="0"/>
        <w:tabs>
          <w:tab w:leader="none" w:pos="560"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INFORMED CONSENT AND IRB APPROVAL</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3.1 The Research Plan will outline the responsibility of both parties with regard to informed consent and IRB approvals.</w:t>
      </w:r>
    </w:p>
    <w:p>
      <w:pPr>
        <w:spacing w:after="0" w:line="288" w:lineRule="exact"/>
        <w:rPr>
          <w:rFonts w:ascii="Times New Roman" w:cs="Times New Roman" w:eastAsia="Times New Roman" w:hAnsi="Times New Roman"/>
          <w:sz w:val="14"/>
          <w:szCs w:val="14"/>
          <w:b w:val="1"/>
          <w:bCs w:val="1"/>
          <w:color w:val="auto"/>
        </w:rPr>
      </w:pPr>
    </w:p>
    <w:p>
      <w:pPr>
        <w:ind w:left="560" w:hanging="337"/>
        <w:spacing w:after="0"/>
        <w:tabs>
          <w:tab w:leader="none" w:pos="560"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INTELLECTUAL PROPERTY</w:t>
      </w:r>
    </w:p>
    <w:p>
      <w:pPr>
        <w:spacing w:after="0" w:line="93"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4.1 Nothing in this Agreement shall affect the ownership of, or be construed to grant any right or license to use, any intellectual property existing on the Effective Date.</w:t>
      </w:r>
    </w:p>
    <w:p>
      <w:pPr>
        <w:spacing w:after="0" w:line="41" w:lineRule="exact"/>
        <w:rPr>
          <w:sz w:val="20"/>
          <w:szCs w:val="20"/>
          <w:color w:val="auto"/>
        </w:rPr>
      </w:pPr>
    </w:p>
    <w:p>
      <w:pPr>
        <w:ind w:left="220" w:right="239" w:firstLine="342"/>
        <w:spacing w:after="0" w:line="272" w:lineRule="auto"/>
        <w:rPr>
          <w:sz w:val="20"/>
          <w:szCs w:val="20"/>
          <w:color w:val="auto"/>
        </w:rPr>
      </w:pPr>
      <w:r>
        <w:rPr>
          <w:rFonts w:ascii="Times New Roman" w:cs="Times New Roman" w:eastAsia="Times New Roman" w:hAnsi="Times New Roman"/>
          <w:sz w:val="13"/>
          <w:szCs w:val="13"/>
          <w:color w:val="auto"/>
        </w:rPr>
        <w:t>4.2 As between the parties only, any deliverable or materials, including clinical samples provided by Janssen referred to in the Research Plan and any other results, reports, data, presentations, documents, prepared by BTO in the performance of Research Plan for Janssen and arising after the Effective Date, and any data use rights, copyrights and trademark rights relating thereto, but for clarity excluding rights in inventions, patent applications and patents relating thereto, shall be the property of Janssen (the “</w:t>
      </w:r>
      <w:r>
        <w:rPr>
          <w:rFonts w:ascii="Times New Roman" w:cs="Times New Roman" w:eastAsia="Times New Roman" w:hAnsi="Times New Roman"/>
          <w:sz w:val="13"/>
          <w:szCs w:val="13"/>
          <w:b w:val="1"/>
          <w:bCs w:val="1"/>
          <w:color w:val="auto"/>
        </w:rPr>
        <w:t>Janssen Foreground IP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any inventions or improvements made to, and patent, trade secret and other intellectual property related to BTO’s proprietary fetal RBC antigen NIPT assay and laboratory developed test (LDT) associated therewith (the “</w:t>
      </w:r>
      <w:r>
        <w:rPr>
          <w:rFonts w:ascii="Times New Roman" w:cs="Times New Roman" w:eastAsia="Times New Roman" w:hAnsi="Times New Roman"/>
          <w:sz w:val="13"/>
          <w:szCs w:val="13"/>
          <w:b w:val="1"/>
          <w:bCs w:val="1"/>
          <w:color w:val="auto"/>
        </w:rPr>
        <w:t>BTO Test</w:t>
      </w:r>
      <w:r>
        <w:rPr>
          <w:rFonts w:ascii="Times New Roman" w:cs="Times New Roman" w:eastAsia="Times New Roman" w:hAnsi="Times New Roman"/>
          <w:sz w:val="13"/>
          <w:szCs w:val="13"/>
          <w:color w:val="auto"/>
        </w:rPr>
        <w:t>”) in the performance of the Research Plan, including without limitation, the contents of the validation study and associated report to be performed and provided by BTO, in all cases arising after the Effective Date, together with any and all trade secret rights, rights in inventions, patent applications, patents and any other intellectual property or proprietary rights relating thereto, shall be the property of BTO (collectively, “</w:t>
      </w:r>
      <w:r>
        <w:rPr>
          <w:rFonts w:ascii="Times New Roman" w:cs="Times New Roman" w:eastAsia="Times New Roman" w:hAnsi="Times New Roman"/>
          <w:sz w:val="13"/>
          <w:szCs w:val="13"/>
          <w:b w:val="1"/>
          <w:bCs w:val="1"/>
          <w:color w:val="auto"/>
        </w:rPr>
        <w:t>BTO Foreground IP</w:t>
      </w:r>
      <w:r>
        <w:rPr>
          <w:rFonts w:ascii="Times New Roman" w:cs="Times New Roman" w:eastAsia="Times New Roman" w:hAnsi="Times New Roman"/>
          <w:sz w:val="13"/>
          <w:szCs w:val="13"/>
          <w:color w:val="auto"/>
        </w:rPr>
        <w:t>”). Without limiting the foregoing, in no event will BTO Foreground IP include any trade secret right, rights in any invention, patent applications or patents or any other intellectual property or proprietary right of BTO developed or obtained before the Effective Date or at any time (i.e., before or after the Effective Date) outside of the scope of this Agreement. BTO hereby grants to Janssen a nonexclusive, non-transferable and non-sublicensable (except as otherwise expressly permitted by BTO in writing), fully paid-up license to use the BTO Foreground IP, excluding any invention or improvement to the BTO Test made during performance of the Research Plan or otherwise pursuant to this Agreement, solely for Janssen’s internal purposes to perform its obligations under this Agreement including Janssen’s IND submissions to the FDA in respect of the compound Nipocalimab (M281). To the extent that any such BTO Foreground IP is desired for Janssen to commercialize M281 with the BTO Test, Janssen acknowledges and agrees that a further commercial use agreement will need to be negotiated and concluded with BTO. For clarity, BTO has no obligation to grant to Janssen any other rights or licenses under any BTO technology or IP whatsoever, whether or not such technology or IP comprises BTO Foreground IP (as defined above). Without limiting the generality of the foregoing, the parties acknowledge and agree that neither party intends for BTO to grant to Janssen any right or license authorizing or enabling Janssen to perform the BTO Test on its own behalf.</w:t>
      </w:r>
    </w:p>
    <w:p>
      <w:pPr>
        <w:sectPr>
          <w:pgSz w:w="11900" w:h="16838" w:orient="portrait"/>
          <w:cols w:equalWidth="0" w:num="1">
            <w:col w:w="9019"/>
          </w:cols>
          <w:pgMar w:left="1440" w:top="241" w:right="1440" w:bottom="1440" w:gutter="0" w:footer="0" w:header="0"/>
        </w:sectPr>
      </w:pPr>
    </w:p>
    <w:bookmarkStart w:id="741" w:name="page742"/>
    <w:bookmarkEnd w:id="741"/>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4.3 Each party shall execute and deliver to the other party all documents or other instruments that may be necessary to enable the other party to own, register, publish or protect the rights assigned to it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220" w:right="279" w:firstLine="342"/>
        <w:spacing w:after="0" w:line="254" w:lineRule="auto"/>
        <w:rPr>
          <w:sz w:val="20"/>
          <w:szCs w:val="20"/>
          <w:color w:val="auto"/>
        </w:rPr>
      </w:pPr>
      <w:r>
        <w:rPr>
          <w:rFonts w:ascii="Times New Roman" w:cs="Times New Roman" w:eastAsia="Times New Roman" w:hAnsi="Times New Roman"/>
          <w:sz w:val="14"/>
          <w:szCs w:val="14"/>
          <w:color w:val="auto"/>
        </w:rPr>
        <w:t>4.4 As between the parties only, all case report forms and other data (including without limitation, written, printed, and graphic information contained in any computer database or computer readable form) generated by BTO in the course of conducting the work set out in the Research Plan (the “</w:t>
      </w: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will be owned and/or controlled as indicated in the Research Plan. The parties may utilize the Data in any way it deems appropriate, subject to and in accordance with applicable state and federal privacy laws, and further subject to any restrictions thereto outlined in the Research Plan and in accordance with this Agreement. Subject to Section 4, any data, result, information or work product comprising Janssen Foreground IP created in connection with the performance of the activities set out in the Research Plan will be considered a “work made for hire.” BTO may not use the Data owned and controlled by Janssen as outlined in the Research Plan for any commercial purposes, including the filing of a patent application or the filing of the Data in support of any pending or future patent application or for the benefit of any for-profit entity, including use of Janssen Data in support of research for or in collaboration with a for-profit entity.</w:t>
      </w:r>
    </w:p>
    <w:p>
      <w:pPr>
        <w:spacing w:after="0" w:line="146"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with respect to the allocation of rights in Data and sharing of Data created pursuant to this Agreement will further be subject to the terms and conditions of the Confidential Disclosure Agreement, effective November 5, 2021, between Janssen Global Services, LLC and BTO.</w:t>
      </w:r>
    </w:p>
    <w:p>
      <w:pPr>
        <w:spacing w:after="0" w:line="239" w:lineRule="exact"/>
        <w:rPr>
          <w:sz w:val="20"/>
          <w:szCs w:val="20"/>
          <w:color w:val="auto"/>
        </w:rPr>
      </w:pPr>
    </w:p>
    <w:p>
      <w:pPr>
        <w:ind w:left="560" w:hanging="337"/>
        <w:spacing w:after="0"/>
        <w:tabs>
          <w:tab w:leader="none" w:pos="56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CONFIDENTIALITY</w:t>
      </w:r>
    </w:p>
    <w:p>
      <w:pPr>
        <w:spacing w:after="0" w:line="93"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5.1 Each party may receive certain technical, economic or business information of the other party that the other party considers proprietary. Such information shall be considered Confidential Information.</w:t>
      </w:r>
    </w:p>
    <w:p>
      <w:pPr>
        <w:spacing w:after="0" w:line="41" w:lineRule="exact"/>
        <w:rPr>
          <w:sz w:val="20"/>
          <w:szCs w:val="20"/>
          <w:color w:val="auto"/>
        </w:rPr>
      </w:pPr>
    </w:p>
    <w:p>
      <w:pPr>
        <w:ind w:left="220" w:right="559" w:firstLine="342"/>
        <w:spacing w:after="0" w:line="266" w:lineRule="auto"/>
        <w:rPr>
          <w:sz w:val="20"/>
          <w:szCs w:val="20"/>
          <w:color w:val="auto"/>
        </w:rPr>
      </w:pPr>
      <w:r>
        <w:rPr>
          <w:rFonts w:ascii="Times New Roman" w:cs="Times New Roman" w:eastAsia="Times New Roman" w:hAnsi="Times New Roman"/>
          <w:sz w:val="14"/>
          <w:szCs w:val="14"/>
          <w:color w:val="auto"/>
        </w:rPr>
        <w:t>5.2 During the term of this Agreement and for a period of 5 years thereafter, each party shall keep each other’s Confidential Information in confidence and will not disclose it to any third party or use the Confidential Information for any purpose other than performing its duties under this Agreement.</w:t>
      </w:r>
    </w:p>
    <w:p>
      <w:pPr>
        <w:spacing w:after="0" w:line="52"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5.3 Each party may disclose the other party’s Confidential Information to its employees and employees of its affiliates who have a need-to-know such Confidential Information, provided they are bound by obligations of confidentiality and non-use substantially as provided for above.</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5.4 The obligations of confidentiality and non-use with respect to the information disclosed or developed does not apply to:</w:t>
      </w:r>
    </w:p>
    <w:p>
      <w:pPr>
        <w:spacing w:after="0" w:line="91" w:lineRule="exact"/>
        <w:rPr>
          <w:sz w:val="20"/>
          <w:szCs w:val="20"/>
          <w:color w:val="auto"/>
        </w:rPr>
      </w:pPr>
    </w:p>
    <w:p>
      <w:pPr>
        <w:ind w:left="1160" w:hanging="167"/>
        <w:spacing w:after="0"/>
        <w:tabs>
          <w:tab w:leader="none" w:pos="116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which, at the time of disclosure is published, known publicly or is otherwise in the public domain; or</w:t>
      </w:r>
    </w:p>
    <w:p>
      <w:pPr>
        <w:spacing w:after="0" w:line="90" w:lineRule="exact"/>
        <w:rPr>
          <w:rFonts w:ascii="Times New Roman" w:cs="Times New Roman" w:eastAsia="Times New Roman" w:hAnsi="Times New Roman"/>
          <w:sz w:val="14"/>
          <w:szCs w:val="14"/>
          <w:color w:val="auto"/>
        </w:rPr>
      </w:pPr>
    </w:p>
    <w:p>
      <w:pPr>
        <w:ind w:left="220" w:right="319" w:firstLine="773"/>
        <w:spacing w:after="0" w:line="282" w:lineRule="auto"/>
        <w:tabs>
          <w:tab w:leader="none" w:pos="1196"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which, after disclosure, is published or becomes known publicly or otherwise becomes part of the public domain, through no fault of the receiving party; or</w:t>
      </w:r>
    </w:p>
    <w:p>
      <w:pPr>
        <w:spacing w:after="0" w:line="41" w:lineRule="exact"/>
        <w:rPr>
          <w:rFonts w:ascii="Times New Roman" w:cs="Times New Roman" w:eastAsia="Times New Roman" w:hAnsi="Times New Roman"/>
          <w:sz w:val="14"/>
          <w:szCs w:val="14"/>
          <w:color w:val="auto"/>
        </w:rPr>
      </w:pPr>
    </w:p>
    <w:p>
      <w:pPr>
        <w:ind w:left="1240" w:hanging="247"/>
        <w:spacing w:after="0"/>
        <w:tabs>
          <w:tab w:leader="none" w:pos="124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which, prior to the time of disclosure, is known to the receiving party, as evidenced by its written records; or</w:t>
      </w:r>
    </w:p>
    <w:p>
      <w:pPr>
        <w:sectPr>
          <w:pgSz w:w="11900" w:h="16838" w:orient="portrait"/>
          <w:cols w:equalWidth="0" w:num="1">
            <w:col w:w="9019"/>
          </w:cols>
          <w:pgMar w:left="1440" w:top="242" w:right="1440" w:bottom="1440" w:gutter="0" w:footer="0" w:header="0"/>
        </w:sectPr>
      </w:pPr>
    </w:p>
    <w:bookmarkStart w:id="742" w:name="page743"/>
    <w:bookmarkEnd w:id="742"/>
    <w:p>
      <w:pPr>
        <w:ind w:left="220" w:right="639" w:firstLine="773"/>
        <w:spacing w:after="0" w:line="282" w:lineRule="auto"/>
        <w:tabs>
          <w:tab w:leader="none" w:pos="1227"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information which has been or is disclosed to the receiving party in good faith by a third party who was not, or is not, under any obligation of confidence or secrecy to the disclosing party at the time the third party discloses it to the receiving party.</w:t>
      </w:r>
    </w:p>
    <w:p>
      <w:pPr>
        <w:spacing w:after="0" w:line="41" w:lineRule="exact"/>
        <w:rPr>
          <w:sz w:val="20"/>
          <w:szCs w:val="20"/>
          <w:color w:val="auto"/>
        </w:rPr>
      </w:pPr>
    </w:p>
    <w:p>
      <w:pPr>
        <w:ind w:left="220" w:right="299" w:firstLine="342"/>
        <w:spacing w:after="0" w:line="253" w:lineRule="auto"/>
        <w:rPr>
          <w:sz w:val="20"/>
          <w:szCs w:val="20"/>
          <w:color w:val="auto"/>
        </w:rPr>
      </w:pPr>
      <w:r>
        <w:rPr>
          <w:rFonts w:ascii="Times New Roman" w:cs="Times New Roman" w:eastAsia="Times New Roman" w:hAnsi="Times New Roman"/>
          <w:sz w:val="14"/>
          <w:szCs w:val="14"/>
          <w:color w:val="auto"/>
        </w:rPr>
        <w:t>5.5 Janssen and BTO may, but shall not be obligated to, coordinate to issue a joint press release before the commencement of subject sample collection. Upon the testing of the sample from the first subject in the Study, BTO may disclose or release publicly details of its participation in the Study in a press release or other public announcement which BTO agrees to submit to Janssen for its prior review and approval acting in good faith, such approval not to be unreasonably withheld, conditioned or delayed. Notwithstanding anything in this Agreement to the contrary, each party remains free at all times, without requirement to obtain the other party’s prior approval, to disclose or release information that has been publicly disclosed by either party or by any third party including any governmental agency (such as the FDA, HHS or clinicaltrials.gov). Except for the foregoing, neither party shall originate any publicity, news releases or other public announcements, written or oral, to the public, press or otherwise relating to this Agreement without the other party’s prior written consent, such consent not to be unreasonably withheld, conditioned or delayed. However, no such consent will be required for either party to re-issue or disclose, in whole or in part, and in substantially the same form, any information previously released to the public that was approved by the other party in accordance with this Section 5.5 provided that such information being re-issued does not include any Janssen trademark, logo, or other proprietary mark.</w:t>
      </w:r>
    </w:p>
    <w:p>
      <w:pPr>
        <w:spacing w:after="0" w:line="261" w:lineRule="exact"/>
        <w:rPr>
          <w:sz w:val="20"/>
          <w:szCs w:val="20"/>
          <w:color w:val="auto"/>
        </w:rPr>
      </w:pPr>
    </w:p>
    <w:p>
      <w:pPr>
        <w:ind w:left="560" w:hanging="337"/>
        <w:spacing w:after="0"/>
        <w:tabs>
          <w:tab w:leader="none" w:pos="560" w:val="left"/>
        </w:tabs>
        <w:numPr>
          <w:ilvl w:val="0"/>
          <w:numId w:val="5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TERMINATION</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6.1 This Agreement will terminate thirty-six (36) months after the Effective Date unless terminated earlier as set forth below.</w:t>
      </w:r>
    </w:p>
    <w:p>
      <w:pPr>
        <w:spacing w:after="0" w:line="90"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6.2 (i) Janssen may terminate this Agreement [***].</w:t>
      </w:r>
    </w:p>
    <w:p>
      <w:pPr>
        <w:spacing w:after="0" w:line="90" w:lineRule="exact"/>
        <w:rPr>
          <w:rFonts w:ascii="Times New Roman" w:cs="Times New Roman" w:eastAsia="Times New Roman" w:hAnsi="Times New Roman"/>
          <w:sz w:val="14"/>
          <w:szCs w:val="14"/>
          <w:b w:val="1"/>
          <w:bCs w:val="1"/>
          <w:color w:val="auto"/>
        </w:rPr>
      </w:pPr>
    </w:p>
    <w:p>
      <w:pPr>
        <w:ind w:left="220" w:right="319" w:firstLine="773"/>
        <w:spacing w:after="0" w:line="258" w:lineRule="auto"/>
        <w:tabs>
          <w:tab w:leader="none" w:pos="1196" w:val="left"/>
        </w:tabs>
        <w:numPr>
          <w:ilvl w:val="1"/>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terminated under Section 6.2, subject to Section 1.2 and 1.3 (as to the upfront payment and Milestone Payments being nonrefundable and non-creditable), BTO will return to Janssen any funds prepaid by Janssen that are associated with activities in the Research Plan that have not yet been conducted at the time of termination (the </w:t>
      </w:r>
      <w:r>
        <w:rPr>
          <w:rFonts w:ascii="Times New Roman" w:cs="Times New Roman" w:eastAsia="Times New Roman" w:hAnsi="Times New Roman"/>
          <w:sz w:val="14"/>
          <w:szCs w:val="14"/>
          <w:b w:val="1"/>
          <w:bCs w:val="1"/>
          <w:color w:val="auto"/>
        </w:rPr>
        <w:t>‘‘Unused Prepaid Funds”).</w:t>
      </w:r>
      <w:r>
        <w:rPr>
          <w:rFonts w:ascii="Times New Roman" w:cs="Times New Roman" w:eastAsia="Times New Roman" w:hAnsi="Times New Roman"/>
          <w:sz w:val="14"/>
          <w:szCs w:val="14"/>
          <w:color w:val="auto"/>
        </w:rPr>
        <w:t xml:space="preserve"> Upon termination under Section 6.1 or 6.2, BTO will submit a final invoice for any and all samples tested and other research activities performed and not previously invoiced and Janssen will pay to BTO the amounts due under such final invoice and any other outstanding invoices under the procedures outlined in Section 1.4.</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6.3 (i) This Agreement will terminate automatically should BTO not maintain the Certification outlined in Section 9.7.</w:t>
      </w:r>
    </w:p>
    <w:p>
      <w:pPr>
        <w:spacing w:after="0" w:line="91" w:lineRule="exact"/>
        <w:rPr>
          <w:sz w:val="20"/>
          <w:szCs w:val="20"/>
          <w:color w:val="auto"/>
        </w:rPr>
      </w:pPr>
    </w:p>
    <w:p>
      <w:pPr>
        <w:ind w:left="220" w:right="379" w:firstLine="773"/>
        <w:spacing w:after="0" w:line="266" w:lineRule="auto"/>
        <w:tabs>
          <w:tab w:leader="none" w:pos="1196"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is terminated under Section 6.3, both parties will cease activities immediately and BTO will return to Janssen the Unused Prepaid Funds (in the manner described in Section 6.2(ii)). Neither party shall incur any additional costs that will be paid by the other party or make any other payment to the other Party other than those outlined herein upon termination under Section 6.3.</w:t>
      </w:r>
    </w:p>
    <w:p>
      <w:pPr>
        <w:spacing w:after="0" w:line="52" w:lineRule="exact"/>
        <w:rPr>
          <w:sz w:val="20"/>
          <w:szCs w:val="20"/>
          <w:color w:val="auto"/>
        </w:rPr>
      </w:pPr>
    </w:p>
    <w:p>
      <w:pPr>
        <w:ind w:left="220" w:right="659" w:firstLine="342"/>
        <w:spacing w:after="0" w:line="266" w:lineRule="auto"/>
        <w:rPr>
          <w:sz w:val="20"/>
          <w:szCs w:val="20"/>
          <w:color w:val="auto"/>
        </w:rPr>
      </w:pPr>
      <w:r>
        <w:rPr>
          <w:rFonts w:ascii="Times New Roman" w:cs="Times New Roman" w:eastAsia="Times New Roman" w:hAnsi="Times New Roman"/>
          <w:sz w:val="14"/>
          <w:szCs w:val="14"/>
          <w:color w:val="auto"/>
        </w:rPr>
        <w:t>6.4 Upon termination of this Agreement, BTO shall promptly provide to Janssen any results of activities under the Research Plan and all information associated with those activities that have not yet been provided to Janssen. Janssen will be notified of and be responsible for incurred expenses up to the agreed milestone aligned with the services conducted.</w:t>
      </w:r>
    </w:p>
    <w:p>
      <w:pPr>
        <w:sectPr>
          <w:pgSz w:w="11900" w:h="16838" w:orient="portrait"/>
          <w:cols w:equalWidth="0" w:num="1">
            <w:col w:w="9019"/>
          </w:cols>
          <w:pgMar w:left="1440" w:top="241" w:right="1440" w:bottom="1440" w:gutter="0" w:footer="0" w:header="0"/>
        </w:sectPr>
      </w:pPr>
    </w:p>
    <w:bookmarkStart w:id="743" w:name="page744"/>
    <w:bookmarkEnd w:id="743"/>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6.5 </w:t>
      </w:r>
      <w:r>
        <w:rPr>
          <w:rFonts w:ascii="Times New Roman" w:cs="Times New Roman" w:eastAsia="Times New Roman" w:hAnsi="Times New Roman"/>
          <w:sz w:val="14"/>
          <w:szCs w:val="14"/>
          <w:u w:val="single" w:color="auto"/>
          <w:color w:val="auto"/>
        </w:rPr>
        <w:t>Article 5</w:t>
      </w:r>
      <w:r>
        <w:rPr>
          <w:rFonts w:ascii="Times New Roman" w:cs="Times New Roman" w:eastAsia="Times New Roman" w:hAnsi="Times New Roman"/>
          <w:sz w:val="14"/>
          <w:szCs w:val="14"/>
          <w:color w:val="auto"/>
        </w:rPr>
        <w:t xml:space="preserve"> (Confidentiality) and any other provision of this Agreement that, by its terms, is intended to survive termination of this Agreement, shall survive such termination.</w:t>
      </w:r>
    </w:p>
    <w:p>
      <w:pPr>
        <w:spacing w:after="0" w:line="239" w:lineRule="exact"/>
        <w:rPr>
          <w:sz w:val="20"/>
          <w:szCs w:val="20"/>
          <w:color w:val="auto"/>
        </w:rPr>
      </w:pPr>
    </w:p>
    <w:p>
      <w:pPr>
        <w:ind w:left="560" w:hanging="337"/>
        <w:spacing w:after="0"/>
        <w:tabs>
          <w:tab w:leader="none" w:pos="560" w:val="left"/>
        </w:tabs>
        <w:numPr>
          <w:ilvl w:val="0"/>
          <w:numId w:val="5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REGULATORY</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Performance Evaluation / Investigational Testing (investigational device)</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220" w:right="399" w:firstLine="771"/>
        <w:spacing w:after="0" w:line="266" w:lineRule="auto"/>
        <w:rPr>
          <w:sz w:val="20"/>
          <w:szCs w:val="20"/>
          <w:color w:val="auto"/>
        </w:rPr>
      </w:pPr>
      <w:r>
        <w:rPr>
          <w:rFonts w:ascii="Times New Roman" w:cs="Times New Roman" w:eastAsia="Times New Roman" w:hAnsi="Times New Roman"/>
          <w:sz w:val="14"/>
          <w:szCs w:val="14"/>
          <w:color w:val="auto"/>
        </w:rPr>
        <w:t>7.1.1 BTO will be responsible for regulatory submissions as required and will be responsible for compliance with investigational testing regulations in order to perform the BTO Test on subject samples in the United States in accordance with the requirements of the Regulatory Authority when using BTO’s Investigational Use Device or Device for Performance Study – i.e. the BTO Test.</w:t>
      </w:r>
    </w:p>
    <w:p>
      <w:pPr>
        <w:spacing w:after="0" w:line="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7.1.2 </w:t>
      </w:r>
      <w:r>
        <w:rPr>
          <w:rFonts w:ascii="Times New Roman" w:cs="Times New Roman" w:eastAsia="Times New Roman" w:hAnsi="Times New Roman"/>
          <w:sz w:val="14"/>
          <w:szCs w:val="14"/>
          <w:u w:val="single" w:color="auto"/>
          <w:color w:val="auto"/>
        </w:rPr>
        <w:t>Submissions and Certifications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560" w:right="379" w:firstLine="745"/>
        <w:spacing w:after="0" w:line="266" w:lineRule="auto"/>
        <w:tabs>
          <w:tab w:leader="none" w:pos="1467"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will be solely responsible for regulatory submissions to the Regulatory Authority as required in order to perform the BTO Test on subject samples as provided to BTO by Janssen in the Study for the United States in accordance with the requirements of the Regulatory Authority.</w:t>
      </w:r>
    </w:p>
    <w:p>
      <w:pPr>
        <w:spacing w:after="0" w:line="52" w:lineRule="exact"/>
        <w:rPr>
          <w:rFonts w:ascii="Times New Roman" w:cs="Times New Roman" w:eastAsia="Times New Roman" w:hAnsi="Times New Roman"/>
          <w:sz w:val="14"/>
          <w:szCs w:val="14"/>
          <w:color w:val="auto"/>
        </w:rPr>
      </w:pPr>
    </w:p>
    <w:p>
      <w:pPr>
        <w:ind w:left="560" w:right="419" w:firstLine="745"/>
        <w:spacing w:after="0" w:line="282" w:lineRule="auto"/>
        <w:tabs>
          <w:tab w:leader="none" w:pos="1506"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is solely responsible for ensuring that the appropriate certifications are in place for any lab locations performing the BTO Test, compliant with the requirements of the Regulatory Authority.</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Regulatory Documentation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7.2.1 BTO shall provide Janssen with copies of the Regulatory Documentations.</w:t>
      </w:r>
    </w:p>
    <w:p>
      <w:pPr>
        <w:spacing w:after="0" w:line="91" w:lineRule="exact"/>
        <w:rPr>
          <w:sz w:val="20"/>
          <w:szCs w:val="20"/>
          <w:color w:val="auto"/>
        </w:rPr>
      </w:pPr>
    </w:p>
    <w:p>
      <w:pPr>
        <w:ind w:left="220" w:right="239" w:firstLine="771"/>
        <w:spacing w:after="0" w:line="266" w:lineRule="auto"/>
        <w:rPr>
          <w:sz w:val="20"/>
          <w:szCs w:val="20"/>
          <w:color w:val="auto"/>
        </w:rPr>
      </w:pPr>
      <w:r>
        <w:rPr>
          <w:rFonts w:ascii="Times New Roman" w:cs="Times New Roman" w:eastAsia="Times New Roman" w:hAnsi="Times New Roman"/>
          <w:sz w:val="14"/>
          <w:szCs w:val="14"/>
          <w:color w:val="auto"/>
        </w:rPr>
        <w:t>7.2.2 BTO hereby grants Janssen its Affiliates and third-party contractors performing work under this Agreement a royalty-free, non-exclusive license, without the right to sublicense except as specifically provided in this Agreement to use the Regulatory Documentation for internal business purposes, as well as cross-referencing during Janssen’s interaction with any Regulatory Authority.</w:t>
      </w:r>
    </w:p>
    <w:p>
      <w:pPr>
        <w:spacing w:after="0" w:line="250" w:lineRule="exact"/>
        <w:rPr>
          <w:sz w:val="20"/>
          <w:szCs w:val="20"/>
          <w:color w:val="auto"/>
        </w:rPr>
      </w:pPr>
    </w:p>
    <w:p>
      <w:pPr>
        <w:ind w:left="560" w:hanging="337"/>
        <w:spacing w:after="0"/>
        <w:tabs>
          <w:tab w:leader="none" w:pos="560" w:val="left"/>
        </w:tabs>
        <w:numPr>
          <w:ilvl w:val="0"/>
          <w:numId w:val="5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INDEMNIFICATION</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8.1 Janssen shall indemnify, defend and hold harmless BTO, its directors, officers, employees, agents and representative (collectively herein,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BTO Indemnitees</w:t>
      </w:r>
      <w:r>
        <w:rPr>
          <w:rFonts w:ascii="Times New Roman" w:cs="Times New Roman" w:eastAsia="Times New Roman" w:hAnsi="Times New Roman"/>
          <w:sz w:val="14"/>
          <w:szCs w:val="14"/>
          <w:color w:val="auto"/>
        </w:rPr>
        <w:t>”) against any and all losses, costs, claims, suits, expenses, damages and awards, including reasonable attorneys’ fees for defending</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those claims or lawsuits (collectively herein, “</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14"/>
          <w:szCs w:val="14"/>
          <w:color w:val="auto"/>
        </w:rPr>
        <w:t>”) in connection with any third party claim or lawsuit arising out of:</w:t>
      </w:r>
    </w:p>
    <w:p>
      <w:pPr>
        <w:spacing w:after="0" w:line="76" w:lineRule="exact"/>
        <w:rPr>
          <w:sz w:val="20"/>
          <w:szCs w:val="20"/>
          <w:color w:val="auto"/>
        </w:rPr>
      </w:pPr>
    </w:p>
    <w:p>
      <w:pPr>
        <w:ind w:left="1080" w:hanging="186"/>
        <w:spacing w:after="0"/>
        <w:tabs>
          <w:tab w:leader="none" w:pos="108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Janssen, or any third party engaged by Janssen, in performing the Study, including but not</w:t>
      </w:r>
    </w:p>
    <w:p>
      <w:pPr>
        <w:spacing w:after="0" w:line="90" w:lineRule="exact"/>
        <w:rPr>
          <w:rFonts w:ascii="Times New Roman" w:cs="Times New Roman" w:eastAsia="Times New Roman" w:hAnsi="Times New Roman"/>
          <w:sz w:val="14"/>
          <w:szCs w:val="14"/>
          <w:color w:val="auto"/>
        </w:rPr>
      </w:pPr>
    </w:p>
    <w:p>
      <w:pPr>
        <w:ind w:left="1100" w:hanging="206"/>
        <w:spacing w:after="0"/>
        <w:tabs>
          <w:tab w:leader="none" w:pos="110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to, any contract research organization, clinical trial site or investigator participating in the conduct of the Study;</w:t>
      </w:r>
    </w:p>
    <w:p>
      <w:pPr>
        <w:spacing w:after="0" w:line="90" w:lineRule="exact"/>
        <w:rPr>
          <w:rFonts w:ascii="Times New Roman" w:cs="Times New Roman" w:eastAsia="Times New Roman" w:hAnsi="Times New Roman"/>
          <w:sz w:val="14"/>
          <w:szCs w:val="14"/>
          <w:color w:val="auto"/>
        </w:rPr>
      </w:pPr>
    </w:p>
    <w:p>
      <w:pPr>
        <w:ind w:left="1080" w:hanging="186"/>
        <w:spacing w:after="0"/>
        <w:tabs>
          <w:tab w:leader="none" w:pos="108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illness or injury of any subject in the Study; or</w:t>
      </w:r>
    </w:p>
    <w:p>
      <w:pPr>
        <w:sectPr>
          <w:pgSz w:w="11900" w:h="16838" w:orient="portrait"/>
          <w:cols w:equalWidth="0" w:num="1">
            <w:col w:w="9019"/>
          </w:cols>
          <w:pgMar w:left="1440" w:top="241" w:right="1440" w:bottom="1440" w:gutter="0" w:footer="0" w:header="0"/>
        </w:sectPr>
      </w:pPr>
    </w:p>
    <w:bookmarkStart w:id="744" w:name="page745"/>
    <w:bookmarkEnd w:id="744"/>
    <w:p>
      <w:pPr>
        <w:ind w:left="560" w:right="379" w:firstLine="334"/>
        <w:spacing w:after="0" w:line="261" w:lineRule="auto"/>
        <w:tabs>
          <w:tab w:leader="none" w:pos="1087"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development, commercialization or other exploitation by Janssen or any of its affiliates or sublicensees or its or their respective distributors or contractors of Nipocalimab (M281) or any related compound(s) and/or product(s) but solely to the extent that the marketing authorization for such compound or product was obtained with data from the Study and included the subject sample test data from the BTO Test performed by BTO pursuant to this Agreement.</w:t>
      </w:r>
    </w:p>
    <w:p>
      <w:pPr>
        <w:spacing w:after="0" w:line="55" w:lineRule="exact"/>
        <w:rPr>
          <w:sz w:val="20"/>
          <w:szCs w:val="20"/>
          <w:color w:val="auto"/>
        </w:rPr>
      </w:pPr>
    </w:p>
    <w:p>
      <w:pPr>
        <w:ind w:left="220" w:right="579" w:firstLine="342"/>
        <w:spacing w:after="0" w:line="282" w:lineRule="auto"/>
        <w:rPr>
          <w:sz w:val="20"/>
          <w:szCs w:val="20"/>
          <w:color w:val="auto"/>
        </w:rPr>
      </w:pPr>
      <w:r>
        <w:rPr>
          <w:rFonts w:ascii="Times New Roman" w:cs="Times New Roman" w:eastAsia="Times New Roman" w:hAnsi="Times New Roman"/>
          <w:sz w:val="14"/>
          <w:szCs w:val="14"/>
          <w:color w:val="auto"/>
        </w:rPr>
        <w:t>8.2 BTO shall indemnify, defend and hold harmless Janssen, its directors, officers, employees, agents and representative (collectively herein, “</w:t>
      </w:r>
      <w:r>
        <w:rPr>
          <w:rFonts w:ascii="Times New Roman" w:cs="Times New Roman" w:eastAsia="Times New Roman" w:hAnsi="Times New Roman"/>
          <w:sz w:val="14"/>
          <w:szCs w:val="14"/>
          <w:b w:val="1"/>
          <w:bCs w:val="1"/>
          <w:color w:val="auto"/>
        </w:rPr>
        <w:t>Janssen Indemnitees</w:t>
      </w:r>
      <w:r>
        <w:rPr>
          <w:rFonts w:ascii="Times New Roman" w:cs="Times New Roman" w:eastAsia="Times New Roman" w:hAnsi="Times New Roman"/>
          <w:sz w:val="14"/>
          <w:szCs w:val="14"/>
          <w:color w:val="auto"/>
        </w:rPr>
        <w:t>”) against any and all Losses in connection with any third party claim or lawsuit arising out of:</w:t>
      </w:r>
    </w:p>
    <w:p>
      <w:pPr>
        <w:spacing w:after="0" w:line="41" w:lineRule="exact"/>
        <w:rPr>
          <w:sz w:val="20"/>
          <w:szCs w:val="20"/>
          <w:color w:val="auto"/>
        </w:rPr>
      </w:pPr>
    </w:p>
    <w:p>
      <w:pPr>
        <w:ind w:left="560" w:right="239" w:firstLine="334"/>
        <w:spacing w:after="0" w:line="282" w:lineRule="auto"/>
        <w:tabs>
          <w:tab w:leader="none" w:pos="1079"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BTO, or any third party engaged by BTO, in the performance of its obligations in the Study as set forth in this Agreement; or</w:t>
      </w:r>
    </w:p>
    <w:p>
      <w:pPr>
        <w:spacing w:after="0" w:line="41" w:lineRule="exact"/>
        <w:rPr>
          <w:rFonts w:ascii="Times New Roman" w:cs="Times New Roman" w:eastAsia="Times New Roman" w:hAnsi="Times New Roman"/>
          <w:sz w:val="14"/>
          <w:szCs w:val="14"/>
          <w:color w:val="auto"/>
        </w:rPr>
      </w:pPr>
    </w:p>
    <w:p>
      <w:pPr>
        <w:ind w:left="560" w:right="379" w:firstLine="334"/>
        <w:spacing w:after="0" w:line="282" w:lineRule="auto"/>
        <w:tabs>
          <w:tab w:leader="none" w:pos="1087"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BTO, or any third party engaged by BTO, in the design, validation or performance of the BTO Test; or</w:t>
      </w:r>
    </w:p>
    <w:p>
      <w:pPr>
        <w:spacing w:after="0" w:line="41" w:lineRule="exact"/>
        <w:rPr>
          <w:rFonts w:ascii="Times New Roman" w:cs="Times New Roman" w:eastAsia="Times New Roman" w:hAnsi="Times New Roman"/>
          <w:sz w:val="14"/>
          <w:szCs w:val="14"/>
          <w:color w:val="auto"/>
        </w:rPr>
      </w:pPr>
    </w:p>
    <w:p>
      <w:pPr>
        <w:ind w:left="560" w:right="419" w:firstLine="334"/>
        <w:spacing w:after="0" w:line="282" w:lineRule="auto"/>
        <w:tabs>
          <w:tab w:leader="none" w:pos="1079"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infringement or misappropriation of any patent or trade secret owned or possessed by a third party arising from the performance of the Assay in the Study in accordance with this Agreement.</w:t>
      </w:r>
    </w:p>
    <w:p>
      <w:pPr>
        <w:spacing w:after="0" w:line="39" w:lineRule="exact"/>
        <w:rPr>
          <w:sz w:val="20"/>
          <w:szCs w:val="20"/>
          <w:color w:val="auto"/>
        </w:rPr>
      </w:pPr>
    </w:p>
    <w:p>
      <w:pPr>
        <w:ind w:left="220" w:right="379" w:firstLine="342"/>
        <w:spacing w:after="0" w:line="255" w:lineRule="auto"/>
        <w:rPr>
          <w:sz w:val="20"/>
          <w:szCs w:val="20"/>
          <w:color w:val="auto"/>
        </w:rPr>
      </w:pPr>
      <w:r>
        <w:rPr>
          <w:rFonts w:ascii="Times New Roman" w:cs="Times New Roman" w:eastAsia="Times New Roman" w:hAnsi="Times New Roman"/>
          <w:sz w:val="14"/>
          <w:szCs w:val="14"/>
          <w:color w:val="auto"/>
        </w:rPr>
        <w:t>8.3 If a party (the “</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intends to claim indemnification under this Section 8 (Indemnification), it will notify the other party (the “</w:t>
      </w:r>
      <w:r>
        <w:rPr>
          <w:rFonts w:ascii="Times New Roman" w:cs="Times New Roman" w:eastAsia="Times New Roman" w:hAnsi="Times New Roman"/>
          <w:sz w:val="14"/>
          <w:szCs w:val="14"/>
          <w:b w:val="1"/>
          <w:bCs w:val="1"/>
          <w:color w:val="auto"/>
        </w:rPr>
        <w:t>Indemnitor</w:t>
      </w:r>
      <w:r>
        <w:rPr>
          <w:rFonts w:ascii="Times New Roman" w:cs="Times New Roman" w:eastAsia="Times New Roman" w:hAnsi="Times New Roman"/>
          <w:sz w:val="14"/>
          <w:szCs w:val="14"/>
          <w:color w:val="auto"/>
        </w:rPr>
        <w:t>”) in writing within [***] of any third party claim for which the Indemnitee intends to seek such indemnification. The failure of the Indemnitee to deliver written notice to the Indemnitor within a reasonable time after the commencement of any such action will only relieve the Indemnitor of any obligation to the Indemnitee under this Section with respect to any such action to the extent such failure prejudices the Indemnitor’s ability to defend such third party claim. The Indemnitee will permit the Indemnitor to control the litigation or settlement of such third party claim and cooperate fully with Indemnitor in all related matters, provided that unless agreed by Indemnitee (a) counsel appointed by Indemnitor to defend Indemnitee will not take any position that if sustained would cause Indemnitee not to be indemnified by Indemnitor, and (b) no settlement will involve any terms binding on Indemnitee except payment of money to by paid by Indemnitor.</w:t>
      </w:r>
    </w:p>
    <w:p>
      <w:pPr>
        <w:spacing w:after="0" w:line="258" w:lineRule="exact"/>
        <w:rPr>
          <w:sz w:val="20"/>
          <w:szCs w:val="20"/>
          <w:color w:val="auto"/>
        </w:rPr>
      </w:pPr>
    </w:p>
    <w:p>
      <w:pPr>
        <w:ind w:left="560" w:hanging="337"/>
        <w:spacing w:after="0"/>
        <w:tabs>
          <w:tab w:leader="none" w:pos="560" w:val="left"/>
        </w:tabs>
        <w:numPr>
          <w:ilvl w:val="0"/>
          <w:numId w:val="5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MISCELLANEOUS</w:t>
      </w:r>
    </w:p>
    <w:p>
      <w:pPr>
        <w:spacing w:after="0" w:line="93" w:lineRule="exact"/>
        <w:rPr>
          <w:sz w:val="20"/>
          <w:szCs w:val="20"/>
          <w:color w:val="auto"/>
        </w:rPr>
      </w:pPr>
    </w:p>
    <w:p>
      <w:pPr>
        <w:jc w:val="both"/>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For a notice or other communication between the parties under this Agreement to be valid, it must be in writing and delivered (a) by hand, (b) by a national transportation company (with all fees prepaid), or (c) by email or other electronic format. A valid notice or other communication under this Agreement will be effective when received by the party to which it is addressed as follows: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 BTO:</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1035 O’Brien Drive</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Attn: [***]</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Email: [***]</w:t>
      </w:r>
    </w:p>
    <w:p>
      <w:pPr>
        <w:sectPr>
          <w:pgSz w:w="11900" w:h="16838" w:orient="portrait"/>
          <w:cols w:equalWidth="0" w:num="1">
            <w:col w:w="9019"/>
          </w:cols>
          <w:pgMar w:left="1440" w:top="240" w:right="1440" w:bottom="1440" w:gutter="0" w:footer="0" w:header="0"/>
        </w:sectPr>
      </w:pPr>
    </w:p>
    <w:bookmarkStart w:id="745" w:name="page746"/>
    <w:bookmarkEnd w:id="74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with a copy to: BillionToOne, Inc.</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1035 O’Brien Drive</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Attn: General Counsel</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Email: [***]</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 Janssen:</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Janssen Research and Development</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1400 McKean Rd, Spring House, PA 19477</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Attn: [***]</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Email: [***]</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with a copy to:</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Johnson &amp; Johnson</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One Johnson &amp; Johnson Plaza</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New Brunswick, NJ 08933</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Attn: Chief Intellectual Property Counsel</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Email: [***]</w:t>
      </w:r>
    </w:p>
    <w:p>
      <w:pPr>
        <w:spacing w:after="0" w:line="76" w:lineRule="exact"/>
        <w:rPr>
          <w:sz w:val="20"/>
          <w:szCs w:val="20"/>
          <w:color w:val="auto"/>
        </w:rPr>
      </w:pPr>
    </w:p>
    <w:p>
      <w:pPr>
        <w:ind w:left="220" w:right="539" w:firstLine="342"/>
        <w:spacing w:after="0" w:line="282"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constitutes the entire understanding between the parties as to the subject matter of this Agreement and supersedes all other agreements, whether written or oral, between the parties.</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amendment to this Agreement will be effective unless it is in writing and signed by both parties.</w:t>
      </w:r>
    </w:p>
    <w:p>
      <w:pPr>
        <w:spacing w:after="0" w:line="91" w:lineRule="exact"/>
        <w:rPr>
          <w:sz w:val="20"/>
          <w:szCs w:val="20"/>
          <w:color w:val="auto"/>
        </w:rPr>
      </w:pPr>
    </w:p>
    <w:p>
      <w:pPr>
        <w:ind w:left="220" w:right="239" w:firstLine="342"/>
        <w:spacing w:after="0" w:line="261"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No Assignment</w:t>
      </w:r>
      <w:r>
        <w:rPr>
          <w:rFonts w:ascii="Times New Roman" w:cs="Times New Roman" w:eastAsia="Times New Roman" w:hAnsi="Times New Roman"/>
          <w:sz w:val="14"/>
          <w:szCs w:val="14"/>
          <w:color w:val="auto"/>
        </w:rPr>
        <w:t xml:space="preserve">. Neither party may assign any of its rights or delegate any of its obligations under this Agreement without the prior written consent of the other party, other than (i) to an affiliate, (ii) to any successor in connection with a change of control of that party, or (iii) to the successor if that party sells or otherwise disposes of all or substantially all of its assets relating to its then current business. Any assignment not in accordance with this </w:t>
      </w:r>
      <w:r>
        <w:rPr>
          <w:rFonts w:ascii="Times New Roman" w:cs="Times New Roman" w:eastAsia="Times New Roman" w:hAnsi="Times New Roman"/>
          <w:sz w:val="14"/>
          <w:szCs w:val="14"/>
          <w:u w:val="single" w:color="auto"/>
          <w:color w:val="auto"/>
        </w:rPr>
        <w:t>Section 9.4</w:t>
      </w:r>
      <w:r>
        <w:rPr>
          <w:rFonts w:ascii="Times New Roman" w:cs="Times New Roman" w:eastAsia="Times New Roman" w:hAnsi="Times New Roman"/>
          <w:sz w:val="14"/>
          <w:szCs w:val="14"/>
          <w:color w:val="auto"/>
        </w:rPr>
        <w:t xml:space="preserve"> will be void.</w:t>
      </w:r>
    </w:p>
    <w:p>
      <w:pPr>
        <w:spacing w:after="0" w:line="55" w:lineRule="exact"/>
        <w:rPr>
          <w:sz w:val="20"/>
          <w:szCs w:val="20"/>
          <w:color w:val="auto"/>
        </w:rPr>
      </w:pPr>
    </w:p>
    <w:p>
      <w:pPr>
        <w:jc w:val="both"/>
        <w:ind w:left="220" w:right="279" w:firstLine="342"/>
        <w:spacing w:after="0" w:line="261"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Relationship of the Parties</w:t>
      </w:r>
      <w:r>
        <w:rPr>
          <w:rFonts w:ascii="Times New Roman" w:cs="Times New Roman" w:eastAsia="Times New Roman" w:hAnsi="Times New Roman"/>
          <w:sz w:val="14"/>
          <w:szCs w:val="14"/>
          <w:color w:val="auto"/>
        </w:rPr>
        <w:t>. Both parties are acting as independent contractors under this Agreement. The parties do not intend that anything in this Agreement creates an employment, agency, joint-venture, or partnership relationship between the parties or any of their agents or employees, or any other legal arrangement that would impose liability upon one party for the act or failure to act on behalf of the other party. Neither party has authority to enter into any contracts or incur liabilities on behalf of the other party.</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No Nonparty Beneficiaries</w:t>
      </w:r>
      <w:r>
        <w:rPr>
          <w:rFonts w:ascii="Times New Roman" w:cs="Times New Roman" w:eastAsia="Times New Roman" w:hAnsi="Times New Roman"/>
          <w:sz w:val="14"/>
          <w:szCs w:val="14"/>
          <w:color w:val="auto"/>
        </w:rPr>
        <w:t>. No provision of this Agreement grant rights to anyone not a party to this Agreement.</w:t>
      </w:r>
    </w:p>
    <w:p>
      <w:pPr>
        <w:spacing w:after="0" w:line="91" w:lineRule="exact"/>
        <w:rPr>
          <w:sz w:val="20"/>
          <w:szCs w:val="20"/>
          <w:color w:val="auto"/>
        </w:rPr>
      </w:pPr>
    </w:p>
    <w:p>
      <w:pPr>
        <w:ind w:left="220" w:right="379" w:firstLine="342"/>
        <w:spacing w:after="0" w:line="266"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Compliance with Laws and Standards</w:t>
      </w:r>
      <w:r>
        <w:rPr>
          <w:rFonts w:ascii="Times New Roman" w:cs="Times New Roman" w:eastAsia="Times New Roman" w:hAnsi="Times New Roman"/>
          <w:sz w:val="14"/>
          <w:szCs w:val="14"/>
          <w:color w:val="auto"/>
        </w:rPr>
        <w:t>. In performing under this Agreement, each party shall comply with all Applicable Laws and generally recognized standards for good scientific conduct. Further, BTO agrees to remain in good standing under this Agreement that it shall maintain its certification as a CLIA-certified lab (the “</w:t>
      </w:r>
      <w:r>
        <w:rPr>
          <w:rFonts w:ascii="Times New Roman" w:cs="Times New Roman" w:eastAsia="Times New Roman" w:hAnsi="Times New Roman"/>
          <w:sz w:val="14"/>
          <w:szCs w:val="14"/>
          <w:b w:val="1"/>
          <w:bCs w:val="1"/>
          <w:color w:val="auto"/>
        </w:rPr>
        <w:t>Certification</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jc w:val="both"/>
        <w:ind w:left="220" w:right="339" w:firstLine="342"/>
        <w:spacing w:after="0" w:line="266"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waiver of any provision of this Agreement will be effective unless it is in writing and signed by the party granting the waiver. No failure or delay in exercising any right or remedy under this Agreement operates as a waiver of that right or remedy. A waiver granted on one occasion will not operate as a waiver on future occasions.</w:t>
      </w:r>
    </w:p>
    <w:p>
      <w:pPr>
        <w:sectPr>
          <w:pgSz w:w="11900" w:h="16838" w:orient="portrait"/>
          <w:cols w:equalWidth="0" w:num="1">
            <w:col w:w="9019"/>
          </w:cols>
          <w:pgMar w:left="1440" w:top="241" w:right="1440" w:bottom="1440" w:gutter="0" w:footer="0" w:header="0"/>
        </w:sectPr>
      </w:pPr>
    </w:p>
    <w:bookmarkStart w:id="746" w:name="page747"/>
    <w:bookmarkEnd w:id="74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9.9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parties intend as follows:</w:t>
      </w:r>
    </w:p>
    <w:p>
      <w:pPr>
        <w:spacing w:after="0" w:line="91" w:lineRule="exact"/>
        <w:rPr>
          <w:sz w:val="20"/>
          <w:szCs w:val="20"/>
          <w:color w:val="auto"/>
        </w:rPr>
      </w:pPr>
    </w:p>
    <w:p>
      <w:pPr>
        <w:ind w:left="220" w:right="759" w:firstLine="773"/>
        <w:spacing w:after="0" w:line="282" w:lineRule="auto"/>
        <w:tabs>
          <w:tab w:leader="none" w:pos="1158"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if any provision of this Agreement is held to be unenforceable, then that provision will be modified to the minimum extent necessary to make it enforceable, unless that modification is not permitted by law, in which case that provision will be disregarded;</w:t>
      </w:r>
    </w:p>
    <w:p>
      <w:pPr>
        <w:spacing w:after="0" w:line="41" w:lineRule="exact"/>
        <w:rPr>
          <w:rFonts w:ascii="Times New Roman" w:cs="Times New Roman" w:eastAsia="Times New Roman" w:hAnsi="Times New Roman"/>
          <w:sz w:val="14"/>
          <w:szCs w:val="14"/>
          <w:color w:val="auto"/>
        </w:rPr>
      </w:pPr>
    </w:p>
    <w:p>
      <w:pPr>
        <w:ind w:left="220" w:right="519" w:firstLine="773"/>
        <w:spacing w:after="0" w:line="282" w:lineRule="auto"/>
        <w:tabs>
          <w:tab w:leader="none" w:pos="1196"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if modifying or disregarding the unenforceable provision would result in failure of an essential purpose of this Agreement, the entire agreement will be held unenforceable;</w:t>
      </w:r>
    </w:p>
    <w:p>
      <w:pPr>
        <w:spacing w:after="0" w:line="41" w:lineRule="exact"/>
        <w:rPr>
          <w:rFonts w:ascii="Times New Roman" w:cs="Times New Roman" w:eastAsia="Times New Roman" w:hAnsi="Times New Roman"/>
          <w:sz w:val="14"/>
          <w:szCs w:val="14"/>
          <w:color w:val="auto"/>
        </w:rPr>
      </w:pPr>
    </w:p>
    <w:p>
      <w:pPr>
        <w:ind w:left="220" w:right="379" w:firstLine="773"/>
        <w:spacing w:after="0" w:line="282" w:lineRule="auto"/>
        <w:tabs>
          <w:tab w:leader="none" w:pos="1235"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if an unenforceable provision is modified or disregarded in accordance with this Section 9.9, then the rest of the Agreement will remain in effect as written; and</w:t>
      </w:r>
    </w:p>
    <w:p>
      <w:pPr>
        <w:spacing w:after="0" w:line="41" w:lineRule="exact"/>
        <w:rPr>
          <w:rFonts w:ascii="Times New Roman" w:cs="Times New Roman" w:eastAsia="Times New Roman" w:hAnsi="Times New Roman"/>
          <w:sz w:val="14"/>
          <w:szCs w:val="14"/>
          <w:color w:val="auto"/>
        </w:rPr>
      </w:pPr>
    </w:p>
    <w:p>
      <w:pPr>
        <w:ind w:left="1240" w:hanging="247"/>
        <w:spacing w:after="0"/>
        <w:tabs>
          <w:tab w:leader="none" w:pos="124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any unenforceable provision will remain as written in any circumstances other than those in which the provision is held to be</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unenforceable.</w:t>
      </w:r>
    </w:p>
    <w:p>
      <w:pPr>
        <w:spacing w:after="0" w:line="76" w:lineRule="exact"/>
        <w:rPr>
          <w:sz w:val="20"/>
          <w:szCs w:val="20"/>
          <w:color w:val="auto"/>
        </w:rPr>
      </w:pPr>
    </w:p>
    <w:p>
      <w:pPr>
        <w:ind w:left="220" w:right="539" w:firstLine="342"/>
        <w:spacing w:after="0" w:line="296" w:lineRule="auto"/>
        <w:rPr>
          <w:sz w:val="20"/>
          <w:szCs w:val="20"/>
          <w:color w:val="auto"/>
        </w:rPr>
      </w:pPr>
      <w:r>
        <w:rPr>
          <w:rFonts w:ascii="Times New Roman" w:cs="Times New Roman" w:eastAsia="Times New Roman" w:hAnsi="Times New Roman"/>
          <w:sz w:val="13"/>
          <w:szCs w:val="13"/>
          <w:color w:val="auto"/>
        </w:rPr>
        <w:t xml:space="preserve">9.10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by signatures delivered by facsimile transmission or delivered electronically in optically scanned form; and/or it may be simultaneously executed by the parties in multiple counterparts, each of which will be considered to be an original instrument, and all of which taken together, where each party has executed at least one counterpart, will constitute one and the same instrument.</w:t>
      </w:r>
    </w:p>
    <w:p>
      <w:pPr>
        <w:spacing w:after="0" w:line="35" w:lineRule="exact"/>
        <w:rPr>
          <w:sz w:val="20"/>
          <w:szCs w:val="20"/>
          <w:color w:val="auto"/>
        </w:rPr>
      </w:pPr>
    </w:p>
    <w:p>
      <w:pPr>
        <w:ind w:left="220" w:right="319" w:firstLine="342"/>
        <w:spacing w:after="0" w:line="282"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 New York, United States of America.</w:t>
      </w:r>
    </w:p>
    <w:p>
      <w:pPr>
        <w:spacing w:after="0" w:line="41" w:lineRule="exact"/>
        <w:rPr>
          <w:sz w:val="20"/>
          <w:szCs w:val="20"/>
          <w:color w:val="auto"/>
        </w:rPr>
      </w:pPr>
    </w:p>
    <w:p>
      <w:pPr>
        <w:ind w:left="220" w:right="919" w:firstLine="342"/>
        <w:spacing w:after="0" w:line="282"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xml:space="preserve">. BTO shall comply with Janssen’s Data Safeguards policy as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as well as Protection of Personal Information as set forth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1" w:right="1440" w:bottom="1440" w:gutter="0" w:footer="0" w:header="0"/>
        </w:sectPr>
      </w:pPr>
    </w:p>
    <w:bookmarkStart w:id="747" w:name="page748"/>
    <w:bookmarkEnd w:id="747"/>
    <w:p>
      <w:pPr>
        <w:ind w:left="220" w:right="379" w:firstLine="77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parties have caused this Agreement to be executed by their respective duly authorized officers as of the Effective Date, each copy of which will for all purposes be deemed to be an original.</w:t>
      </w:r>
    </w:p>
    <w:p>
      <w:pPr>
        <w:spacing w:after="0" w:line="14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BillionToOne, Inc.</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Janssen Research &amp; Development, LLC</w:t>
            </w:r>
          </w:p>
        </w:tc>
      </w:tr>
      <w:tr>
        <w:trPr>
          <w:trHeight w:val="336"/>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Oguzhan Atay</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By:  /s/ David Lee</w:t>
            </w:r>
          </w:p>
        </w:tc>
      </w:tr>
      <w:tr>
        <w:trPr>
          <w:trHeight w:val="154"/>
        </w:trPr>
        <w:tc>
          <w:tcPr>
            <w:tcW w:w="3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rPr>
              <w:t>Oguzhan Atay</w:t>
            </w:r>
          </w:p>
        </w:tc>
        <w:tc>
          <w:tcPr>
            <w:tcW w:w="880" w:type="dxa"/>
            <w:vAlign w:val="bottom"/>
          </w:tcPr>
          <w:p>
            <w:pPr>
              <w:ind w:left="540"/>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rPr>
              <w:t>David Lee</w:t>
            </w:r>
          </w:p>
        </w:tc>
      </w:tr>
      <w:tr>
        <w:trPr>
          <w:trHeight w:val="18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CEO</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Title Authorized Signatory</w:t>
            </w:r>
          </w:p>
        </w:tc>
      </w:tr>
      <w:tr>
        <w:trPr>
          <w:trHeight w:val="336"/>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Date:</w:t>
            </w:r>
          </w:p>
        </w:tc>
      </w:tr>
      <w:tr>
        <w:trPr>
          <w:trHeight w:val="336"/>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Attachment:</w:t>
            </w:r>
          </w:p>
        </w:tc>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EXHIBIT A: Research Plan</w:t>
            </w:r>
          </w:p>
        </w:tc>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68"/>
        </w:trPr>
        <w:tc>
          <w:tcPr>
            <w:tcW w:w="3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EXHIBIT B: Data Safeguards</w:t>
            </w:r>
          </w:p>
        </w:tc>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EXHIBIT C: Protection of Personal Information</w:t>
            </w:r>
          </w:p>
        </w:tc>
        <w:tc>
          <w:tcPr>
            <w:tcW w:w="880" w:type="dxa"/>
            <w:vAlign w:val="bottom"/>
          </w:tcPr>
          <w:p>
            <w:pPr>
              <w:spacing w:after="0"/>
              <w:rPr>
                <w:sz w:val="15"/>
                <w:szCs w:val="15"/>
                <w:color w:val="auto"/>
              </w:rPr>
            </w:pPr>
          </w:p>
        </w:tc>
        <w:tc>
          <w:tcPr>
            <w:tcW w:w="3680" w:type="dxa"/>
            <w:vAlign w:val="bottom"/>
          </w:tcPr>
          <w:p>
            <w:pPr>
              <w:spacing w:after="0"/>
              <w:rPr>
                <w:sz w:val="15"/>
                <w:szCs w:val="15"/>
                <w:color w:val="auto"/>
              </w:rPr>
            </w:pPr>
          </w:p>
        </w:tc>
      </w:tr>
    </w:tbl>
    <w:p>
      <w:pPr>
        <w:sectPr>
          <w:pgSz w:w="11900" w:h="16838" w:orient="portrait"/>
          <w:cols w:equalWidth="0" w:num="1">
            <w:col w:w="9019"/>
          </w:cols>
          <w:pgMar w:left="1440" w:top="240" w:right="1440" w:bottom="1440" w:gutter="0" w:footer="0" w:header="0"/>
        </w:sectPr>
      </w:pPr>
    </w:p>
    <w:bookmarkStart w:id="748" w:name="page749"/>
    <w:bookmarkEnd w:id="748"/>
    <w:p>
      <w:pPr>
        <w:ind w:left="8060"/>
        <w:spacing w:after="0"/>
        <w:rPr>
          <w:sz w:val="20"/>
          <w:szCs w:val="20"/>
          <w:color w:val="auto"/>
        </w:rPr>
      </w:pPr>
      <w:r>
        <w:rPr>
          <w:rFonts w:ascii="Times New Roman" w:cs="Times New Roman" w:eastAsia="Times New Roman" w:hAnsi="Times New Roman"/>
          <w:sz w:val="13"/>
          <w:szCs w:val="13"/>
          <w:b w:val="1"/>
          <w:bCs w:val="1"/>
          <w:color w:val="auto"/>
        </w:rPr>
        <w:t>Exhibit 10.8</w:t>
      </w:r>
    </w:p>
    <w:p>
      <w:pPr>
        <w:spacing w:after="0" w:line="186"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b w:val="1"/>
          <w:bCs w:val="1"/>
          <w:color w:val="auto"/>
        </w:rPr>
        <w:t>CERTAIN CONFIDENTIAL INFORMATION CONTAINED IN THIS DOCUMENT, MARKED BY [***], HAS BEEN OMITTED BECAUSE IT IS BOTH (I) NOT MATERIAL AND (II) IS THE TYPE THAT THE REGISTRANT ACTUALLY TREATS AS PRIVATE OR CONFIDENTIAL.</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Amendment to the Collaboration Agreement</w:t>
      </w:r>
    </w:p>
    <w:p>
      <w:pPr>
        <w:spacing w:after="0" w:line="175" w:lineRule="exact"/>
        <w:rPr>
          <w:sz w:val="20"/>
          <w:szCs w:val="20"/>
          <w:color w:val="auto"/>
        </w:rPr>
      </w:pPr>
    </w:p>
    <w:p>
      <w:pPr>
        <w:ind w:left="220" w:right="299" w:firstLine="342"/>
        <w:spacing w:after="0" w:line="262" w:lineRule="auto"/>
        <w:rPr>
          <w:sz w:val="20"/>
          <w:szCs w:val="20"/>
          <w:color w:val="auto"/>
        </w:rPr>
      </w:pPr>
      <w:r>
        <w:rPr>
          <w:rFonts w:ascii="Times New Roman" w:cs="Times New Roman" w:eastAsia="Times New Roman" w:hAnsi="Times New Roman"/>
          <w:sz w:val="14"/>
          <w:szCs w:val="14"/>
          <w:color w:val="auto"/>
        </w:rPr>
        <w:t>This Amendment (the “</w:t>
      </w:r>
      <w:r>
        <w:rPr>
          <w:rFonts w:ascii="Times New Roman" w:cs="Times New Roman" w:eastAsia="Times New Roman" w:hAnsi="Times New Roman"/>
          <w:sz w:val="14"/>
          <w:szCs w:val="14"/>
          <w:b w:val="1"/>
          <w:bCs w:val="1"/>
          <w:color w:val="auto"/>
        </w:rPr>
        <w:t>First Amendment</w:t>
      </w:r>
      <w:r>
        <w:rPr>
          <w:rFonts w:ascii="Times New Roman" w:cs="Times New Roman" w:eastAsia="Times New Roman" w:hAnsi="Times New Roman"/>
          <w:sz w:val="14"/>
          <w:szCs w:val="14"/>
          <w:color w:val="auto"/>
        </w:rPr>
        <w:t>”) to the Collaboration Agreement, dated as of July 14, 2023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is by and between BillionToOne, Inc., having offices at 1035 O’Brien Dr., Menlo Park, California 94025 (“</w:t>
      </w:r>
      <w:r>
        <w:rPr>
          <w:rFonts w:ascii="Times New Roman" w:cs="Times New Roman" w:eastAsia="Times New Roman" w:hAnsi="Times New Roman"/>
          <w:sz w:val="14"/>
          <w:szCs w:val="14"/>
          <w:b w:val="1"/>
          <w:bCs w:val="1"/>
          <w:color w:val="auto"/>
        </w:rPr>
        <w:t>BTO</w:t>
      </w:r>
      <w:r>
        <w:rPr>
          <w:rFonts w:ascii="Times New Roman" w:cs="Times New Roman" w:eastAsia="Times New Roman" w:hAnsi="Times New Roman"/>
          <w:sz w:val="14"/>
          <w:szCs w:val="14"/>
          <w:color w:val="auto"/>
        </w:rPr>
        <w:t>”) and Janssen Research &amp; Development, LLC, having offices at 920 Route 202, Raritan, New Jersey 08869 (“</w:t>
      </w:r>
      <w:r>
        <w:rPr>
          <w:rFonts w:ascii="Times New Roman" w:cs="Times New Roman" w:eastAsia="Times New Roman" w:hAnsi="Times New Roman"/>
          <w:sz w:val="14"/>
          <w:szCs w:val="14"/>
          <w:b w:val="1"/>
          <w:bCs w:val="1"/>
          <w:color w:val="auto"/>
        </w:rPr>
        <w:t>Janssen</w:t>
      </w:r>
      <w:r>
        <w:rPr>
          <w:rFonts w:ascii="Times New Roman" w:cs="Times New Roman" w:eastAsia="Times New Roman" w:hAnsi="Times New Roman"/>
          <w:sz w:val="14"/>
          <w:szCs w:val="14"/>
          <w:color w:val="auto"/>
        </w:rPr>
        <w:t>”). BTO and Janssen are sometimes referred to herein individually as a “Party” and collectively as the “Parties.”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the Parties have entered into a Collaboration Agreement dated January 6, 2023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the Parties have agreed to amend the Agreement by executing this First Amendment; and</w:t>
      </w:r>
    </w:p>
    <w:p>
      <w:pPr>
        <w:spacing w:after="0" w:line="175"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NOW, THEREFORE, in consideration of the foregoing premises and the representations and mutual covenants herein contained, and for good and valuable consideration, the receipt and sufficiency of which is hereby acknowledged, BTO and Janssen hereby agree to amend the Agreement as set forth in Sections A through I below:</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The “Applicable Laws” definition shall be deleted and replaced in its entirety with the following:</w:t>
      </w:r>
    </w:p>
    <w:p>
      <w:pPr>
        <w:spacing w:after="0" w:line="173" w:lineRule="exact"/>
        <w:rPr>
          <w:sz w:val="20"/>
          <w:szCs w:val="20"/>
          <w:color w:val="auto"/>
        </w:rPr>
      </w:pPr>
    </w:p>
    <w:p>
      <w:pPr>
        <w:ind w:left="220" w:right="339" w:firstLine="34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Applicable Laws</w:t>
      </w:r>
      <w:r>
        <w:rPr>
          <w:rFonts w:ascii="Times New Roman" w:cs="Times New Roman" w:eastAsia="Times New Roman" w:hAnsi="Times New Roman"/>
          <w:sz w:val="14"/>
          <w:szCs w:val="14"/>
          <w:color w:val="auto"/>
        </w:rPr>
        <w:t>” means any and all national federal, state or local or foreign or multinational law, statute, standard, ordinance, code, rule, regulation, resolution, guidance or promulgation, the ICH E6 (R1, R2) guidelines, or any Government Order, or any license, franchise, permit or similar right granted under any of the foregoing, or any similar provision having the force or effect of law, in each case, as in effect at time when, and in the countries where, the Study is being conducted, including, but not limited to cGCP and/or CLIA.</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 The “Regulatory Authority” definition shall be deleted and replaced in its entirety with the following:</w:t>
      </w:r>
    </w:p>
    <w:p>
      <w:pPr>
        <w:spacing w:after="0" w:line="173" w:lineRule="exact"/>
        <w:rPr>
          <w:sz w:val="20"/>
          <w:szCs w:val="20"/>
          <w:color w:val="auto"/>
        </w:rPr>
      </w:pPr>
    </w:p>
    <w:p>
      <w:pPr>
        <w:ind w:left="220" w:right="259" w:firstLine="34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Authority</w:t>
      </w:r>
      <w:r>
        <w:rPr>
          <w:rFonts w:ascii="Times New Roman" w:cs="Times New Roman" w:eastAsia="Times New Roman" w:hAnsi="Times New Roman"/>
          <w:sz w:val="14"/>
          <w:szCs w:val="14"/>
          <w:color w:val="auto"/>
        </w:rPr>
        <w:t>” means regulatory agencies which regulate the exploitation of Therapeutic Products or IVDs and/or the conduct of clinical studies or research programs, as applicable to this Agreement and the Services being performed including, but not limited to, the Department of Health and Human Services (“DHHS”), the FDA, the European Medicines Agency (EMA), the National Competent Authorities of the EU member states, the U.K. Medicines and Healthcare Products Regulatory Agency (MHRA), Health Canada, the Australian Therapeutic Goods Administration, the Japan Pharmaceuticals and Medical Devices Agency (PMDA), and other comparable government agencies in other countries where the Study is conducted and/or that are involved in the granting of Regulatory Approval for a drug or biologic product including the Therapeutic Products or IVDs.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4" w:right="1440" w:bottom="1440" w:gutter="0" w:footer="0" w:header="0"/>
        </w:sectPr>
      </w:pPr>
    </w:p>
    <w:bookmarkStart w:id="749" w:name="page750"/>
    <w:bookmarkEnd w:id="74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 Section 1.5.2 of the Agreement shall be deleted and replaced in its entirety with the following:</w:t>
      </w:r>
    </w:p>
    <w:p>
      <w:pPr>
        <w:spacing w:after="0" w:line="91"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1.5.2 Janssen will make all payments to BTO under this Agreement without deduction or withholding for Taxes except to the extent that any such deduction or withholding is required by Applicable Laws in effect at the time of payment. If Janssen determines that any such deduction or withholding will be required under Applicable Laws, it will promptly notify BTO in writing and provide documentation of the deduction or withholding for Taxes that BTO may reasonably request so that BTO may take full advantage of protections against double-taxation as may be available under Applicable Laws, including any treaties with the country whose Applicable Laws are requiring Janssen to deduct and withhold, and to whose taxation authority Janssen is paying the sums deducted and withheld from payments due to BTO. On the date of execution of this Agreement, BTO will deliver to Janssen an accurate and complete Internal Revenue Service Form W-9.</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 Section 4.2 of the Agreement shall be deleted and replaced in its entirety with the following:</w:t>
      </w:r>
    </w:p>
    <w:p>
      <w:pPr>
        <w:spacing w:after="0" w:line="91" w:lineRule="exact"/>
        <w:rPr>
          <w:sz w:val="20"/>
          <w:szCs w:val="20"/>
          <w:color w:val="auto"/>
        </w:rPr>
      </w:pPr>
    </w:p>
    <w:p>
      <w:pPr>
        <w:ind w:left="220" w:right="239" w:firstLine="342"/>
        <w:spacing w:after="0" w:line="272" w:lineRule="auto"/>
        <w:rPr>
          <w:sz w:val="20"/>
          <w:szCs w:val="20"/>
          <w:color w:val="auto"/>
        </w:rPr>
      </w:pPr>
      <w:r>
        <w:rPr>
          <w:rFonts w:ascii="Times New Roman" w:cs="Times New Roman" w:eastAsia="Times New Roman" w:hAnsi="Times New Roman"/>
          <w:sz w:val="13"/>
          <w:szCs w:val="13"/>
          <w:color w:val="auto"/>
        </w:rPr>
        <w:t>4.2 As between the parties only, any deliverable or materials, including clinical samples provided by Janssen referred to in the Research Plan and any other results, reports, data, presentations, documents, prepared by BTO in the performance of Research Plan for Janssen and arising after the Effective Date, and any data use rights, copyrights and trademark rights relating thereto, but for clarity excluding rights in inventions, patent applications and patents relating thereto, shall be the property of Janssen (the “</w:t>
      </w:r>
      <w:r>
        <w:rPr>
          <w:rFonts w:ascii="Times New Roman" w:cs="Times New Roman" w:eastAsia="Times New Roman" w:hAnsi="Times New Roman"/>
          <w:sz w:val="13"/>
          <w:szCs w:val="13"/>
          <w:b w:val="1"/>
          <w:bCs w:val="1"/>
          <w:color w:val="auto"/>
        </w:rPr>
        <w:t>Janssen Foreground IP</w:t>
      </w:r>
      <w:r>
        <w:rPr>
          <w:rFonts w:ascii="Times New Roman" w:cs="Times New Roman" w:eastAsia="Times New Roman" w:hAnsi="Times New Roman"/>
          <w:sz w:val="13"/>
          <w:szCs w:val="13"/>
          <w:color w:val="auto"/>
        </w:rPr>
        <w:t>”); provided however, any inventions or improvements made to, and patent, trade secret and other intellectual property related to BTO’s proprietary fetal RBC antigen NIPT assay and laboratory developed test (LDT) associated therewith (the “</w:t>
      </w:r>
      <w:r>
        <w:rPr>
          <w:rFonts w:ascii="Times New Roman" w:cs="Times New Roman" w:eastAsia="Times New Roman" w:hAnsi="Times New Roman"/>
          <w:sz w:val="13"/>
          <w:szCs w:val="13"/>
          <w:b w:val="1"/>
          <w:bCs w:val="1"/>
          <w:color w:val="auto"/>
        </w:rPr>
        <w:t>BTO Test</w:t>
      </w:r>
      <w:r>
        <w:rPr>
          <w:rFonts w:ascii="Times New Roman" w:cs="Times New Roman" w:eastAsia="Times New Roman" w:hAnsi="Times New Roman"/>
          <w:sz w:val="13"/>
          <w:szCs w:val="13"/>
          <w:color w:val="auto"/>
        </w:rPr>
        <w:t>”) in the performance of the Research Plan, including without limitation, the contents of the validation study and associated report to be performed and provided by BTO, in all cases arising after the Effective Date, together with any and all trade secret rights, rights in inventions, patent applications, patents and any other intellectual property or proprietary rights relating thereto, shall be the property of BTO (collectively, “</w:t>
      </w:r>
      <w:r>
        <w:rPr>
          <w:rFonts w:ascii="Times New Roman" w:cs="Times New Roman" w:eastAsia="Times New Roman" w:hAnsi="Times New Roman"/>
          <w:sz w:val="13"/>
          <w:szCs w:val="13"/>
          <w:b w:val="1"/>
          <w:bCs w:val="1"/>
          <w:color w:val="auto"/>
        </w:rPr>
        <w:t>BTO Foreground IP</w:t>
      </w:r>
      <w:r>
        <w:rPr>
          <w:rFonts w:ascii="Times New Roman" w:cs="Times New Roman" w:eastAsia="Times New Roman" w:hAnsi="Times New Roman"/>
          <w:sz w:val="13"/>
          <w:szCs w:val="13"/>
          <w:color w:val="auto"/>
        </w:rPr>
        <w:t>”). Without limiting the foregoing, in no event will BTO Foreground IP include any trade secret right, rights in any invention, patent applications or patents or any other intellectual property or proprietary right of BTO developed or obtained before the Effective Date or at any time (i.e., before or after the Effective Date) outside of the scope of this Agreement. BTO hereby grants to Janssen a non-exclusive, non-transferable and non-sublicensable (except as otherwise expressly permitted by BTO in writing), fully paid-up license to use the BTO Foreground IP, excluding any invention or improvement to the BTO Test made during performance of the Research Plan or otherwise pursuant to this Agreement, solely for Janssen’s internal purposes to perform its obligations under this Agreement including Janssen’s submission(s) to a Regulatory Authority in respect of the compound Nipocalimab (M281). To the extent that any such BTO Foreground IP is desired for Janssen to commercialize M281 with the BTO Test, Janssen acknowledges and agrees that a further commercial use agreement will need to be negotiated and concluded with BTO. For clarity, BTO has no obligation to grant to Janssen any other rights or licenses under any BTO technology or IP whatsoever, whether or not such technology or IP comprises BTO Foreground IP (as defined above). Without limiting the generality of the foregoing, the parties acknowledge and agree that neither party intends for BTO to grant to Janssen any right or license authorizing or enabling Janssen to perform the BTO Test on its own behalf.</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 Section 6.2 of the Agreement shall be deleted and replaced in its entirety with the following:</w:t>
      </w:r>
    </w:p>
    <w:p>
      <w:pPr>
        <w:spacing w:after="0" w:line="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(i) Janssen may terminate this Agreement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750" w:name="page751"/>
    <w:bookmarkEnd w:id="750"/>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 Section 7.3 shall be added following Section 7.2 of the Agreement:</w:t>
      </w:r>
    </w:p>
    <w:p>
      <w:pPr>
        <w:spacing w:after="0" w:line="91" w:lineRule="exact"/>
        <w:rPr>
          <w:sz w:val="20"/>
          <w:szCs w:val="20"/>
          <w:color w:val="auto"/>
        </w:rPr>
      </w:pPr>
    </w:p>
    <w:p>
      <w:pPr>
        <w:ind w:left="220" w:right="259" w:firstLine="342"/>
        <w:spacing w:after="0" w:line="275" w:lineRule="auto"/>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Change of Methodology</w:t>
      </w:r>
      <w:r>
        <w:rPr>
          <w:rFonts w:ascii="Times New Roman" w:cs="Times New Roman" w:eastAsia="Times New Roman" w:hAnsi="Times New Roman"/>
          <w:sz w:val="13"/>
          <w:szCs w:val="13"/>
          <w:color w:val="auto"/>
        </w:rPr>
        <w:t>. From time to time, BTO may be required or may choose to change an existing methodology or process due to circumstances beyond its control, such as modifications or the discontinuance of existing equipment or devices. BTO may make such changes provided; however; all such changes must be reported pursuant to Applicable Laws including reporting such changes to CDRH under the IDE and to the EU National Competent Authorities or other Health Authorities. BTO shall not make any change, including implementing changes in technology that</w:t>
      </w:r>
    </w:p>
    <w:p>
      <w:pPr>
        <w:spacing w:after="0" w:line="1" w:lineRule="exact"/>
        <w:rPr>
          <w:sz w:val="20"/>
          <w:szCs w:val="20"/>
          <w:color w:val="auto"/>
        </w:rPr>
      </w:pPr>
    </w:p>
    <w:p>
      <w:pPr>
        <w:ind w:left="420" w:hanging="197"/>
        <w:spacing w:after="0"/>
        <w:tabs>
          <w:tab w:leader="none" w:pos="420"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affects the function or performance of the Services including the Clinical Trial Laboratory Services being performed hereunder;</w:t>
      </w:r>
    </w:p>
    <w:p>
      <w:pPr>
        <w:spacing w:after="0" w:line="6" w:lineRule="exact"/>
        <w:rPr>
          <w:rFonts w:ascii="Times New Roman" w:cs="Times New Roman" w:eastAsia="Times New Roman" w:hAnsi="Times New Roman"/>
          <w:sz w:val="14"/>
          <w:szCs w:val="14"/>
          <w:color w:val="auto"/>
        </w:rPr>
      </w:pPr>
    </w:p>
    <w:p>
      <w:pPr>
        <w:ind w:left="220" w:right="279" w:firstLine="3"/>
        <w:spacing w:after="0" w:line="252" w:lineRule="auto"/>
        <w:tabs>
          <w:tab w:leader="none" w:pos="418"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Janssen’s costs or fees; (c) adversely impacts any project or Research Plan; or (d) to BTO’s knowledge, after conducting a reasonable inquiry, impacts the way in which Janssen conducts its business or operations which impact Janssen considers to be adverse, in each of the foregoing cases (a) through (d) without first obtaining the approval of Janssen, which approval Janssen will consider in good faith and in timely fashion. Notwithstanding the foregoing, BTO may make temporary changes if it is unable to contact Janssen to obtain such approval after making reasonable efforts. BTO shall document and promptly report such temporary changes to Janssen. Any changes herein will require mutual written agreement of both Parties.</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 Section 9.13 shall be added following Section 9.12 of the Agreement:</w:t>
      </w:r>
    </w:p>
    <w:p>
      <w:pPr>
        <w:spacing w:after="0" w:line="91" w:lineRule="exact"/>
        <w:rPr>
          <w:sz w:val="20"/>
          <w:szCs w:val="20"/>
          <w:color w:val="auto"/>
        </w:rPr>
      </w:pPr>
    </w:p>
    <w:p>
      <w:pPr>
        <w:ind w:left="220" w:right="419" w:firstLine="342"/>
        <w:spacing w:after="0" w:line="261" w:lineRule="auto"/>
        <w:rPr>
          <w:sz w:val="20"/>
          <w:szCs w:val="20"/>
          <w:color w:val="auto"/>
        </w:rPr>
      </w:pPr>
      <w:r>
        <w:rPr>
          <w:rFonts w:ascii="Times New Roman" w:cs="Times New Roman" w:eastAsia="Times New Roman" w:hAnsi="Times New Roman"/>
          <w:sz w:val="14"/>
          <w:szCs w:val="14"/>
          <w:color w:val="auto"/>
        </w:rPr>
        <w:t xml:space="preserve">Section 9.13 </w:t>
      </w:r>
      <w:r>
        <w:rPr>
          <w:rFonts w:ascii="Times New Roman" w:cs="Times New Roman" w:eastAsia="Times New Roman" w:hAnsi="Times New Roman"/>
          <w:sz w:val="14"/>
          <w:szCs w:val="14"/>
          <w:u w:val="single" w:color="auto"/>
          <w:color w:val="auto"/>
        </w:rPr>
        <w:t>Anti-Corruption</w:t>
      </w:r>
      <w:r>
        <w:rPr>
          <w:rFonts w:ascii="Times New Roman" w:cs="Times New Roman" w:eastAsia="Times New Roman" w:hAnsi="Times New Roman"/>
          <w:sz w:val="14"/>
          <w:szCs w:val="14"/>
          <w:color w:val="auto"/>
        </w:rPr>
        <w:t>. Neither party shall perform any actions that are prohibited by local and other anti-corruption laws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 Exhibit A.1 shall be added following Exhibit A of the Agreement.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 Exhibit C of the Agreement shall be deleted and replaced in its entirety with Exhibit C.</w:t>
      </w:r>
    </w:p>
    <w:p>
      <w:pPr>
        <w:spacing w:after="0" w:line="91" w:lineRule="exact"/>
        <w:rPr>
          <w:sz w:val="20"/>
          <w:szCs w:val="20"/>
          <w:color w:val="auto"/>
        </w:rPr>
      </w:pPr>
    </w:p>
    <w:p>
      <w:pPr>
        <w:ind w:left="220" w:right="399"/>
        <w:spacing w:after="0" w:line="258" w:lineRule="auto"/>
        <w:rPr>
          <w:sz w:val="20"/>
          <w:szCs w:val="20"/>
          <w:color w:val="auto"/>
        </w:rPr>
      </w:pPr>
      <w:r>
        <w:rPr>
          <w:rFonts w:ascii="Times New Roman" w:cs="Times New Roman" w:eastAsia="Times New Roman" w:hAnsi="Times New Roman"/>
          <w:sz w:val="14"/>
          <w:szCs w:val="14"/>
          <w:color w:val="auto"/>
        </w:rPr>
        <w:t xml:space="preserve">J. </w:t>
      </w:r>
      <w:r>
        <w:rPr>
          <w:rFonts w:ascii="Times New Roman" w:cs="Times New Roman" w:eastAsia="Times New Roman" w:hAnsi="Times New Roman"/>
          <w:sz w:val="14"/>
          <w:szCs w:val="14"/>
          <w:u w:val="single" w:color="auto"/>
          <w:color w:val="auto"/>
        </w:rPr>
        <w:t>Effect of Amendment; Counterparts</w:t>
      </w:r>
      <w:r>
        <w:rPr>
          <w:rFonts w:ascii="Times New Roman" w:cs="Times New Roman" w:eastAsia="Times New Roman" w:hAnsi="Times New Roman"/>
          <w:sz w:val="14"/>
          <w:szCs w:val="14"/>
          <w:color w:val="auto"/>
        </w:rPr>
        <w:t>. Except as expressly modified by this First Amendment, all terms and conditions set forth in the Collaboration Agreement between the parties dated January 6, 2023, shall remain in full force and effect. This First Amendment may be executed by signatures delivered by facsimile transmission or delivered electronically in optically scanned form; and/or it may be simultaneously executed by the parties in multiple counterparts, each of which will be considered to be an original instrument, and all of which taken together, where each party has executed at least one counterpart, will constitute one and the same instrument.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FOLLOW]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751" w:name="page752"/>
    <w:bookmarkEnd w:id="751"/>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This First Amendment of the Agreement is signed on the dates set forth below by duly authorized representatives of BTO and Janssen, respectively.</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BillionToOne, Inc.</w:t>
            </w:r>
          </w:p>
        </w:tc>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Janssen Research &amp; Development, LLC</w:t>
            </w:r>
          </w:p>
        </w:tc>
      </w:tr>
      <w:tr>
        <w:trPr>
          <w:trHeight w:val="336"/>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Oguzhan Atay</w:t>
            </w:r>
          </w:p>
        </w:tc>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By:  /s/ William Hait</w:t>
            </w:r>
          </w:p>
        </w:tc>
      </w:tr>
      <w:tr>
        <w:trPr>
          <w:trHeight w:val="154"/>
        </w:trPr>
        <w:tc>
          <w:tcPr>
            <w:tcW w:w="3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rPr>
              <w:t>Oguzhan Atay</w:t>
            </w:r>
          </w:p>
        </w:tc>
        <w:tc>
          <w:tcPr>
            <w:tcW w:w="200" w:type="dxa"/>
            <w:vAlign w:val="bottom"/>
          </w:tcPr>
          <w:p>
            <w:pPr>
              <w:spacing w:after="0"/>
              <w:rPr>
                <w:sz w:val="13"/>
                <w:szCs w:val="13"/>
                <w:color w:val="auto"/>
              </w:rPr>
            </w:pPr>
          </w:p>
        </w:tc>
        <w:tc>
          <w:tcPr>
            <w:tcW w:w="680" w:type="dxa"/>
            <w:vAlign w:val="bottom"/>
          </w:tcPr>
          <w:p>
            <w:pPr>
              <w:ind w:left="340"/>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rPr>
              <w:t>William Hait</w:t>
            </w:r>
          </w:p>
        </w:tc>
      </w:tr>
      <w:tr>
        <w:trPr>
          <w:trHeight w:val="168"/>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Chief Executive Officer</w:t>
            </w:r>
          </w:p>
        </w:tc>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Title: Authorized Signatory</w:t>
            </w:r>
          </w:p>
        </w:tc>
      </w:tr>
      <w:tr>
        <w:trPr>
          <w:trHeight w:val="18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 July 14, 2023</w:t>
            </w:r>
          </w:p>
        </w:tc>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Date: July 14, 2023</w:t>
            </w:r>
          </w:p>
        </w:tc>
      </w:tr>
      <w:tr>
        <w:trPr>
          <w:trHeight w:val="336"/>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Attachment:</w:t>
            </w: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EXHIBIT A.1: Research Plan for EU IVDR &amp; ROW Regulatory Activities</w:t>
            </w:r>
          </w:p>
        </w:tc>
        <w:tc>
          <w:tcPr>
            <w:tcW w:w="6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8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C: Protection of Personal Information</w:t>
            </w:r>
          </w:p>
        </w:tc>
        <w:tc>
          <w:tcPr>
            <w:tcW w:w="6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28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368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752" w:name="page753"/>
    <w:bookmarkEnd w:id="752"/>
    <w:p>
      <w:pPr>
        <w:ind w:left="8060"/>
        <w:spacing w:after="0"/>
        <w:rPr>
          <w:sz w:val="20"/>
          <w:szCs w:val="20"/>
          <w:color w:val="auto"/>
        </w:rPr>
      </w:pPr>
      <w:r>
        <w:rPr>
          <w:rFonts w:ascii="Times New Roman" w:cs="Times New Roman" w:eastAsia="Times New Roman" w:hAnsi="Times New Roman"/>
          <w:sz w:val="13"/>
          <w:szCs w:val="13"/>
          <w:b w:val="1"/>
          <w:bCs w:val="1"/>
          <w:color w:val="auto"/>
        </w:rPr>
        <w:t>Exhibit 10.9</w:t>
      </w:r>
    </w:p>
    <w:p>
      <w:pPr>
        <w:spacing w:after="0" w:line="186"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b w:val="1"/>
          <w:bCs w:val="1"/>
          <w:color w:val="auto"/>
        </w:rPr>
        <w:t>CERTAIN CONFIDENTIAL INFORMATION CONTAINED IN THIS DOCUMENT, MARKED BY [***], HAS BEEN OMITTED BECAUSE IT IS BOTH (I) NOT MATERIAL AND (II) IS THE TYPE THAT THE REGISTRANT ACTUALLY TREATS AS PRIVATE OR CONFIDENTIAL.</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 #2 TO COLLABORATION AGREEMENT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HUMAN LABORATORY SERVICES</w:t>
      </w:r>
    </w:p>
    <w:p>
      <w:pPr>
        <w:spacing w:after="0" w:line="158" w:lineRule="exact"/>
        <w:rPr>
          <w:sz w:val="20"/>
          <w:szCs w:val="20"/>
          <w:color w:val="auto"/>
        </w:rPr>
      </w:pPr>
    </w:p>
    <w:p>
      <w:pPr>
        <w:ind w:left="220" w:right="239"/>
        <w:spacing w:after="0" w:line="256" w:lineRule="auto"/>
        <w:rPr>
          <w:sz w:val="20"/>
          <w:szCs w:val="20"/>
          <w:color w:val="auto"/>
        </w:rPr>
      </w:pPr>
      <w:r>
        <w:rPr>
          <w:rFonts w:ascii="Times New Roman" w:cs="Times New Roman" w:eastAsia="Times New Roman" w:hAnsi="Times New Roman"/>
          <w:sz w:val="14"/>
          <w:szCs w:val="14"/>
          <w:color w:val="auto"/>
        </w:rPr>
        <w:t>This Amendment #2 (hereinafter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signed as of the signature date(s) below and made effective as of the date of last signature below (the “</w:t>
      </w:r>
      <w:r>
        <w:rPr>
          <w:rFonts w:ascii="Times New Roman" w:cs="Times New Roman" w:eastAsia="Times New Roman" w:hAnsi="Times New Roman"/>
          <w:sz w:val="14"/>
          <w:szCs w:val="14"/>
          <w:b w:val="1"/>
          <w:bCs w:val="1"/>
          <w:color w:val="auto"/>
        </w:rPr>
        <w:t>Amendment Effective Date</w:t>
      </w:r>
      <w:r>
        <w:rPr>
          <w:rFonts w:ascii="Times New Roman" w:cs="Times New Roman" w:eastAsia="Times New Roman" w:hAnsi="Times New Roman"/>
          <w:sz w:val="14"/>
          <w:szCs w:val="14"/>
          <w:color w:val="auto"/>
        </w:rPr>
        <w:t>”), and entered into by and between Janssen Research &amp; Development, LLC having a business address at 920 Route 202, Raritan, New Jersey 08869, (hereinafter referred to as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Janssen</w:t>
      </w:r>
      <w:r>
        <w:rPr>
          <w:rFonts w:ascii="Times New Roman" w:cs="Times New Roman" w:eastAsia="Times New Roman" w:hAnsi="Times New Roman"/>
          <w:sz w:val="14"/>
          <w:szCs w:val="14"/>
          <w:color w:val="auto"/>
        </w:rPr>
        <w:t>”) and BillionToOne, Inc. having a business address at 1035 O’Brien Dr., Menlo Park, California 94025, (hereinafter referred to as “</w:t>
      </w:r>
      <w:r>
        <w:rPr>
          <w:rFonts w:ascii="Times New Roman" w:cs="Times New Roman" w:eastAsia="Times New Roman" w:hAnsi="Times New Roman"/>
          <w:sz w:val="14"/>
          <w:szCs w:val="14"/>
          <w:b w:val="1"/>
          <w:bCs w:val="1"/>
          <w:color w:val="auto"/>
        </w:rPr>
        <w:t>Provider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BTO</w:t>
      </w:r>
      <w:r>
        <w:rPr>
          <w:rFonts w:ascii="Times New Roman" w:cs="Times New Roman" w:eastAsia="Times New Roman" w:hAnsi="Times New Roman"/>
          <w:sz w:val="14"/>
          <w:szCs w:val="14"/>
          <w:color w:val="auto"/>
        </w:rPr>
        <w:t>”), which may be hereinafter referred to collectively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individually as the or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This Amendment amends the Collaboration Agreement with an Effective Date of January 6, 2023, by and between Company and Provider, as previously amended (the “</w:t>
      </w:r>
      <w:r>
        <w:rPr>
          <w:rFonts w:ascii="Times New Roman" w:cs="Times New Roman" w:eastAsia="Times New Roman" w:hAnsi="Times New Roman"/>
          <w:sz w:val="14"/>
          <w:szCs w:val="14"/>
          <w:b w:val="1"/>
          <w:bCs w:val="1"/>
          <w:color w:val="auto"/>
        </w:rPr>
        <w:t>Collaboration Agreement</w:t>
      </w:r>
      <w:r>
        <w:rPr>
          <w:rFonts w:ascii="Times New Roman" w:cs="Times New Roman" w:eastAsia="Times New Roman" w:hAnsi="Times New Roman"/>
          <w:sz w:val="14"/>
          <w:szCs w:val="14"/>
          <w:color w:val="auto"/>
        </w:rPr>
        <w:t>”). All terms not otherwise defined herein shall have the meanings ascribed to such terms in the Collaboration Agreement.</w:t>
      </w:r>
    </w:p>
    <w:p>
      <w:pPr>
        <w:spacing w:after="0" w:line="143" w:lineRule="exact"/>
        <w:rPr>
          <w:sz w:val="20"/>
          <w:szCs w:val="20"/>
          <w:color w:val="auto"/>
        </w:rPr>
      </w:pPr>
    </w:p>
    <w:p>
      <w:pPr>
        <w:ind w:left="220" w:right="319"/>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mutual covenants and agreements set forth below, the Parties, intending to be legally bound, hereby agree as follows:</w:t>
      </w:r>
    </w:p>
    <w:p>
      <w:pPr>
        <w:spacing w:after="0" w:line="52" w:lineRule="exact"/>
        <w:rPr>
          <w:sz w:val="20"/>
          <w:szCs w:val="20"/>
          <w:color w:val="auto"/>
        </w:rPr>
      </w:pPr>
    </w:p>
    <w:p>
      <w:pPr>
        <w:ind w:left="820" w:hanging="597"/>
        <w:spacing w:after="0"/>
        <w:tabs>
          <w:tab w:leader="none" w:pos="82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Section 9.14 is hereby inserted into the Collaboration Agreement as follows:</w:t>
      </w:r>
    </w:p>
    <w:p>
      <w:pPr>
        <w:spacing w:after="0" w:line="90"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Human Laboratory Services</w:t>
      </w:r>
      <w:r>
        <w:rPr>
          <w:rFonts w:ascii="Times New Roman" w:cs="Times New Roman" w:eastAsia="Times New Roman" w:hAnsi="Times New Roman"/>
          <w:sz w:val="14"/>
          <w:szCs w:val="14"/>
          <w:color w:val="auto"/>
        </w:rPr>
        <w:t xml:space="preserve">. The Parties shall comply with the Human Laboratory Services Agreement as set forth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820" w:right="639" w:hanging="597"/>
        <w:spacing w:after="0" w:line="282" w:lineRule="auto"/>
        <w:tabs>
          <w:tab w:leader="none" w:pos="82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attached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Human Laboratory Services Agreement, is hereby inserted into the Collaboration Agreement and incorporated therein.</w:t>
      </w:r>
    </w:p>
    <w:p>
      <w:pPr>
        <w:spacing w:after="0" w:line="51" w:lineRule="exact"/>
        <w:rPr>
          <w:rFonts w:ascii="Times New Roman" w:cs="Times New Roman" w:eastAsia="Times New Roman" w:hAnsi="Times New Roman"/>
          <w:sz w:val="14"/>
          <w:szCs w:val="14"/>
          <w:color w:val="auto"/>
        </w:rPr>
      </w:pPr>
    </w:p>
    <w:p>
      <w:pPr>
        <w:jc w:val="both"/>
        <w:ind w:left="820" w:right="339" w:hanging="597"/>
        <w:spacing w:after="0" w:line="266" w:lineRule="auto"/>
        <w:tabs>
          <w:tab w:leader="none" w:pos="82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2.3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of the Collaboration Agreement shall be deleted and replaced in its entirety with the following: Clinical trial testing activities are outlined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Human Laboratory Services Agreement, including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Scope of Work for Laboratory Services, appended thereto.</w:t>
      </w:r>
    </w:p>
    <w:p>
      <w:pPr>
        <w:spacing w:after="0" w:line="62" w:lineRule="exact"/>
        <w:rPr>
          <w:rFonts w:ascii="Times New Roman" w:cs="Times New Roman" w:eastAsia="Times New Roman" w:hAnsi="Times New Roman"/>
          <w:sz w:val="14"/>
          <w:szCs w:val="14"/>
          <w:color w:val="auto"/>
        </w:rPr>
      </w:pPr>
    </w:p>
    <w:p>
      <w:pPr>
        <w:ind w:left="820" w:right="379" w:hanging="597"/>
        <w:spacing w:after="0" w:line="266" w:lineRule="auto"/>
        <w:tabs>
          <w:tab w:leader="none" w:pos="82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specifically amended hereby, all terms of the Collaboration Agreement remain in full force and effect. In the event of any conflict between the Collaboration Agreement and this Amendment, the provisions of this Amendment shall prevail for Clinical Trial Laboratory Services as defined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Human Laboratory Services Agreement.</w:t>
      </w:r>
    </w:p>
    <w:p>
      <w:pPr>
        <w:spacing w:after="0" w:line="62" w:lineRule="exact"/>
        <w:rPr>
          <w:rFonts w:ascii="Times New Roman" w:cs="Times New Roman" w:eastAsia="Times New Roman" w:hAnsi="Times New Roman"/>
          <w:sz w:val="14"/>
          <w:szCs w:val="14"/>
          <w:color w:val="auto"/>
        </w:rPr>
      </w:pPr>
    </w:p>
    <w:p>
      <w:pPr>
        <w:ind w:left="820" w:right="339" w:hanging="597"/>
        <w:spacing w:after="0" w:line="273" w:lineRule="auto"/>
        <w:tabs>
          <w:tab w:leader="none" w:pos="820" w:val="left"/>
        </w:tabs>
        <w:numPr>
          <w:ilvl w:val="0"/>
          <w:numId w:val="5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Counterparts. This Amendment may be executed in counterparts where execution in two or more counterparts is valid and enforceable, and each such counterpart shall be an original and all such counterparts together shall constitute the entire Amendment. Electronically executed and electronically transmitted signatures shall have the full force and effect of an original signature. Facsimile signatures and photocopied signatures transmitted by email shall be deemed to be originals for all purposes under this Amendment where facsimile and photocopied signatures are valid and enforceable. This Amendment and any subsequent amendments to this Human Laboratory Services Agreement may be signed electronically as long as (a) electronic signatures are valid and effective in the jurisdiction in which such instrument is signed, and</w:t>
      </w:r>
    </w:p>
    <w:p>
      <w:pPr>
        <w:spacing w:after="0" w:line="1" w:lineRule="exact"/>
        <w:rPr>
          <w:rFonts w:ascii="Times New Roman" w:cs="Times New Roman" w:eastAsia="Times New Roman" w:hAnsi="Times New Roman"/>
          <w:sz w:val="13"/>
          <w:szCs w:val="13"/>
          <w:color w:val="auto"/>
        </w:rPr>
      </w:pPr>
    </w:p>
    <w:p>
      <w:pPr>
        <w:ind w:left="820" w:right="699"/>
        <w:spacing w:after="0" w:line="26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electronic signatures are permitted by Company’s policies as in effect from time to time and authenticated in accordance with such policies.</w:t>
      </w:r>
    </w:p>
    <w:p>
      <w:pPr>
        <w:spacing w:after="0" w:line="8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 of 25</w:t>
      </w:r>
    </w:p>
    <w:p>
      <w:pPr>
        <w:sectPr>
          <w:pgSz w:w="11900" w:h="16838" w:orient="portrait"/>
          <w:cols w:equalWidth="0" w:num="1">
            <w:col w:w="9019"/>
          </w:cols>
          <w:pgMar w:left="1440" w:top="124" w:right="1440" w:bottom="1440" w:gutter="0" w:footer="0" w:header="0"/>
        </w:sectPr>
      </w:pPr>
    </w:p>
    <w:bookmarkStart w:id="753" w:name="page754"/>
    <w:bookmarkEnd w:id="753"/>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executed this Amendment by their duly authorized officers or representatives.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Janssen Research &amp; Development, LLC</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BillionToOne, Inc.</w:t>
            </w:r>
          </w:p>
        </w:tc>
      </w:tr>
      <w:tr>
        <w:trPr>
          <w:trHeight w:val="336"/>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Carolyn Cuff</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By:  /s/ Shan Sakakibara</w:t>
            </w:r>
          </w:p>
        </w:tc>
      </w:tr>
      <w:tr>
        <w:trPr>
          <w:trHeight w:val="154"/>
        </w:trPr>
        <w:tc>
          <w:tcPr>
            <w:tcW w:w="3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rPr>
              <w:t>Carolyn Cuff</w:t>
            </w:r>
          </w:p>
        </w:tc>
        <w:tc>
          <w:tcPr>
            <w:tcW w:w="880" w:type="dxa"/>
            <w:vAlign w:val="bottom"/>
          </w:tcPr>
          <w:p>
            <w:pPr>
              <w:ind w:left="540"/>
              <w:spacing w:after="0" w:line="154" w:lineRule="exact"/>
              <w:rPr>
                <w:sz w:val="20"/>
                <w:szCs w:val="20"/>
                <w:color w:val="auto"/>
              </w:rPr>
            </w:pPr>
            <w:r>
              <w:rPr>
                <w:rFonts w:ascii="Times New Roman" w:cs="Times New Roman" w:eastAsia="Times New Roman" w:hAnsi="Times New Roman"/>
                <w:sz w:val="14"/>
                <w:szCs w:val="14"/>
                <w:color w:val="auto"/>
                <w:w w:val="85"/>
              </w:rPr>
              <w:t>Name:</w:t>
            </w:r>
          </w:p>
        </w:tc>
        <w:tc>
          <w:tcPr>
            <w:tcW w:w="36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rPr>
              <w:t>Shan Sakakibara</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Vice President</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Title: Chief Product Officer</w:t>
            </w:r>
          </w:p>
        </w:tc>
      </w:tr>
      <w:tr>
        <w:trPr>
          <w:trHeight w:val="18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August 11, 2023</w:t>
            </w:r>
          </w:p>
        </w:tc>
        <w:tc>
          <w:tcPr>
            <w:tcW w:w="45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Date: Aug 11, 2023</w:t>
            </w:r>
          </w:p>
        </w:tc>
      </w:tr>
      <w:tr>
        <w:trPr>
          <w:trHeight w:val="28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Page 2 of 25</w:t>
            </w:r>
          </w:p>
        </w:tc>
      </w:tr>
    </w:tbl>
    <w:p>
      <w:pPr>
        <w:sectPr>
          <w:pgSz w:w="11900" w:h="16838" w:orient="portrait"/>
          <w:cols w:equalWidth="0" w:num="1">
            <w:col w:w="9019"/>
          </w:cols>
          <w:pgMar w:left="1440" w:top="240" w:right="1440" w:bottom="1440" w:gutter="0" w:footer="0" w:header="0"/>
        </w:sectPr>
      </w:pPr>
    </w:p>
    <w:bookmarkStart w:id="754" w:name="page755"/>
    <w:bookmarkEnd w:id="75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HUMAN LABORATORY SERVICES AGREEMENT</w:t>
      </w:r>
    </w:p>
    <w:p>
      <w:pPr>
        <w:spacing w:after="0" w:line="177" w:lineRule="exact"/>
        <w:rPr>
          <w:sz w:val="20"/>
          <w:szCs w:val="20"/>
          <w:color w:val="auto"/>
        </w:rPr>
      </w:pPr>
    </w:p>
    <w:p>
      <w:pPr>
        <w:ind w:left="220" w:right="319"/>
        <w:spacing w:after="0" w:line="266" w:lineRule="auto"/>
        <w:rPr>
          <w:sz w:val="20"/>
          <w:szCs w:val="20"/>
          <w:color w:val="auto"/>
        </w:rPr>
      </w:pPr>
      <w:r>
        <w:rPr>
          <w:rFonts w:ascii="Times New Roman" w:cs="Times New Roman" w:eastAsia="Times New Roman" w:hAnsi="Times New Roman"/>
          <w:sz w:val="14"/>
          <w:szCs w:val="14"/>
          <w:color w:val="auto"/>
        </w:rPr>
        <w:t xml:space="preserve">WHEREAS, Company wishes to obtain from Provider pursuant to the terms of this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Human Laboratory Services Agreement, and the Collaboration Agreement, certain clinical laboratory services, which may include, human tissue testing and analysis, as further identified in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xml:space="preserve"> to this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419"/>
        <w:spacing w:after="0" w:line="266" w:lineRule="auto"/>
        <w:rPr>
          <w:sz w:val="20"/>
          <w:szCs w:val="20"/>
          <w:color w:val="auto"/>
        </w:rPr>
      </w:pPr>
      <w:r>
        <w:rPr>
          <w:rFonts w:ascii="Times New Roman" w:cs="Times New Roman" w:eastAsia="Times New Roman" w:hAnsi="Times New Roman"/>
          <w:sz w:val="14"/>
          <w:szCs w:val="14"/>
          <w:color w:val="auto"/>
        </w:rPr>
        <w:t xml:space="preserve">WHEREAS, Provider has the knowledge, capacity and means required to perform such services, has qualified personnel to perform such services and wishes to provide such services, pursuant to the terms of this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Human Laboratory Services Agreement, and the Collaboration Agreement, certain clinical laboratory services;</w:t>
      </w:r>
    </w:p>
    <w:p>
      <w:pPr>
        <w:spacing w:after="0" w:line="136" w:lineRule="exact"/>
        <w:rPr>
          <w:sz w:val="20"/>
          <w:szCs w:val="20"/>
          <w:color w:val="auto"/>
        </w:rPr>
      </w:pPr>
    </w:p>
    <w:p>
      <w:pPr>
        <w:ind w:left="220" w:right="359"/>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mutual covenants and agreements set forth below, the Parties, intending to be legally bound, hereby agree as follows;</w:t>
      </w:r>
    </w:p>
    <w:p>
      <w:pPr>
        <w:spacing w:after="0" w:line="50" w:lineRule="exact"/>
        <w:rPr>
          <w:sz w:val="20"/>
          <w:szCs w:val="20"/>
          <w:color w:val="auto"/>
        </w:rPr>
      </w:pPr>
    </w:p>
    <w:p>
      <w:pPr>
        <w:ind w:left="820" w:hanging="597"/>
        <w:spacing w:after="0"/>
        <w:tabs>
          <w:tab w:leader="none" w:pos="820" w:val="left"/>
        </w:tabs>
        <w:numPr>
          <w:ilvl w:val="0"/>
          <w:numId w:val="5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Definitions</w:t>
      </w:r>
    </w:p>
    <w:p>
      <w:pPr>
        <w:spacing w:after="0" w:line="101" w:lineRule="exact"/>
        <w:rPr>
          <w:sz w:val="20"/>
          <w:szCs w:val="20"/>
          <w:color w:val="auto"/>
        </w:rPr>
      </w:pPr>
    </w:p>
    <w:p>
      <w:pPr>
        <w:ind w:left="820" w:right="45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a Party means any entity that directly or indirectly controls, is controlled by or is under common control with such Party. Control, controls or controlled with respect to an entity shall mean the possession of at least 50% of the voting stock or other ownership interest of such entity, or the power to direct or cause the direction of the management and policies of such entity or the power to elect or appoint at least 50% of the members of the governing body of such entity through the ownership of the outstanding voting securities or by contract or otherwise.</w:t>
      </w:r>
    </w:p>
    <w:p>
      <w:pPr>
        <w:spacing w:after="0" w:line="65" w:lineRule="exact"/>
        <w:rPr>
          <w:sz w:val="20"/>
          <w:szCs w:val="20"/>
          <w:color w:val="auto"/>
        </w:rPr>
      </w:pPr>
    </w:p>
    <w:p>
      <w:pPr>
        <w:ind w:left="820" w:right="27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Applicable Laws</w:t>
      </w:r>
      <w:r>
        <w:rPr>
          <w:rFonts w:ascii="Times New Roman" w:cs="Times New Roman" w:eastAsia="Times New Roman" w:hAnsi="Times New Roman"/>
          <w:sz w:val="14"/>
          <w:szCs w:val="14"/>
          <w:color w:val="auto"/>
        </w:rPr>
        <w:t>” means any and all national, federal, state or local or foreign or multinational law, statute, standard, ordinance, code, rule, regulation, resolution, guidance or promulgation, the ICH guidelines, or any Government Order, or any license, franchise, permit or similar right granted under any of the foregoing, or any similar provision having the force or effect of law, in each case, as in effect at a given time when, and in the countries where, the Study is being conducted and following the Study to comply with the obligations in this Human Laboratory Services Agreement that survive the termination or expiration, including, but not limited to cGCP and/or CLIA.</w:t>
      </w:r>
    </w:p>
    <w:p>
      <w:pPr>
        <w:spacing w:after="0" w:line="67"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CAP</w:t>
      </w:r>
      <w:r>
        <w:rPr>
          <w:rFonts w:ascii="Times New Roman" w:cs="Times New Roman" w:eastAsia="Times New Roman" w:hAnsi="Times New Roman"/>
          <w:sz w:val="13"/>
          <w:szCs w:val="13"/>
          <w:color w:val="auto"/>
        </w:rPr>
        <w:t>” means accreditation issued by the College of American Pathologists.</w:t>
      </w:r>
    </w:p>
    <w:p>
      <w:pPr>
        <w:spacing w:after="0" w:line="101" w:lineRule="exact"/>
        <w:rPr>
          <w:sz w:val="20"/>
          <w:szCs w:val="20"/>
          <w:color w:val="auto"/>
        </w:rPr>
      </w:pPr>
    </w:p>
    <w:p>
      <w:pPr>
        <w:ind w:left="820" w:right="33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cGCP</w:t>
      </w:r>
      <w:r>
        <w:rPr>
          <w:rFonts w:ascii="Times New Roman" w:cs="Times New Roman" w:eastAsia="Times New Roman" w:hAnsi="Times New Roman"/>
          <w:sz w:val="14"/>
          <w:szCs w:val="14"/>
          <w:color w:val="auto"/>
        </w:rPr>
        <w:t>” means good clinical practice as defined by the quality standards detailed by the ICH E6 guidelines or FDA, and other Applicable Laws intended to ensure the integrity of clinical data on which product approvals are based and to help protect the rights, safety, and welfare of human subjects.</w:t>
      </w:r>
    </w:p>
    <w:p>
      <w:pPr>
        <w:spacing w:after="0" w:line="61" w:lineRule="exact"/>
        <w:rPr>
          <w:sz w:val="20"/>
          <w:szCs w:val="20"/>
          <w:color w:val="auto"/>
        </w:rPr>
      </w:pPr>
    </w:p>
    <w:p>
      <w:pPr>
        <w:ind w:left="820" w:right="97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CLIA</w:t>
      </w:r>
      <w:r>
        <w:rPr>
          <w:rFonts w:ascii="Times New Roman" w:cs="Times New Roman" w:eastAsia="Times New Roman" w:hAnsi="Times New Roman"/>
          <w:sz w:val="14"/>
          <w:szCs w:val="14"/>
          <w:color w:val="auto"/>
        </w:rPr>
        <w:t>” means the Clinical Laboratory Improvement Amendments of 1988, as may be amended, replaced or supplemented from time-to-time.</w:t>
      </w:r>
    </w:p>
    <w:p>
      <w:pPr>
        <w:spacing w:after="0" w:line="48" w:lineRule="exact"/>
        <w:rPr>
          <w:sz w:val="20"/>
          <w:szCs w:val="20"/>
          <w:color w:val="auto"/>
        </w:rPr>
      </w:pPr>
    </w:p>
    <w:p>
      <w:pPr>
        <w:jc w:val="both"/>
        <w:ind w:left="820" w:right="27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Clinical Trial Laboratory Services</w:t>
      </w:r>
      <w:r>
        <w:rPr>
          <w:rFonts w:ascii="Times New Roman" w:cs="Times New Roman" w:eastAsia="Times New Roman" w:hAnsi="Times New Roman"/>
          <w:sz w:val="14"/>
          <w:szCs w:val="14"/>
          <w:color w:val="auto"/>
        </w:rPr>
        <w:t xml:space="preserve">” means the biomedical laboratory testing services in support of a Study, including human tissue testing and analysis of clinical trial samples (as further identified in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xml:space="preserve"> to this Human Laboratory Services Agreement), and related services provided or to be provided by Provider under this Human Laboratory Services Agreement, as detailed in the Scope of Work.</w:t>
      </w:r>
    </w:p>
    <w:p>
      <w:pPr>
        <w:spacing w:after="0" w:line="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3 of 25</w:t>
      </w:r>
    </w:p>
    <w:p>
      <w:pPr>
        <w:sectPr>
          <w:pgSz w:w="11900" w:h="16838" w:orient="portrait"/>
          <w:cols w:equalWidth="0" w:num="1">
            <w:col w:w="9019"/>
          </w:cols>
          <w:pgMar w:left="1440" w:top="240" w:right="1440" w:bottom="1440" w:gutter="0" w:footer="0" w:header="0"/>
        </w:sectPr>
      </w:pPr>
    </w:p>
    <w:bookmarkStart w:id="755" w:name="page756"/>
    <w:bookmarkEnd w:id="755"/>
    <w:p>
      <w:pPr>
        <w:ind w:left="820" w:right="43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Confidential Information</w:t>
      </w:r>
      <w:r>
        <w:rPr>
          <w:rFonts w:ascii="Times New Roman" w:cs="Times New Roman" w:eastAsia="Times New Roman" w:hAnsi="Times New Roman"/>
          <w:sz w:val="14"/>
          <w:szCs w:val="14"/>
          <w:color w:val="auto"/>
        </w:rPr>
        <w:t>” means the Confidential Information (as defined in the Collaboration Agreement) provided to Provider and/or Provider Party by Company or supplied on its behalf, or otherwise acquired by Provider and/or Provider Parties, in connection with this Human Laboratory Services Agreement but in all cases subject to Section 7 (Confidentiality) and/or Section 8 (Intellectual Property) of this Human Laboratory Services Agreement. For the avoidance of doubt, Company Confidential Information includes Company Materials and Deliverables subject to Section 7 (Confidentiality) and/or Section 8 (Intellectual Property) of this Human Laboratory Services Agreement.</w:t>
      </w:r>
    </w:p>
    <w:p>
      <w:pPr>
        <w:spacing w:after="0" w:line="67" w:lineRule="exact"/>
        <w:rPr>
          <w:sz w:val="20"/>
          <w:szCs w:val="20"/>
          <w:color w:val="auto"/>
        </w:rPr>
      </w:pPr>
    </w:p>
    <w:p>
      <w:pPr>
        <w:ind w:left="820" w:right="25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Material(s)</w:t>
      </w:r>
      <w:r>
        <w:rPr>
          <w:rFonts w:ascii="Times New Roman" w:cs="Times New Roman" w:eastAsia="Times New Roman" w:hAnsi="Times New Roman"/>
          <w:sz w:val="14"/>
          <w:szCs w:val="14"/>
          <w:color w:val="auto"/>
        </w:rPr>
        <w:t>” means Samples, physical embodiments of any and all specimens, including, without limitation, all human biological samples and materials provided in connection with a Study, other biological or chemical samples and materials, including Products and other substances, reagents and kits required or useful to perform the Clinical Trial Laboratory Services and either (i) delivered to Provider by or on behalf of Company or (ii) created, developed, designed and/or used in the course of performing the Clinical Trial Laboratory Services, including those specified in the Scope of Work, as well as alternative forms or derivatives thereof.</w:t>
      </w:r>
    </w:p>
    <w:p>
      <w:pPr>
        <w:spacing w:after="0" w:line="65"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Company’s Records and Information</w:t>
      </w:r>
      <w:r>
        <w:rPr>
          <w:rFonts w:ascii="Times New Roman" w:cs="Times New Roman" w:eastAsia="Times New Roman" w:hAnsi="Times New Roman"/>
          <w:sz w:val="13"/>
          <w:szCs w:val="13"/>
          <w:color w:val="auto"/>
        </w:rPr>
        <w:t>” has the meaning set forth in Section 11.1.</w:t>
      </w:r>
    </w:p>
    <w:p>
      <w:pPr>
        <w:spacing w:after="0" w:line="101" w:lineRule="exact"/>
        <w:rPr>
          <w:sz w:val="20"/>
          <w:szCs w:val="20"/>
          <w:color w:val="auto"/>
        </w:rPr>
      </w:pPr>
    </w:p>
    <w:p>
      <w:pPr>
        <w:ind w:left="820" w:right="2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Corrective and Preventive Actions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CAPA</w:t>
      </w:r>
      <w:r>
        <w:rPr>
          <w:rFonts w:ascii="Times New Roman" w:cs="Times New Roman" w:eastAsia="Times New Roman" w:hAnsi="Times New Roman"/>
          <w:sz w:val="14"/>
          <w:szCs w:val="14"/>
          <w:color w:val="auto"/>
        </w:rPr>
        <w:t>” shall mean action(s) taken to resolve a deviation or observation and eliminate the cause of a deviation or observation related to the Clinical Trial Laboratory Services.</w:t>
      </w:r>
    </w:p>
    <w:p>
      <w:pPr>
        <w:spacing w:after="0" w:line="48" w:lineRule="exact"/>
        <w:rPr>
          <w:sz w:val="20"/>
          <w:szCs w:val="20"/>
          <w:color w:val="auto"/>
        </w:rPr>
      </w:pPr>
    </w:p>
    <w:p>
      <w:pPr>
        <w:ind w:left="820" w:right="45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Deliverables</w:t>
      </w:r>
      <w:r>
        <w:rPr>
          <w:rFonts w:ascii="Times New Roman" w:cs="Times New Roman" w:eastAsia="Times New Roman" w:hAnsi="Times New Roman"/>
          <w:sz w:val="14"/>
          <w:szCs w:val="14"/>
          <w:color w:val="auto"/>
        </w:rPr>
        <w:t>” means all deliverables created by Provider and/or Provider Party in connection with the performance of Clinical Trial Laboratory Services, including, without limitation, all data, documentation, records, Company Records and Information, reports, presentations, and results, and all derivatives of any of the foregoing or Company Confidential Information generated by or on behalf of Provider or a Provider Party or supplied or delivered to Company by or on behalf of Provider and/or any Provider Party under this Human Laboratory Services Agreement, but in all cases, subject to Section 7 (Confidentiality) and Section 8 (Intellectual Property) of this Human Laboratory Services Agreement.</w:t>
      </w:r>
    </w:p>
    <w:p>
      <w:pPr>
        <w:spacing w:after="0" w:line="67" w:lineRule="exact"/>
        <w:rPr>
          <w:sz w:val="20"/>
          <w:szCs w:val="20"/>
          <w:color w:val="auto"/>
        </w:rPr>
      </w:pPr>
    </w:p>
    <w:p>
      <w:pPr>
        <w:ind w:left="820" w:right="31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Equipment</w:t>
      </w:r>
      <w:r>
        <w:rPr>
          <w:rFonts w:ascii="Times New Roman" w:cs="Times New Roman" w:eastAsia="Times New Roman" w:hAnsi="Times New Roman"/>
          <w:sz w:val="14"/>
          <w:szCs w:val="14"/>
          <w:color w:val="auto"/>
        </w:rPr>
        <w:t>” means any technical hardware and machinery (including laboratory instruments and other laboratory equipment and computer hardware), as well as commercial reagents and consumables.</w:t>
      </w:r>
    </w:p>
    <w:p>
      <w:pPr>
        <w:spacing w:after="0" w:line="48" w:lineRule="exact"/>
        <w:rPr>
          <w:sz w:val="20"/>
          <w:szCs w:val="20"/>
          <w:color w:val="auto"/>
        </w:rPr>
      </w:pPr>
    </w:p>
    <w:p>
      <w:pPr>
        <w:ind w:left="820" w:right="67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Facilities</w:t>
      </w:r>
      <w:r>
        <w:rPr>
          <w:rFonts w:ascii="Times New Roman" w:cs="Times New Roman" w:eastAsia="Times New Roman" w:hAnsi="Times New Roman"/>
          <w:sz w:val="14"/>
          <w:szCs w:val="14"/>
          <w:color w:val="auto"/>
        </w:rPr>
        <w:t>” means the facilities of Provider used for the Clinical Trial Laboratory Services. The approved facility and/or facilities for Clinical Trial Laboratory Services will be set forth on the Scope of Work.</w:t>
      </w:r>
    </w:p>
    <w:p>
      <w:pPr>
        <w:spacing w:after="0" w:line="4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means the United States Food and Drug Administration, or any successor agency thereto.</w:t>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Page 4 of 25</w:t>
      </w:r>
    </w:p>
    <w:p>
      <w:pPr>
        <w:sectPr>
          <w:pgSz w:w="11900" w:h="16838" w:orient="portrait"/>
          <w:cols w:equalWidth="0" w:num="1">
            <w:col w:w="9019"/>
          </w:cols>
          <w:pgMar w:left="1440" w:top="239" w:right="1440" w:bottom="1440" w:gutter="0" w:footer="0" w:header="0"/>
        </w:sectPr>
      </w:pPr>
    </w:p>
    <w:bookmarkStart w:id="756" w:name="page757"/>
    <w:bookmarkEnd w:id="756"/>
    <w:p>
      <w:pPr>
        <w:ind w:left="820" w:right="7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FD&amp;C Act</w:t>
      </w:r>
      <w:r>
        <w:rPr>
          <w:rFonts w:ascii="Times New Roman" w:cs="Times New Roman" w:eastAsia="Times New Roman" w:hAnsi="Times New Roman"/>
          <w:sz w:val="14"/>
          <w:szCs w:val="14"/>
          <w:color w:val="auto"/>
        </w:rPr>
        <w:t>” means the United States Federal Food, Drug, and Cosmetic Act, 21 U.S.C. §321 et seq., the Public Health Act, each as amended, and the regulations promulgated thereunder.</w:t>
      </w:r>
    </w:p>
    <w:p>
      <w:pPr>
        <w:spacing w:after="0" w:line="4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Functional</w:t>
      </w:r>
      <w:r>
        <w:rPr>
          <w:rFonts w:ascii="Times New Roman" w:cs="Times New Roman" w:eastAsia="Times New Roman" w:hAnsi="Times New Roman"/>
          <w:sz w:val="13"/>
          <w:szCs w:val="13"/>
          <w:color w:val="auto"/>
        </w:rPr>
        <w:t>” has the meaning set forth in Section 20.6.</w:t>
      </w:r>
    </w:p>
    <w:p>
      <w:pPr>
        <w:spacing w:after="0" w:line="101" w:lineRule="exact"/>
        <w:rPr>
          <w:sz w:val="20"/>
          <w:szCs w:val="20"/>
          <w:color w:val="auto"/>
        </w:rPr>
      </w:pPr>
    </w:p>
    <w:p>
      <w:pPr>
        <w:ind w:left="820" w:right="2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 Order</w:t>
      </w:r>
      <w:r>
        <w:rPr>
          <w:rFonts w:ascii="Times New Roman" w:cs="Times New Roman" w:eastAsia="Times New Roman" w:hAnsi="Times New Roman"/>
          <w:sz w:val="14"/>
          <w:szCs w:val="14"/>
          <w:color w:val="auto"/>
        </w:rPr>
        <w:t>” means any order, writ, judgment, injunction, decree, stipulation, ruling, determination or award entered by or with any governmental authority or Regulatory Authority.</w:t>
      </w:r>
    </w:p>
    <w:p>
      <w:pPr>
        <w:spacing w:after="0" w:line="4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means the Health Insurance Portability and Accountability Act of 1996.</w:t>
      </w:r>
    </w:p>
    <w:p>
      <w:pPr>
        <w:spacing w:after="0" w:line="101" w:lineRule="exact"/>
        <w:rPr>
          <w:sz w:val="20"/>
          <w:szCs w:val="20"/>
          <w:color w:val="auto"/>
        </w:rPr>
      </w:pPr>
    </w:p>
    <w:p>
      <w:pPr>
        <w:ind w:left="820" w:right="29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1.19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Human Laboratory Services Agreement</w:t>
      </w:r>
      <w:r>
        <w:rPr>
          <w:rFonts w:ascii="Times New Roman" w:cs="Times New Roman" w:eastAsia="Times New Roman" w:hAnsi="Times New Roman"/>
          <w:sz w:val="14"/>
          <w:szCs w:val="14"/>
          <w:color w:val="auto"/>
        </w:rPr>
        <w:t xml:space="preserve">” means this Human Laboratory Services Agreement,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as it may be amended from time to time in accordance with its terms, and the Exhibits and attachments hereto, including, without limitation, the Scope of Work, all of which are an integral part of this agreement and are deemed incorporated by reference herein.</w:t>
      </w:r>
    </w:p>
    <w:p>
      <w:pPr>
        <w:spacing w:after="0" w:line="61" w:lineRule="exact"/>
        <w:rPr>
          <w:sz w:val="20"/>
          <w:szCs w:val="20"/>
          <w:color w:val="auto"/>
        </w:rPr>
      </w:pPr>
    </w:p>
    <w:p>
      <w:pPr>
        <w:ind w:left="820" w:right="25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1.20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ICH</w:t>
      </w:r>
      <w:r>
        <w:rPr>
          <w:rFonts w:ascii="Times New Roman" w:cs="Times New Roman" w:eastAsia="Times New Roman" w:hAnsi="Times New Roman"/>
          <w:sz w:val="14"/>
          <w:szCs w:val="14"/>
          <w:color w:val="auto"/>
        </w:rPr>
        <w:t>” means the International Conference on Harmonisation of Technical Requirements for Registration of Pharmaceuticals for Human Use, which includes quality, safety, efficacy, and multidisciplinary joint safety/efficacy guidelines, with the particular guidelines applicable to the Clinical Trial Laboratory Services being E6.</w:t>
      </w:r>
    </w:p>
    <w:p>
      <w:pPr>
        <w:spacing w:after="0" w:line="6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JJNET</w:t>
      </w:r>
      <w:r>
        <w:rPr>
          <w:rFonts w:ascii="Times New Roman" w:cs="Times New Roman" w:eastAsia="Times New Roman" w:hAnsi="Times New Roman"/>
          <w:sz w:val="13"/>
          <w:szCs w:val="13"/>
          <w:color w:val="auto"/>
        </w:rPr>
        <w:t>” has the meaning set forth in Section 11.4.</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Operational Manual</w:t>
      </w:r>
      <w:r>
        <w:rPr>
          <w:rFonts w:ascii="Times New Roman" w:cs="Times New Roman" w:eastAsia="Times New Roman" w:hAnsi="Times New Roman"/>
          <w:sz w:val="13"/>
          <w:szCs w:val="13"/>
          <w:color w:val="auto"/>
        </w:rPr>
        <w:t>” has the meaning set forth in Section 3.10.</w:t>
      </w:r>
    </w:p>
    <w:p>
      <w:pPr>
        <w:spacing w:after="0" w:line="101" w:lineRule="exact"/>
        <w:rPr>
          <w:sz w:val="20"/>
          <w:szCs w:val="20"/>
          <w:color w:val="auto"/>
        </w:rPr>
      </w:pPr>
    </w:p>
    <w:p>
      <w:pPr>
        <w:ind w:left="820" w:right="29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Operational Plans</w:t>
      </w:r>
      <w:r>
        <w:rPr>
          <w:rFonts w:ascii="Times New Roman" w:cs="Times New Roman" w:eastAsia="Times New Roman" w:hAnsi="Times New Roman"/>
          <w:sz w:val="14"/>
          <w:szCs w:val="14"/>
          <w:color w:val="auto"/>
        </w:rPr>
        <w:t>” shall mean, collectively, the documents, whether paper or electronic, that supplement this Human Laboratory Services Agreement by defining in greater detail the applicable operating procedures, work practices, guidelines, policies, system requirements, safety requirements and security requirements and the Party that is responsible for following or complying with a particular procedure, guideline, work instruction, project plan, workflow or specification to complete or deliver, or facilitate the completion or delivery of, the Clinical Trial Laboratory Services or Deliverables under this Human Laboratory Services Agreement, which have been reduced to a writing and approved by each Party, if any. The Operational Plans may include, without limitation, the Operational Manual described in Section 3.10 and Trial Specific Documents described in Section 2.2.</w:t>
      </w:r>
    </w:p>
    <w:p>
      <w:pPr>
        <w:spacing w:after="0" w:line="6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means one or more legal entities subject to this Human Laboratory Services Agreement.</w:t>
      </w:r>
    </w:p>
    <w:p>
      <w:pPr>
        <w:spacing w:after="0" w:line="101" w:lineRule="exact"/>
        <w:rPr>
          <w:sz w:val="20"/>
          <w:szCs w:val="20"/>
          <w:color w:val="auto"/>
        </w:rPr>
      </w:pPr>
    </w:p>
    <w:p>
      <w:pPr>
        <w:ind w:left="820" w:right="71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Personal Information</w:t>
      </w:r>
      <w:r>
        <w:rPr>
          <w:rFonts w:ascii="Times New Roman" w:cs="Times New Roman" w:eastAsia="Times New Roman" w:hAnsi="Times New Roman"/>
          <w:sz w:val="14"/>
          <w:szCs w:val="14"/>
          <w:color w:val="auto"/>
        </w:rPr>
        <w:t>” means data that identifies, can be used to identify, relates to, or is capable of being associated with, or could reasonably be linked, directly or indirectly, with an individual or household, as defined by Applicable Law.</w:t>
      </w:r>
    </w:p>
    <w:p>
      <w:pPr>
        <w:spacing w:after="0" w:line="48" w:lineRule="exact"/>
        <w:rPr>
          <w:sz w:val="20"/>
          <w:szCs w:val="20"/>
          <w:color w:val="auto"/>
        </w:rPr>
      </w:pPr>
    </w:p>
    <w:p>
      <w:pPr>
        <w:ind w:left="820" w:right="27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Product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Products</w:t>
      </w:r>
      <w:r>
        <w:rPr>
          <w:rFonts w:ascii="Times New Roman" w:cs="Times New Roman" w:eastAsia="Times New Roman" w:hAnsi="Times New Roman"/>
          <w:sz w:val="14"/>
          <w:szCs w:val="14"/>
          <w:color w:val="auto"/>
        </w:rPr>
        <w:t>” means any product, drug, drug delivery technology, compound, medical device, delivery system, diagnostic product, biologic product, or combination product which is the subject of and is being tested in a clinical study or research program for which Provider is performing Clinical Trial Laboratory Services under this Human Laboratory Services Agreement.</w:t>
      </w:r>
    </w:p>
    <w:p>
      <w:pPr>
        <w:spacing w:after="0" w:line="8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Page 5 of 25</w:t>
      </w:r>
    </w:p>
    <w:p>
      <w:pPr>
        <w:sectPr>
          <w:pgSz w:w="11900" w:h="16838" w:orient="portrait"/>
          <w:cols w:equalWidth="0" w:num="1">
            <w:col w:w="9019"/>
          </w:cols>
          <w:pgMar w:left="1440" w:top="239" w:right="1440" w:bottom="1440" w:gutter="0" w:footer="0" w:header="0"/>
        </w:sectPr>
      </w:pPr>
    </w:p>
    <w:bookmarkStart w:id="757" w:name="page758"/>
    <w:bookmarkEnd w:id="757"/>
    <w:p>
      <w:pPr>
        <w:ind w:left="820" w:right="37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Protocol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Protocols</w:t>
      </w:r>
      <w:r>
        <w:rPr>
          <w:rFonts w:ascii="Times New Roman" w:cs="Times New Roman" w:eastAsia="Times New Roman" w:hAnsi="Times New Roman"/>
          <w:sz w:val="14"/>
          <w:szCs w:val="14"/>
          <w:color w:val="auto"/>
        </w:rPr>
        <w:t>” means a formal document detailing the conduct of a Study and describing the objective(s), design, methodology, statistical considerations and organization of the Study.</w:t>
      </w:r>
    </w:p>
    <w:p>
      <w:pPr>
        <w:spacing w:after="0" w:line="48" w:lineRule="exact"/>
        <w:rPr>
          <w:sz w:val="20"/>
          <w:szCs w:val="20"/>
          <w:color w:val="auto"/>
        </w:rPr>
      </w:pPr>
    </w:p>
    <w:p>
      <w:pPr>
        <w:jc w:val="both"/>
        <w:ind w:left="820" w:right="29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1.28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Provider Personnel</w:t>
      </w:r>
      <w:r>
        <w:rPr>
          <w:rFonts w:ascii="Times New Roman" w:cs="Times New Roman" w:eastAsia="Times New Roman" w:hAnsi="Times New Roman"/>
          <w:sz w:val="14"/>
          <w:szCs w:val="14"/>
          <w:color w:val="auto"/>
        </w:rPr>
        <w:t>” shall mean all Provider personnel providing Clinical Trial Laboratory Services under this Human Laboratory Services Agreement, including Provider’s employees, agents and other personnel and the personnel of subcontractors including Affiliates of Provider that are subcontractors, under this Human Laboratory Services Agreement.</w:t>
      </w:r>
    </w:p>
    <w:p>
      <w:pPr>
        <w:spacing w:after="0" w:line="61" w:lineRule="exact"/>
        <w:rPr>
          <w:sz w:val="20"/>
          <w:szCs w:val="20"/>
          <w:color w:val="auto"/>
        </w:rPr>
      </w:pPr>
    </w:p>
    <w:p>
      <w:pPr>
        <w:jc w:val="both"/>
        <w:ind w:left="820" w:right="259" w:hanging="597"/>
        <w:spacing w:after="0" w:line="297" w:lineRule="auto"/>
        <w:tabs>
          <w:tab w:leader="none" w:pos="800" w:val="left"/>
        </w:tabs>
        <w:rPr>
          <w:sz w:val="20"/>
          <w:szCs w:val="20"/>
          <w:color w:val="auto"/>
        </w:rPr>
      </w:pPr>
      <w:r>
        <w:rPr>
          <w:rFonts w:ascii="Times New Roman" w:cs="Times New Roman" w:eastAsia="Times New Roman" w:hAnsi="Times New Roman"/>
          <w:sz w:val="14"/>
          <w:szCs w:val="14"/>
          <w:color w:val="auto"/>
        </w:rPr>
        <w:t>1.29</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Provider 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Provider Parties</w:t>
      </w:r>
      <w:r>
        <w:rPr>
          <w:rFonts w:ascii="Times New Roman" w:cs="Times New Roman" w:eastAsia="Times New Roman" w:hAnsi="Times New Roman"/>
          <w:sz w:val="13"/>
          <w:szCs w:val="13"/>
          <w:color w:val="auto"/>
        </w:rPr>
        <w:t>” means all Provider Personnel, and all Affiliates of Provider that are permitted subcontractors under this Human Laboratory Services Agreement, and all other approved third party subcontractors of Provider providing Clinical Trial Laboratory Services under this Human Laboratory Services Agreement, and all employees and agents of such approved third party subcontractors.</w:t>
      </w:r>
    </w:p>
    <w:p>
      <w:pPr>
        <w:spacing w:after="0" w:line="43"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1.30</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QA</w:t>
      </w:r>
      <w:r>
        <w:rPr>
          <w:rFonts w:ascii="Times New Roman" w:cs="Times New Roman" w:eastAsia="Times New Roman" w:hAnsi="Times New Roman"/>
          <w:sz w:val="13"/>
          <w:szCs w:val="13"/>
          <w:color w:val="auto"/>
        </w:rPr>
        <w:t>” has the meaning set forth in Section 3.4.1.</w:t>
      </w:r>
    </w:p>
    <w:p>
      <w:pPr>
        <w:spacing w:after="0" w:line="101" w:lineRule="exact"/>
        <w:rPr>
          <w:sz w:val="20"/>
          <w:szCs w:val="20"/>
          <w:color w:val="auto"/>
        </w:rPr>
      </w:pPr>
    </w:p>
    <w:p>
      <w:pPr>
        <w:ind w:left="820" w:right="23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Approval</w:t>
      </w:r>
      <w:r>
        <w:rPr>
          <w:rFonts w:ascii="Times New Roman" w:cs="Times New Roman" w:eastAsia="Times New Roman" w:hAnsi="Times New Roman"/>
          <w:sz w:val="14"/>
          <w:szCs w:val="14"/>
          <w:color w:val="auto"/>
        </w:rPr>
        <w:t>” means the technical, medical and scientific licenses, registrations, authorizations and approvals of any national, supra-national, regional, state or local regulatory agency, department, bureau, commission, council or other governmental entity, necessary for the use, import and export of Products in a regulatory jurisdiction.</w:t>
      </w:r>
    </w:p>
    <w:p>
      <w:pPr>
        <w:spacing w:after="0" w:line="61" w:lineRule="exact"/>
        <w:rPr>
          <w:sz w:val="20"/>
          <w:szCs w:val="20"/>
          <w:color w:val="auto"/>
        </w:rPr>
      </w:pPr>
    </w:p>
    <w:p>
      <w:pPr>
        <w:ind w:left="820" w:right="33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Authority</w:t>
      </w:r>
      <w:r>
        <w:rPr>
          <w:rFonts w:ascii="Times New Roman" w:cs="Times New Roman" w:eastAsia="Times New Roman" w:hAnsi="Times New Roman"/>
          <w:sz w:val="14"/>
          <w:szCs w:val="14"/>
          <w:color w:val="auto"/>
        </w:rPr>
        <w:t>” means regulatory agencies which regulate the conduct of clinical studies or research programs, as applicable to the Services including, but not limited to, the Department of Health and Human Services (“</w:t>
      </w:r>
      <w:r>
        <w:rPr>
          <w:rFonts w:ascii="Times New Roman" w:cs="Times New Roman" w:eastAsia="Times New Roman" w:hAnsi="Times New Roman"/>
          <w:sz w:val="14"/>
          <w:szCs w:val="14"/>
          <w:b w:val="1"/>
          <w:bCs w:val="1"/>
          <w:color w:val="auto"/>
        </w:rPr>
        <w:t>DHHS</w:t>
      </w:r>
      <w:r>
        <w:rPr>
          <w:rFonts w:ascii="Times New Roman" w:cs="Times New Roman" w:eastAsia="Times New Roman" w:hAnsi="Times New Roman"/>
          <w:sz w:val="14"/>
          <w:szCs w:val="14"/>
          <w:color w:val="auto"/>
        </w:rPr>
        <w:t>”), the FDA, the European Medicines Agency (EMA), the National Competent Authorities of the EU member states, the U.K. Medicines and Healthcare Products Regulatory Agency (MHRA), Health Canada, the Australian Therapeutic Goods Administration, the Japan Pharmaceuticals and Medical Devices Agency (PMDA), and other comparable government agencies throughout the world, including regional, state or local regulatory agency, department, bureau, commission, council or other governmental entity in other countries where the Study is conducted and is involved in the granting of Regulatory Approval for a drug or biologic product in such Study countries.</w:t>
      </w:r>
    </w:p>
    <w:p>
      <w:pPr>
        <w:spacing w:after="0" w:line="6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RIM Requirements</w:t>
      </w:r>
      <w:r>
        <w:rPr>
          <w:rFonts w:ascii="Times New Roman" w:cs="Times New Roman" w:eastAsia="Times New Roman" w:hAnsi="Times New Roman"/>
          <w:sz w:val="13"/>
          <w:szCs w:val="13"/>
          <w:color w:val="auto"/>
        </w:rPr>
        <w:t>” has the meaning set forth in Section 11.</w:t>
      </w:r>
    </w:p>
    <w:p>
      <w:pPr>
        <w:spacing w:after="0" w:line="101" w:lineRule="exact"/>
        <w:rPr>
          <w:sz w:val="20"/>
          <w:szCs w:val="20"/>
          <w:color w:val="auto"/>
        </w:rPr>
      </w:pPr>
    </w:p>
    <w:p>
      <w:pPr>
        <w:ind w:left="820" w:right="23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1.34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Root Cause</w:t>
      </w:r>
      <w:r>
        <w:rPr>
          <w:rFonts w:ascii="Times New Roman" w:cs="Times New Roman" w:eastAsia="Times New Roman" w:hAnsi="Times New Roman"/>
          <w:sz w:val="14"/>
          <w:szCs w:val="14"/>
          <w:color w:val="auto"/>
        </w:rPr>
        <w:t>” shall mean the source or reason for an actual or potential nonconformity, defect or undesirable situation, or the situation which, if eliminated, would prevent recurrence of the nonconformity, defect or undesirable.</w:t>
      </w:r>
    </w:p>
    <w:p>
      <w:pPr>
        <w:spacing w:after="0" w:line="48" w:lineRule="exact"/>
        <w:rPr>
          <w:sz w:val="20"/>
          <w:szCs w:val="20"/>
          <w:color w:val="auto"/>
        </w:rPr>
      </w:pPr>
    </w:p>
    <w:p>
      <w:pPr>
        <w:ind w:left="820" w:right="3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Samples</w:t>
      </w:r>
      <w:r>
        <w:rPr>
          <w:rFonts w:ascii="Times New Roman" w:cs="Times New Roman" w:eastAsia="Times New Roman" w:hAnsi="Times New Roman"/>
          <w:sz w:val="14"/>
          <w:szCs w:val="14"/>
          <w:color w:val="auto"/>
        </w:rPr>
        <w:t>” means any and all samples, and, where relevant, associated preclinical and clinical data and other data, identified in the Scope of Work.</w:t>
      </w:r>
    </w:p>
    <w:p>
      <w:pPr>
        <w:spacing w:after="0" w:line="4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1.36</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Scheduled Downtime</w:t>
      </w:r>
      <w:r>
        <w:rPr>
          <w:rFonts w:ascii="Times New Roman" w:cs="Times New Roman" w:eastAsia="Times New Roman" w:hAnsi="Times New Roman"/>
          <w:sz w:val="13"/>
          <w:szCs w:val="13"/>
          <w:color w:val="auto"/>
        </w:rPr>
        <w:t>” has the meaning set forth in Section 10.3.</w:t>
      </w:r>
    </w:p>
    <w:p>
      <w:pPr>
        <w:spacing w:after="0" w:line="101" w:lineRule="exact"/>
        <w:rPr>
          <w:sz w:val="20"/>
          <w:szCs w:val="20"/>
          <w:color w:val="auto"/>
        </w:rPr>
      </w:pPr>
    </w:p>
    <w:p>
      <w:pPr>
        <w:ind w:left="820" w:right="81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Scope of Work</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which details the Clinical Trial Laboratory Services to be provided as described more fully in Section 2.1 below.</w:t>
      </w:r>
    </w:p>
    <w:p>
      <w:pPr>
        <w:spacing w:after="0" w:line="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6 of 25</w:t>
      </w:r>
    </w:p>
    <w:p>
      <w:pPr>
        <w:sectPr>
          <w:pgSz w:w="11900" w:h="16838" w:orient="portrait"/>
          <w:cols w:equalWidth="0" w:num="1">
            <w:col w:w="9019"/>
          </w:cols>
          <w:pgMar w:left="1440" w:top="239" w:right="1440" w:bottom="1440" w:gutter="0" w:footer="0" w:header="0"/>
        </w:sectPr>
      </w:pPr>
    </w:p>
    <w:bookmarkStart w:id="758" w:name="page759"/>
    <w:bookmarkEnd w:id="758"/>
    <w:p>
      <w:pPr>
        <w:ind w:left="820" w:right="2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Study</w:t>
      </w:r>
      <w:r>
        <w:rPr>
          <w:rFonts w:ascii="Times New Roman" w:cs="Times New Roman" w:eastAsia="Times New Roman" w:hAnsi="Times New Roman"/>
          <w:sz w:val="14"/>
          <w:szCs w:val="14"/>
          <w:color w:val="auto"/>
        </w:rPr>
        <w:t>” means a clinical trial or trials of a Product in human patients and for which Provider is performing Clinical Trial Laboratory Services in accordance with this Human Laboratory Services Agreement.</w:t>
      </w:r>
    </w:p>
    <w:p>
      <w:pPr>
        <w:spacing w:after="0" w:line="48" w:lineRule="exact"/>
        <w:rPr>
          <w:sz w:val="20"/>
          <w:szCs w:val="20"/>
          <w:color w:val="auto"/>
        </w:rPr>
      </w:pPr>
    </w:p>
    <w:p>
      <w:pPr>
        <w:ind w:left="820" w:right="81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1.39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Technology</w:t>
      </w:r>
      <w:r>
        <w:rPr>
          <w:rFonts w:ascii="Times New Roman" w:cs="Times New Roman" w:eastAsia="Times New Roman" w:hAnsi="Times New Roman"/>
          <w:sz w:val="14"/>
          <w:szCs w:val="14"/>
          <w:color w:val="auto"/>
        </w:rPr>
        <w:t>” means any technology, processes, methodology and related know-how and information transferred by or on behalf of Company and/or its Affiliates to Provider for use in the performance of the Clinical Trial Laboratory Services.</w:t>
      </w:r>
    </w:p>
    <w:p>
      <w:pPr>
        <w:spacing w:after="0" w:line="4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1.40</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w:t>
      </w:r>
      <w:r>
        <w:rPr>
          <w:rFonts w:ascii="Times New Roman" w:cs="Times New Roman" w:eastAsia="Times New Roman" w:hAnsi="Times New Roman"/>
          <w:sz w:val="13"/>
          <w:szCs w:val="13"/>
          <w:color w:val="auto"/>
        </w:rPr>
        <w:t>” has the meaning set forth in Section 5.</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Third Parties</w:t>
      </w:r>
      <w:r>
        <w:rPr>
          <w:rFonts w:ascii="Times New Roman" w:cs="Times New Roman" w:eastAsia="Times New Roman" w:hAnsi="Times New Roman"/>
          <w:sz w:val="13"/>
          <w:szCs w:val="13"/>
          <w:color w:val="auto"/>
        </w:rPr>
        <w:t>” means any person other than a Party or any of its Affiliates.</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 Request</w:t>
      </w:r>
      <w:r>
        <w:rPr>
          <w:rFonts w:ascii="Times New Roman" w:cs="Times New Roman" w:eastAsia="Times New Roman" w:hAnsi="Times New Roman"/>
          <w:sz w:val="13"/>
          <w:szCs w:val="13"/>
          <w:color w:val="auto"/>
        </w:rPr>
        <w:t>” has the meaning set forth in Section 11.3.</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Trial Specific Documents</w:t>
      </w:r>
      <w:r>
        <w:rPr>
          <w:rFonts w:ascii="Times New Roman" w:cs="Times New Roman" w:eastAsia="Times New Roman" w:hAnsi="Times New Roman"/>
          <w:sz w:val="13"/>
          <w:szCs w:val="13"/>
          <w:color w:val="auto"/>
        </w:rPr>
        <w:t>” has the meaning set forth in Section 2.2.</w:t>
      </w:r>
    </w:p>
    <w:p>
      <w:pPr>
        <w:spacing w:after="0" w:line="101" w:lineRule="exact"/>
        <w:rPr>
          <w:sz w:val="20"/>
          <w:szCs w:val="20"/>
          <w:color w:val="auto"/>
        </w:rPr>
      </w:pPr>
    </w:p>
    <w:p>
      <w:pPr>
        <w:ind w:left="820" w:hanging="597"/>
        <w:spacing w:after="0"/>
        <w:tabs>
          <w:tab w:leader="none" w:pos="820" w:val="left"/>
        </w:tabs>
        <w:numPr>
          <w:ilvl w:val="0"/>
          <w:numId w:val="5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Performance of Services</w:t>
      </w:r>
    </w:p>
    <w:p>
      <w:pPr>
        <w:spacing w:after="0" w:line="101" w:lineRule="exact"/>
        <w:rPr>
          <w:sz w:val="20"/>
          <w:szCs w:val="20"/>
          <w:color w:val="auto"/>
        </w:rPr>
      </w:pPr>
    </w:p>
    <w:p>
      <w:pPr>
        <w:ind w:left="820" w:right="439" w:hanging="597"/>
        <w:spacing w:after="0" w:line="262" w:lineRule="auto"/>
        <w:tabs>
          <w:tab w:leader="none" w:pos="8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b w:val="1"/>
          <w:bCs w:val="1"/>
          <w:color w:val="auto"/>
        </w:rPr>
        <w:t>Performance of Services; Provider Personnel</w:t>
      </w:r>
      <w:r>
        <w:rPr>
          <w:rFonts w:ascii="Times New Roman" w:cs="Times New Roman" w:eastAsia="Times New Roman" w:hAnsi="Times New Roman"/>
          <w:sz w:val="14"/>
          <w:szCs w:val="14"/>
          <w:color w:val="auto"/>
        </w:rPr>
        <w:t>. Provider shall perform, and shall cause all Provider Parties to perform, all Clinical Trial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Laboratory Services, including, but not limited to, delivering any Deliverables, in compliance with the terms and conditions of this Human Laboratory Services Agreement, the Scope of Work, all Applicable Laws, Protocols, Operational Plans, and all written instructions of Company consistent with the scope of this Human Laboratory Services Agreement.</w:t>
      </w:r>
    </w:p>
    <w:p>
      <w:pPr>
        <w:spacing w:after="0" w:line="63" w:lineRule="exact"/>
        <w:rPr>
          <w:sz w:val="20"/>
          <w:szCs w:val="20"/>
          <w:color w:val="auto"/>
        </w:rPr>
      </w:pPr>
    </w:p>
    <w:p>
      <w:pPr>
        <w:ind w:left="820" w:right="43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b w:val="1"/>
          <w:bCs w:val="1"/>
          <w:color w:val="auto"/>
        </w:rPr>
        <w:t>Data Management</w:t>
      </w:r>
      <w:r>
        <w:rPr>
          <w:rFonts w:ascii="Times New Roman" w:cs="Times New Roman" w:eastAsia="Times New Roman" w:hAnsi="Times New Roman"/>
          <w:sz w:val="14"/>
          <w:szCs w:val="14"/>
          <w:color w:val="auto"/>
        </w:rPr>
        <w:t>: If required by the Company, Provider and Company will enter into discussions to prepare and finalize separate Study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specific documents, such as a data transfer agreement (or data specifications) (DTA), etc. (“</w:t>
      </w:r>
      <w:r>
        <w:rPr>
          <w:rFonts w:ascii="Times New Roman" w:cs="Times New Roman" w:eastAsia="Times New Roman" w:hAnsi="Times New Roman"/>
          <w:sz w:val="14"/>
          <w:szCs w:val="14"/>
          <w:b w:val="1"/>
          <w:bCs w:val="1"/>
          <w:color w:val="auto"/>
        </w:rPr>
        <w:t>Trial Specific Documents</w:t>
      </w:r>
      <w:r>
        <w:rPr>
          <w:rFonts w:ascii="Times New Roman" w:cs="Times New Roman" w:eastAsia="Times New Roman" w:hAnsi="Times New Roman"/>
          <w:sz w:val="14"/>
          <w:szCs w:val="14"/>
          <w:color w:val="auto"/>
        </w:rPr>
        <w:t>”) detailing among other things, the format, content, frequency and method of data transfer, with Company and Provider each having the final approval rights; however, Provider is required to deliver data in a compatible format (such as SAS, ASCII, CSV file formats). Provider and Company shall cooperate with each other in the preparation of such Trial Specific Documents and achieving mutual agreement and sign-off prior to initial data transmission. Each such Trial Specific Document shall be deemed an Operational Plan under this Human Laboratory Services Agreement and accordingly subject to the requirements upon Operational Plans hereunder.</w:t>
      </w:r>
    </w:p>
    <w:p>
      <w:pPr>
        <w:spacing w:after="0" w:line="6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b w:val="1"/>
          <w:bCs w:val="1"/>
          <w:color w:val="auto"/>
        </w:rPr>
        <w:t>Company Materials</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ind w:left="820" w:right="279"/>
        <w:spacing w:after="0" w:line="256" w:lineRule="auto"/>
        <w:rPr>
          <w:sz w:val="20"/>
          <w:szCs w:val="20"/>
          <w:color w:val="auto"/>
        </w:rPr>
      </w:pPr>
      <w:r>
        <w:rPr>
          <w:rFonts w:ascii="Times New Roman" w:cs="Times New Roman" w:eastAsia="Times New Roman" w:hAnsi="Times New Roman"/>
          <w:sz w:val="14"/>
          <w:szCs w:val="14"/>
          <w:color w:val="auto"/>
        </w:rPr>
        <w:t>If required under the Scope of Work, Company will provide to Provider and/or Provider Party directly, or through an Affiliate, or a Third Party working on behalf of or performing services for Company, the Company Materials required to perform the Clinical Trial Laboratory Services. In addition, Company may provide Technology to be used in connection with the Clinical Trial Laboratory Services. Provider acknowledges that nothing contained in this Human Laboratory Services Agreement grants Provider and/or any Provider Party any right to or any license under any intellectual property rights, including without limitation, any patent rights or know-how relating to the Company Materials (including their preparation or use) or</w:t>
      </w:r>
    </w:p>
    <w:p>
      <w:pPr>
        <w:spacing w:after="0" w:line="9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Page 7 of 25</w:t>
      </w:r>
    </w:p>
    <w:p>
      <w:pPr>
        <w:sectPr>
          <w:pgSz w:w="11900" w:h="16838" w:orient="portrait"/>
          <w:cols w:equalWidth="0" w:num="1">
            <w:col w:w="9019"/>
          </w:cols>
          <w:pgMar w:left="1440" w:top="239" w:right="1440" w:bottom="1440" w:gutter="0" w:footer="0" w:header="0"/>
        </w:sectPr>
      </w:pPr>
    </w:p>
    <w:bookmarkStart w:id="759" w:name="page760"/>
    <w:bookmarkEnd w:id="759"/>
    <w:p>
      <w:pPr>
        <w:ind w:left="820" w:right="39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Technology owned, licensed or otherwise controlled by Company or its Affiliates, except solely for purposes of performing the Clinical Trial Laboratory Services or as otherwise provided under this Human Laboratory Services Agreement.</w:t>
      </w:r>
    </w:p>
    <w:p>
      <w:pPr>
        <w:spacing w:after="0" w:line="41" w:lineRule="exact"/>
        <w:rPr>
          <w:sz w:val="20"/>
          <w:szCs w:val="20"/>
          <w:color w:val="auto"/>
        </w:rPr>
      </w:pPr>
    </w:p>
    <w:p>
      <w:pPr>
        <w:ind w:left="820" w:right="319"/>
        <w:spacing w:after="0" w:line="261" w:lineRule="auto"/>
        <w:rPr>
          <w:sz w:val="20"/>
          <w:szCs w:val="20"/>
          <w:color w:val="auto"/>
        </w:rPr>
      </w:pPr>
      <w:r>
        <w:rPr>
          <w:rFonts w:ascii="Times New Roman" w:cs="Times New Roman" w:eastAsia="Times New Roman" w:hAnsi="Times New Roman"/>
          <w:sz w:val="14"/>
          <w:szCs w:val="14"/>
          <w:color w:val="auto"/>
        </w:rPr>
        <w:t>Provider shall verify the integrity of the Company Materials upon receipt according to procedures set forth in the Scope of Work. Provider shall not, and shall ensure that Provider Parties do not, modify or produce any modified or unmodified derivatives of the Company Material, and will not attempt to analyze the Company Material for its chemical or physical composition except as expressly provided for in the Scope of Work or with Company’s prior written consent.</w:t>
      </w:r>
    </w:p>
    <w:p>
      <w:pPr>
        <w:spacing w:after="0" w:line="55" w:lineRule="exact"/>
        <w:rPr>
          <w:sz w:val="20"/>
          <w:szCs w:val="20"/>
          <w:color w:val="auto"/>
        </w:rPr>
      </w:pPr>
    </w:p>
    <w:p>
      <w:pPr>
        <w:ind w:left="820" w:right="339"/>
        <w:spacing w:after="0" w:line="266" w:lineRule="auto"/>
        <w:rPr>
          <w:sz w:val="20"/>
          <w:szCs w:val="20"/>
          <w:color w:val="auto"/>
        </w:rPr>
      </w:pPr>
      <w:r>
        <w:rPr>
          <w:rFonts w:ascii="Times New Roman" w:cs="Times New Roman" w:eastAsia="Times New Roman" w:hAnsi="Times New Roman"/>
          <w:sz w:val="14"/>
          <w:szCs w:val="14"/>
          <w:color w:val="auto"/>
        </w:rPr>
        <w:t>Provider agrees to maintain control over all Company Materials and Technology that are received or produced hereunder, and acknowledges that Company Materials and Technology may not be transferred, distributed or released to any person or entity other than Company or an entity designated in writing by Company.</w:t>
      </w:r>
    </w:p>
    <w:p>
      <w:pPr>
        <w:spacing w:after="0" w:line="52" w:lineRule="exact"/>
        <w:rPr>
          <w:sz w:val="20"/>
          <w:szCs w:val="20"/>
          <w:color w:val="auto"/>
        </w:rPr>
      </w:pPr>
    </w:p>
    <w:p>
      <w:pPr>
        <w:ind w:left="820" w:right="299"/>
        <w:spacing w:after="0" w:line="261" w:lineRule="auto"/>
        <w:rPr>
          <w:sz w:val="20"/>
          <w:szCs w:val="20"/>
          <w:color w:val="auto"/>
        </w:rPr>
      </w:pPr>
      <w:r>
        <w:rPr>
          <w:rFonts w:ascii="Times New Roman" w:cs="Times New Roman" w:eastAsia="Times New Roman" w:hAnsi="Times New Roman"/>
          <w:sz w:val="14"/>
          <w:szCs w:val="14"/>
          <w:color w:val="auto"/>
        </w:rPr>
        <w:t>Provider shall ensure compliance with the required storage and handling conditions for the Company Materials. The Company Materials will be stored by Provider and/or Provider Parties in accordance with its standard operating procedures (SOPs) at such temperatures and conditions as specified in the Scope of Work or as instructed by Company in writing with appropriate temperature and environmental monitoring and recording.</w:t>
      </w:r>
    </w:p>
    <w:p>
      <w:pPr>
        <w:spacing w:after="0" w:line="55" w:lineRule="exact"/>
        <w:rPr>
          <w:sz w:val="20"/>
          <w:szCs w:val="20"/>
          <w:color w:val="auto"/>
        </w:rPr>
      </w:pPr>
    </w:p>
    <w:p>
      <w:pPr>
        <w:ind w:left="820" w:right="299"/>
        <w:spacing w:after="0" w:line="261" w:lineRule="auto"/>
        <w:rPr>
          <w:sz w:val="20"/>
          <w:szCs w:val="20"/>
          <w:color w:val="auto"/>
        </w:rPr>
      </w:pPr>
      <w:r>
        <w:rPr>
          <w:rFonts w:ascii="Times New Roman" w:cs="Times New Roman" w:eastAsia="Times New Roman" w:hAnsi="Times New Roman"/>
          <w:sz w:val="14"/>
          <w:szCs w:val="14"/>
          <w:color w:val="auto"/>
        </w:rPr>
        <w:t>All Company Materials and Technology, (a) will be used only in furtherance of the Clinical Trial Laboratory Services in accordance with this Human Laboratory Services Agreement and the health and safety procedures applicable to such Company Materials, (b) will not be used or delivered to or for the benefit of any Third Party without the prior written consent of Company and (c) will be used in compliance with all Applicable Laws.</w:t>
      </w:r>
    </w:p>
    <w:p>
      <w:pPr>
        <w:spacing w:after="0" w:line="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Provider will ensure that Company Materials are segregated and identified as Company Materials.</w:t>
      </w:r>
    </w:p>
    <w:p>
      <w:pPr>
        <w:spacing w:after="0" w:line="91" w:lineRule="exact"/>
        <w:rPr>
          <w:sz w:val="20"/>
          <w:szCs w:val="20"/>
          <w:color w:val="auto"/>
        </w:rPr>
      </w:pPr>
    </w:p>
    <w:p>
      <w:pPr>
        <w:ind w:left="820" w:right="739"/>
        <w:spacing w:after="0" w:line="282" w:lineRule="auto"/>
        <w:rPr>
          <w:sz w:val="20"/>
          <w:szCs w:val="20"/>
          <w:color w:val="auto"/>
        </w:rPr>
      </w:pPr>
      <w:r>
        <w:rPr>
          <w:rFonts w:ascii="Times New Roman" w:cs="Times New Roman" w:eastAsia="Times New Roman" w:hAnsi="Times New Roman"/>
          <w:sz w:val="14"/>
          <w:szCs w:val="14"/>
          <w:color w:val="auto"/>
        </w:rPr>
        <w:t>The Company Materials and Technology will remain the sole property of Company and all right, title and interest in and to Company Materials and Technology will remain with Company at all times.</w:t>
      </w:r>
    </w:p>
    <w:p>
      <w:pPr>
        <w:spacing w:after="0" w:line="50" w:lineRule="exact"/>
        <w:rPr>
          <w:sz w:val="20"/>
          <w:szCs w:val="20"/>
          <w:color w:val="auto"/>
        </w:rPr>
      </w:pPr>
    </w:p>
    <w:p>
      <w:pPr>
        <w:ind w:left="820" w:right="33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b w:val="1"/>
          <w:bCs w:val="1"/>
          <w:color w:val="auto"/>
        </w:rPr>
        <w:t>Specifications and Protocols</w:t>
      </w:r>
      <w:r>
        <w:rPr>
          <w:rFonts w:ascii="Times New Roman" w:cs="Times New Roman" w:eastAsia="Times New Roman" w:hAnsi="Times New Roman"/>
          <w:sz w:val="14"/>
          <w:szCs w:val="14"/>
          <w:color w:val="auto"/>
        </w:rPr>
        <w:t>. If required under the Scope of Work, Company will be responsible for providing all specifications, Protocols,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standards to Provider, as required to enable Provider to perform the Clinical Trial Laboratory Services. Provider shall review all such specifications, Protocols, and standards as provided by Company and ensure all are thoroughly understood by all Provider Parties.</w:t>
      </w:r>
    </w:p>
    <w:p>
      <w:pPr>
        <w:spacing w:after="0" w:line="61" w:lineRule="exact"/>
        <w:rPr>
          <w:sz w:val="20"/>
          <w:szCs w:val="20"/>
          <w:color w:val="auto"/>
        </w:rPr>
      </w:pPr>
    </w:p>
    <w:p>
      <w:pPr>
        <w:ind w:left="820" w:hanging="597"/>
        <w:spacing w:after="0"/>
        <w:tabs>
          <w:tab w:leader="none" w:pos="820" w:val="left"/>
        </w:tabs>
        <w:numPr>
          <w:ilvl w:val="0"/>
          <w:numId w:val="5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Quality Assurance</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b w:val="1"/>
          <w:bCs w:val="1"/>
          <w:color w:val="auto"/>
        </w:rPr>
        <w:t>Intentionally Omitted</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820" w:right="239" w:hanging="597"/>
        <w:spacing w:after="0" w:line="262" w:lineRule="auto"/>
        <w:tabs>
          <w:tab w:leader="none" w:pos="8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Provider shall and cause each Provider Party to ensure all Clinical Trial Laboratory Services are performed only at Facilities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specified in the Scope of Work and in accordance with the terms of this Human Laboratory Services Agreement, and in full compliance with Applicable Law, and the specifications. Provider will not change the location of a Facility or use any additional facility for the performance of Clinical Trial</w:t>
      </w:r>
    </w:p>
    <w:p>
      <w:pPr>
        <w:spacing w:after="0" w:line="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8 of 25</w:t>
      </w:r>
    </w:p>
    <w:p>
      <w:pPr>
        <w:sectPr>
          <w:pgSz w:w="11900" w:h="16838" w:orient="portrait"/>
          <w:cols w:equalWidth="0" w:num="1">
            <w:col w:w="9019"/>
          </w:cols>
          <w:pgMar w:left="1440" w:top="240" w:right="1440" w:bottom="1440" w:gutter="0" w:footer="0" w:header="0"/>
        </w:sectPr>
      </w:pPr>
    </w:p>
    <w:bookmarkStart w:id="760" w:name="page761"/>
    <w:bookmarkEnd w:id="760"/>
    <w:p>
      <w:pPr>
        <w:ind w:left="820" w:right="299"/>
        <w:spacing w:after="0" w:line="28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Laboratory Services without Company’s prior written approval. If there is a change in location of a Facility or use of any additional facility that is not approved for such by Company in writing, Provider will continue to perform Clinical Trial Laboratory Services at the existing Facility until the new facility is fully qualified for such purpose. Provider and Provider Parties shall maintain the Facility and all Equipment required for the Clinical Trial Laboratory Services in a state of repair and operating efficiency consistent with the requirements of Applicable Law and the applicable Regulatory Approvals and specifications. All maintenance activities will be performed at Provider’s sole cost.</w:t>
      </w:r>
    </w:p>
    <w:p>
      <w:pPr>
        <w:spacing w:after="0" w:line="54"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b w:val="1"/>
          <w:bCs w:val="1"/>
          <w:color w:val="auto"/>
        </w:rPr>
        <w:t>Audits, Inspections and Regulatory Matters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1320" w:right="239" w:hanging="503"/>
        <w:spacing w:after="0" w:line="252" w:lineRule="auto"/>
        <w:tabs>
          <w:tab w:leader="none" w:pos="1300" w:val="left"/>
        </w:tabs>
        <w:rPr>
          <w:sz w:val="20"/>
          <w:szCs w:val="20"/>
          <w:color w:val="auto"/>
        </w:rPr>
      </w:pPr>
      <w:r>
        <w:rPr>
          <w:rFonts w:ascii="Times New Roman" w:cs="Times New Roman" w:eastAsia="Times New Roman" w:hAnsi="Times New Roman"/>
          <w:sz w:val="14"/>
          <w:szCs w:val="14"/>
          <w:color w:val="auto"/>
        </w:rPr>
        <w:t>3.3.1</w:t>
      </w:r>
      <w:r>
        <w:rPr>
          <w:sz w:val="20"/>
          <w:szCs w:val="20"/>
          <w:color w:val="auto"/>
        </w:rPr>
        <w:tab/>
      </w:r>
      <w:r>
        <w:rPr>
          <w:rFonts w:ascii="Times New Roman" w:cs="Times New Roman" w:eastAsia="Times New Roman" w:hAnsi="Times New Roman"/>
          <w:sz w:val="14"/>
          <w:szCs w:val="14"/>
          <w:b w:val="1"/>
          <w:bCs w:val="1"/>
          <w:color w:val="auto"/>
        </w:rPr>
        <w:t>Recordkeeping</w:t>
      </w:r>
      <w:r>
        <w:rPr>
          <w:rFonts w:ascii="Times New Roman" w:cs="Times New Roman" w:eastAsia="Times New Roman" w:hAnsi="Times New Roman"/>
          <w:sz w:val="14"/>
          <w:szCs w:val="14"/>
          <w:color w:val="auto"/>
        </w:rPr>
        <w:t>. Provider agrees to keep true and complete written records of the Clinical Trial Laboratory Services performed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hereunder in accordance with cGCP. Provider shall maintain all data collected in its original form during the performance of the Services in a format immediately retrievable at all times for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completion of the Clinical Trial Laboratory Services (or such longer period as is required by Applicable Laws or this Human Laboratory Services Agreement). Provider agrees to maintain and manage its written and electronic records of the Clinical Trial Laboratory Services in compliance with all applicable legal and regulatory requirements, including, but not limited to, all applicable requirements of the FDA and other Regulatory Authorities, HIPAA and equivalent international requirements in the counties outside of the United States where the Study is conducted, including the ICH E6 guidelines, the requirements of the European Medicines Agency (EMA), and the European Union General Data Protection Regulation (GDPR). Unless otherwise directed by Company or its designee, Provider shall and shall ensure Provider Parties retain all data and records so that such data and records are protected, segregated from the records of Provider’s other clients, and available for inspection by Company or its designee (including any Regulatory Authority) during the term of this Human Laboratory Services Agreement and for a period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following the termination of this Human Laboratory Services Agreement until Provider transfers such data and records to Company or its designee. In the event that Provider wishes for any reason to withdraw from its responsibility for maintaining the records as provided above, Provider shall notify Company and follow its instructions for the transfer of the records to Company or its designee which instructions will be given to Provider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after Provider’s notice to Company. Following Provider’s transfer of the records to Company or its designee, Provider and/or Provider Parties will assist the Company and its designee with questions relating to the completeness and organization of the records so transferred, including in connection with any Regulatory Authority inspection or audit relating to such records. If Company fails to instruct Provider of its wishes within the above-stated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following Provider’s notice, then Company will be deemed to have authorized Provider to transfer the records to a Third Party storage facility and to have agreed to be solely responsible for all costs and expenses associated with such storage arrangement.</w:t>
      </w:r>
    </w:p>
    <w:p>
      <w:pPr>
        <w:spacing w:after="0" w:line="70" w:lineRule="exact"/>
        <w:rPr>
          <w:sz w:val="20"/>
          <w:szCs w:val="20"/>
          <w:color w:val="auto"/>
        </w:rPr>
      </w:pPr>
    </w:p>
    <w:p>
      <w:pPr>
        <w:ind w:left="1320" w:right="459" w:hanging="503"/>
        <w:spacing w:after="0" w:line="262" w:lineRule="auto"/>
        <w:tabs>
          <w:tab w:leader="none" w:pos="1300" w:val="left"/>
        </w:tabs>
        <w:rPr>
          <w:sz w:val="20"/>
          <w:szCs w:val="20"/>
          <w:color w:val="auto"/>
        </w:rPr>
      </w:pPr>
      <w:r>
        <w:rPr>
          <w:rFonts w:ascii="Times New Roman" w:cs="Times New Roman" w:eastAsia="Times New Roman" w:hAnsi="Times New Roman"/>
          <w:sz w:val="14"/>
          <w:szCs w:val="14"/>
          <w:color w:val="auto"/>
        </w:rPr>
        <w:t>3.3.2</w:t>
      </w:r>
      <w:r>
        <w:rPr>
          <w:sz w:val="20"/>
          <w:szCs w:val="20"/>
          <w:color w:val="auto"/>
        </w:rPr>
        <w:tab/>
      </w:r>
      <w:r>
        <w:rPr>
          <w:rFonts w:ascii="Times New Roman" w:cs="Times New Roman" w:eastAsia="Times New Roman" w:hAnsi="Times New Roman"/>
          <w:sz w:val="14"/>
          <w:szCs w:val="14"/>
          <w:b w:val="1"/>
          <w:bCs w:val="1"/>
          <w:color w:val="auto"/>
        </w:rPr>
        <w:t>Third Party Storage</w:t>
      </w:r>
      <w:r>
        <w:rPr>
          <w:rFonts w:ascii="Times New Roman" w:cs="Times New Roman" w:eastAsia="Times New Roman" w:hAnsi="Times New Roman"/>
          <w:sz w:val="14"/>
          <w:szCs w:val="14"/>
          <w:color w:val="auto"/>
        </w:rPr>
        <w:t>. If Provider stores any of Company’s data or records at a Third Party storage facility, Provider will furnish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with the name and address of the facility, a description of the materials stored there (including both the type and the quantity of materials) and the applicable box numbers, bar codes and other identifying information. In addition, Provider will use commercially</w:t>
      </w:r>
    </w:p>
    <w:p>
      <w:pPr>
        <w:spacing w:after="0" w:line="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9 of 25</w:t>
      </w:r>
    </w:p>
    <w:p>
      <w:pPr>
        <w:sectPr>
          <w:pgSz w:w="11900" w:h="16838" w:orient="portrait"/>
          <w:cols w:equalWidth="0" w:num="1">
            <w:col w:w="9019"/>
          </w:cols>
          <w:pgMar w:left="1440" w:top="242" w:right="1440" w:bottom="1440" w:gutter="0" w:footer="0" w:header="0"/>
        </w:sectPr>
      </w:pPr>
    </w:p>
    <w:bookmarkStart w:id="761" w:name="page762"/>
    <w:bookmarkEnd w:id="761"/>
    <w:p>
      <w:pPr>
        <w:ind w:left="1340" w:right="3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reasonable efforts to cause the Third Party that operates the storage facility to agree in writing that Company is a beneficiary of the Third Party’s obligations to Provider and that Company has the right at any time, upon doing nothing but paying accrued storage charges for its materials, to obtain its materials from the storage facility without the consent of Provider and free of any lien by the Third Party.</w:t>
      </w:r>
    </w:p>
    <w:p>
      <w:pPr>
        <w:spacing w:after="0" w:line="64" w:lineRule="exact"/>
        <w:rPr>
          <w:sz w:val="20"/>
          <w:szCs w:val="20"/>
          <w:color w:val="auto"/>
        </w:rPr>
      </w:pPr>
    </w:p>
    <w:p>
      <w:pPr>
        <w:ind w:left="1320" w:right="239" w:hanging="503"/>
        <w:spacing w:after="0" w:line="252" w:lineRule="auto"/>
        <w:tabs>
          <w:tab w:leader="none" w:pos="1300" w:val="left"/>
        </w:tabs>
        <w:rPr>
          <w:sz w:val="20"/>
          <w:szCs w:val="20"/>
          <w:color w:val="auto"/>
        </w:rPr>
      </w:pPr>
      <w:r>
        <w:rPr>
          <w:rFonts w:ascii="Times New Roman" w:cs="Times New Roman" w:eastAsia="Times New Roman" w:hAnsi="Times New Roman"/>
          <w:sz w:val="14"/>
          <w:szCs w:val="14"/>
          <w:color w:val="auto"/>
        </w:rPr>
        <w:t>3.3.3</w:t>
      </w:r>
      <w:r>
        <w:rPr>
          <w:sz w:val="20"/>
          <w:szCs w:val="20"/>
          <w:color w:val="auto"/>
        </w:rPr>
        <w:tab/>
      </w:r>
      <w:r>
        <w:rPr>
          <w:rFonts w:ascii="Times New Roman" w:cs="Times New Roman" w:eastAsia="Times New Roman" w:hAnsi="Times New Roman"/>
          <w:sz w:val="14"/>
          <w:szCs w:val="14"/>
          <w:b w:val="1"/>
          <w:bCs w:val="1"/>
          <w:color w:val="auto"/>
        </w:rPr>
        <w:t>Audit by Company</w:t>
      </w:r>
      <w:r>
        <w:rPr>
          <w:rFonts w:ascii="Times New Roman" w:cs="Times New Roman" w:eastAsia="Times New Roman" w:hAnsi="Times New Roman"/>
          <w:sz w:val="14"/>
          <w:szCs w:val="14"/>
          <w:color w:val="auto"/>
        </w:rPr>
        <w:t>. During the Term of this Human Laboratory Services Agreement and for a period of</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thereafter, Provider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will ensure that representatives of Company have reasonable access to Provider’s and Provider Parties’ premises, during regular business hours, for the purpose of examining the records of Clinical Trial Laboratory Services performed or systems audit on any of the software systems and procedures being used by Provider or Provider Parties in performing the Clinical Trial Laboratory Services, and/or reviewing resulting data and records to determine that the Clinical Trial Laboratory Services are being conducted in accordance with this Human Laboratory Services Agreement and that the Provider’s and each Provider Parties’ Facilities meet the relevant cGCP requirements. Routine audits and inspections will be scheduled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days in advance at a date and time mutually agreed to by Company and Provider. Routine audits and inspections shall occur no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be conducted during Provider’s regular business hours and last no longer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Audits that are “</w:t>
      </w:r>
      <w:r>
        <w:rPr>
          <w:rFonts w:ascii="Times New Roman" w:cs="Times New Roman" w:eastAsia="Times New Roman" w:hAnsi="Times New Roman"/>
          <w:sz w:val="14"/>
          <w:szCs w:val="14"/>
          <w:b w:val="1"/>
          <w:bCs w:val="1"/>
          <w:color w:val="auto"/>
        </w:rPr>
        <w:t>for cause</w:t>
      </w:r>
      <w:r>
        <w:rPr>
          <w:rFonts w:ascii="Times New Roman" w:cs="Times New Roman" w:eastAsia="Times New Roman" w:hAnsi="Times New Roman"/>
          <w:sz w:val="14"/>
          <w:szCs w:val="14"/>
          <w:color w:val="auto"/>
        </w:rPr>
        <w:t xml:space="preserve">” will be scheduled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in advance upon mutual agreement of Company and Provider. If any audit or inspection results in findings that require follow-up or action, Provider and Provider Parties agrees to dedicate appropriate resources to pursuing and completing the follow-up or action within a commercially reasonable timeframe. To the extent that any follow-up or actions are not the result of findings for cause or to address Provider’s failure to comply with the terms of this Human Laboratory Services Agreement, Company and Provider shall amend this Human Laboratory Services Agreement to reflect a mutually agreed reasonable fee for the additional efforts.</w:t>
      </w:r>
    </w:p>
    <w:p>
      <w:pPr>
        <w:spacing w:after="0" w:line="77"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b w:val="1"/>
          <w:bCs w:val="1"/>
          <w:color w:val="auto"/>
        </w:rPr>
        <w:t>Quality Assurance and Regulatory Matters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1320" w:right="239" w:hanging="503"/>
        <w:spacing w:after="0" w:line="253" w:lineRule="auto"/>
        <w:tabs>
          <w:tab w:leader="none" w:pos="1300" w:val="left"/>
        </w:tabs>
        <w:rPr>
          <w:sz w:val="20"/>
          <w:szCs w:val="20"/>
          <w:color w:val="auto"/>
        </w:rPr>
      </w:pPr>
      <w:r>
        <w:rPr>
          <w:rFonts w:ascii="Times New Roman" w:cs="Times New Roman" w:eastAsia="Times New Roman" w:hAnsi="Times New Roman"/>
          <w:sz w:val="14"/>
          <w:szCs w:val="14"/>
          <w:color w:val="auto"/>
        </w:rPr>
        <w:t>3.4.1</w:t>
      </w:r>
      <w:r>
        <w:rPr>
          <w:sz w:val="20"/>
          <w:szCs w:val="20"/>
          <w:color w:val="auto"/>
        </w:rPr>
        <w:tab/>
      </w:r>
      <w:r>
        <w:rPr>
          <w:rFonts w:ascii="Times New Roman" w:cs="Times New Roman" w:eastAsia="Times New Roman" w:hAnsi="Times New Roman"/>
          <w:sz w:val="14"/>
          <w:szCs w:val="14"/>
          <w:b w:val="1"/>
          <w:bCs w:val="1"/>
          <w:color w:val="auto"/>
        </w:rPr>
        <w:t>Quality Audit</w:t>
      </w:r>
      <w:r>
        <w:rPr>
          <w:rFonts w:ascii="Times New Roman" w:cs="Times New Roman" w:eastAsia="Times New Roman" w:hAnsi="Times New Roman"/>
          <w:sz w:val="14"/>
          <w:szCs w:val="14"/>
          <w:color w:val="auto"/>
        </w:rPr>
        <w:t>. Company’s Quality Assurance Departments (“</w:t>
      </w:r>
      <w:r>
        <w:rPr>
          <w:rFonts w:ascii="Times New Roman" w:cs="Times New Roman" w:eastAsia="Times New Roman" w:hAnsi="Times New Roman"/>
          <w:sz w:val="14"/>
          <w:szCs w:val="14"/>
          <w:b w:val="1"/>
          <w:bCs w:val="1"/>
          <w:color w:val="auto"/>
        </w:rPr>
        <w:t>QA</w:t>
      </w:r>
      <w:r>
        <w:rPr>
          <w:rFonts w:ascii="Times New Roman" w:cs="Times New Roman" w:eastAsia="Times New Roman" w:hAnsi="Times New Roman"/>
          <w:sz w:val="14"/>
          <w:szCs w:val="14"/>
          <w:color w:val="auto"/>
        </w:rPr>
        <w:t>”), or a Third Party quality assurance contractor designated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Company’s QA, may conduct QA audits involving the performance of the Clinical Trial Laboratory Services (including processes and systems used in such performance) as part of this Human Laboratory Services Agreement, in accordance with applicable policies and procedures of Company and Provider during regular business hours and will be scheduled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days in advance at a date and time mutually agreed to by Company and Provider. QA audits shall occur no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be conducted during Provider’s regular business hours and last no longer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Both Parties shall take all reasonable steps in advance of such QA audit to ensure documents to be audited are available during such QA audit. Any audit report and associated findings involving Provider or Provider Party shall be the Confidential Information of Provider and must not be shared with any third party without the prior written consent of Provider. Company is allowed to share such audit report with any of its Affiliates who are contractually or otherwise legally bound by confidentiality obligations owed to Provider that are no less protective than the confidentiality provisions under Section 7 (Confidentiality) of this Human Laboratory Services Agreement.</w:t>
      </w:r>
    </w:p>
    <w:p>
      <w:pPr>
        <w:spacing w:after="0" w:line="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10 of 25</w:t>
      </w:r>
    </w:p>
    <w:p>
      <w:pPr>
        <w:sectPr>
          <w:pgSz w:w="11900" w:h="16838" w:orient="portrait"/>
          <w:cols w:equalWidth="0" w:num="1">
            <w:col w:w="9019"/>
          </w:cols>
          <w:pgMar w:left="1440" w:top="241" w:right="1440" w:bottom="1440" w:gutter="0" w:footer="0" w:header="0"/>
        </w:sectPr>
      </w:pPr>
    </w:p>
    <w:bookmarkStart w:id="762" w:name="page763"/>
    <w:bookmarkEnd w:id="762"/>
    <w:p>
      <w:pPr>
        <w:ind w:left="82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any audit or inspection results in findings that require follow-up or action, Provider and Provider Parties agree to dedicate appropriate resources to pursuing and completing the follow-up or action within a commercially reasonable timeframe. Following completion of the QA audit, the full audit report will be forwarded to Provider by Company’s contact responsible for the performance of the Clinical Trial Laboratory Services. After Provider’s receipt of the audit report, if the audit report identifies a material quality issue, the Parties will conduct, in accordance with the Operational Plans, a Root Cause investigation of the issues for which Provider is responsible and Provider will provide, within a timeframe mutually agreed by the Parties in writing, a CAPA plan on issues for which Provider is responsible. Provider will implement the CAPA plan and resolve any issues identified by the agreed upon date. If Provider cannot meet the agreed upon date of the CAPA plan, then Provider shall, on or prior to the agreed upon date, advise Company in writing as to the reason Provider needs additional time and request a revised target date, and such revised target date may be accepted or rejected by Company in its sole discretion.</w:t>
      </w:r>
    </w:p>
    <w:p>
      <w:pPr>
        <w:spacing w:after="0" w:line="62" w:lineRule="exact"/>
        <w:rPr>
          <w:sz w:val="20"/>
          <w:szCs w:val="20"/>
          <w:color w:val="auto"/>
        </w:rPr>
      </w:pPr>
    </w:p>
    <w:p>
      <w:pPr>
        <w:ind w:left="820" w:right="339"/>
        <w:spacing w:after="0" w:line="282" w:lineRule="auto"/>
        <w:rPr>
          <w:sz w:val="20"/>
          <w:szCs w:val="20"/>
          <w:color w:val="auto"/>
        </w:rPr>
      </w:pPr>
      <w:r>
        <w:rPr>
          <w:rFonts w:ascii="Times New Roman" w:cs="Times New Roman" w:eastAsia="Times New Roman" w:hAnsi="Times New Roman"/>
          <w:sz w:val="14"/>
          <w:szCs w:val="14"/>
          <w:color w:val="auto"/>
        </w:rPr>
        <w:t>Once the audit is closed by the Company’s QA, Provider may retain one copy of the audit report which shall be subject to the confidentiality provisions of the Collaboration Agreement.</w:t>
      </w:r>
    </w:p>
    <w:p>
      <w:pPr>
        <w:spacing w:after="0" w:line="50" w:lineRule="exact"/>
        <w:rPr>
          <w:sz w:val="20"/>
          <w:szCs w:val="20"/>
          <w:color w:val="auto"/>
        </w:rPr>
      </w:pPr>
    </w:p>
    <w:p>
      <w:pPr>
        <w:ind w:left="1320" w:right="239" w:hanging="503"/>
        <w:spacing w:after="0" w:line="252" w:lineRule="auto"/>
        <w:tabs>
          <w:tab w:leader="none" w:pos="1300" w:val="left"/>
        </w:tabs>
        <w:rPr>
          <w:sz w:val="20"/>
          <w:szCs w:val="20"/>
          <w:color w:val="auto"/>
        </w:rPr>
      </w:pPr>
      <w:r>
        <w:rPr>
          <w:rFonts w:ascii="Times New Roman" w:cs="Times New Roman" w:eastAsia="Times New Roman" w:hAnsi="Times New Roman"/>
          <w:sz w:val="14"/>
          <w:szCs w:val="14"/>
          <w:color w:val="auto"/>
        </w:rPr>
        <w:t>3.4.2</w:t>
      </w:r>
      <w:r>
        <w:rPr>
          <w:sz w:val="20"/>
          <w:szCs w:val="20"/>
          <w:color w:val="auto"/>
        </w:rPr>
        <w:tab/>
      </w:r>
      <w:r>
        <w:rPr>
          <w:rFonts w:ascii="Times New Roman" w:cs="Times New Roman" w:eastAsia="Times New Roman" w:hAnsi="Times New Roman"/>
          <w:sz w:val="14"/>
          <w:szCs w:val="14"/>
          <w:b w:val="1"/>
          <w:bCs w:val="1"/>
          <w:color w:val="auto"/>
        </w:rPr>
        <w:t>Provider’s Audit Obligations</w:t>
      </w:r>
      <w:r>
        <w:rPr>
          <w:rFonts w:ascii="Times New Roman" w:cs="Times New Roman" w:eastAsia="Times New Roman" w:hAnsi="Times New Roman"/>
          <w:sz w:val="14"/>
          <w:szCs w:val="14"/>
          <w:color w:val="auto"/>
        </w:rPr>
        <w:t>. Company shall (a) promptly, but in any event within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notify Provider upon learning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governmental agency (including a Regulatory Authority) inspection, audit or investigation of Company and/or any Third Party associated with the Clinical Trial Laboratory Services or the Deliverables, whether such inspection, audit or investigation is scheduled or unscheduled; and (b) immediately provide Provider with copies of any correspondence from or to any such governmental agency (including a Regulatory Authority) related to the Clinical Trial Laboratory Services, or the Deliverables. Company or Company’s authorized representative, who may be accompanied by one or more representatives of any governmental agency which regulates Company may, during normal business hours during the Term of this Human Laboratory Services Agreement and for a period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following any termination or expiration of this Human Laboratory Services Agreement, inspect and audit the books and records of Provider and/or Provider Parties with respect to the Clinical Trial Laboratory Services performed for the purpose of evaluating compliance with the Human Laboratory Services Agreement and any Applicable Laws.. Provider shall retain all applicable books and records for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subsequent to the expiration or termination of this Human Laboratory Services Agreement, or such longer period as required by Company’s records and retention schedule in Section 11 or as is required Applicable Law. If any audit results in findings that require follow-up or action, Provider agrees to dedicate appropriate resources to pursuing and completing the follow-up or action within a commercially reasonable timeframe. If any governmental authority audit or inspection identifies any deficiencies, Provider and/or Provider Party shall remedy such deficiencies within the period mandated by the applicable governmental authority or, if no such period is mandated,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business days; provided, however, that if any such deficiencies cannot reasonably be remedied within such period, Provider and/or Provider Party shall prepare and present a written plan to remedy such deficiencies as soon as possible (including but not limited to, a timeline for resolving such deficiencies) as soon as possible; and the failure by Provider and/or Provider Party to prepare and present such a plan or to remedy such deficiencies with such period, as the case may be, shall be deemed a material breach of this Human Laboratory Services Agreement.</w:t>
      </w:r>
    </w:p>
    <w:p>
      <w:pPr>
        <w:spacing w:after="0" w:line="9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11 of 25</w:t>
      </w:r>
    </w:p>
    <w:p>
      <w:pPr>
        <w:sectPr>
          <w:pgSz w:w="11900" w:h="16838" w:orient="portrait"/>
          <w:cols w:equalWidth="0" w:num="1">
            <w:col w:w="9019"/>
          </w:cols>
          <w:pgMar w:left="1440" w:top="241" w:right="1440" w:bottom="1440" w:gutter="0" w:footer="0" w:header="0"/>
        </w:sectPr>
      </w:pPr>
    </w:p>
    <w:bookmarkStart w:id="763" w:name="page764"/>
    <w:bookmarkEnd w:id="763"/>
    <w:tbl>
      <w:tblPr>
        <w:tblLayout w:type="fixed"/>
        <w:tblInd w:w="220" w:type="dxa"/>
        <w:tblCellMar>
          <w:top w:w="0" w:type="dxa"/>
          <w:left w:w="0" w:type="dxa"/>
          <w:bottom w:w="0" w:type="dxa"/>
          <w:right w:w="0" w:type="dxa"/>
        </w:tblCellMar>
      </w:tblPr>
      <w:tr>
        <w:trPr>
          <w:trHeight w:val="170"/>
        </w:trPr>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1"/>
              </w:rPr>
              <w:t>3.5</w:t>
            </w: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Remote Access</w:t>
            </w:r>
            <w:r>
              <w:rPr>
                <w:rFonts w:ascii="Times New Roman" w:cs="Times New Roman" w:eastAsia="Times New Roman" w:hAnsi="Times New Roman"/>
                <w:sz w:val="14"/>
                <w:szCs w:val="14"/>
                <w:color w:val="auto"/>
              </w:rPr>
              <w:t>. In connection with an audit under Sections 3.3 or 3.4 of this Human Laboratory Services Agreement, Provider agrees, and</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shall ensure each Provider Party agrees, to authorize remote audit and remote access to any and all Provider and/or Provider Party’s</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documents, records, electronic IT and database systems, and including but not limited to tools, specifically related to the performance of the</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Human Laboratory Services Agreement, as mutually agreed to by Provider and the Company. In addition, the Parties will ensure use of secure</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electronic exchange methods as mutually determined by Provider and the Company, for the purpose of verifying compliance with the terms</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conditions of this Human Laboratory Services Agreement. Parties will ensure that (a) remote access is restricted to identified and</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authorized employees only; (b) remote access is used solely for verifying compliance with the terms and conditions of this Human Laboratory</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Services Agreement; (c) remote access will be restricted to access that is directly related to the performance of obligations under the terms</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conditions of this Human Laboratory Services Agreement; (d) remote access to documentation will be provided only of the terms and</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conditions of this Human Laboratory Services Agreement during the timeframe and in a manner mutually determined by Provider and the</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Company, which may include, without limitation, secure electronic transmission, as further mutually determined by Provider and the</w:t>
            </w:r>
          </w:p>
        </w:tc>
      </w:tr>
      <w:tr>
        <w:trPr>
          <w:trHeight w:val="183"/>
        </w:trPr>
        <w:tc>
          <w:tcPr>
            <w:tcW w:w="380" w:type="dxa"/>
            <w:vAlign w:val="bottom"/>
          </w:tcPr>
          <w:p>
            <w:pPr>
              <w:spacing w:after="0"/>
              <w:rPr>
                <w:sz w:val="15"/>
                <w:szCs w:val="15"/>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Company and finalized by the Parties, and (e) remote access shall comply with all Applicable Laws and policies.</w:t>
            </w:r>
          </w:p>
        </w:tc>
      </w:tr>
      <w:tr>
        <w:trPr>
          <w:trHeight w:val="248"/>
        </w:trPr>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1"/>
              </w:rPr>
              <w:t>3.6</w:t>
            </w: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Provider Audit</w:t>
            </w:r>
            <w:r>
              <w:rPr>
                <w:rFonts w:ascii="Times New Roman" w:cs="Times New Roman" w:eastAsia="Times New Roman" w:hAnsi="Times New Roman"/>
                <w:sz w:val="14"/>
                <w:szCs w:val="14"/>
                <w:color w:val="auto"/>
                <w:w w:val="99"/>
              </w:rPr>
              <w:t>. Should Provider, Provider Parties or any Third Party conduct any audit or inspection of its own Facilities and/or those of any</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Third Party, Provider and/or Provider Parties shall promptly notify Company of any critical findings relating directly to the Clinical Trial</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Laboratory Services and shall provide copies of the audit reports as they relate to the Clinical Trial Laboratory Services, and summaries of</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such reports, provided, however, that except for a governmental authority and CAP, no Third Party may conduct any audit or inspection of</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any materials or data owned by Company or generated as result of the Clinical Trial Laboratory Services under this agreement without</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Company’s prior written consent. The audit reports and summaries delivered to Company under this section will be in English or translated</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into English. Provider will give Company the opportunity to comment on any CAPA plan prepared by Provider on major or critical issues</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identified in any Provider-conducted audit or inspection relating to the Clinical Trial Laboratory Services and will promptly deliver to</w:t>
            </w:r>
          </w:p>
        </w:tc>
      </w:tr>
      <w:tr>
        <w:trPr>
          <w:trHeight w:val="183"/>
        </w:trPr>
        <w:tc>
          <w:tcPr>
            <w:tcW w:w="380" w:type="dxa"/>
            <w:vAlign w:val="bottom"/>
          </w:tcPr>
          <w:p>
            <w:pPr>
              <w:spacing w:after="0"/>
              <w:rPr>
                <w:sz w:val="15"/>
                <w:szCs w:val="15"/>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Company the final version of such CAPA plan.</w:t>
            </w:r>
          </w:p>
        </w:tc>
      </w:tr>
      <w:tr>
        <w:trPr>
          <w:trHeight w:val="248"/>
        </w:trPr>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1"/>
              </w:rPr>
              <w:t>3.7</w:t>
            </w: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Notification of Regulatory Inspection</w:t>
            </w:r>
            <w:r>
              <w:rPr>
                <w:rFonts w:ascii="Times New Roman" w:cs="Times New Roman" w:eastAsia="Times New Roman" w:hAnsi="Times New Roman"/>
                <w:sz w:val="14"/>
                <w:szCs w:val="14"/>
                <w:color w:val="auto"/>
                <w:w w:val="99"/>
              </w:rPr>
              <w:t>. Provider and Provider Parties shall (a) promptly, but in any event within</w:t>
            </w: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 notify Company upon</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learning of any Regulatory Authority inspection, audit or investigation of Provider and/or any Third Party associated with the Product,</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Provider’s laboratory-developed test, the Clinical Trial Laboratory Services or the Deliverables whether such inspection, audit or</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investigation is scheduled or unscheduled; and (b) immediately provide Company with copies of any correspondence from or to any</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Regulatory Authority related to the Product, the Clinical Trial Laboratory Services, or the Deliverables including, but not limited to, any</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warning letters, as well as the results, including an audit or inspection report, of any Regulatory Authority inspection, audit or investigation.</w:t>
            </w:r>
          </w:p>
        </w:tc>
      </w:tr>
      <w:tr>
        <w:trPr>
          <w:trHeight w:val="168"/>
        </w:trPr>
        <w:tc>
          <w:tcPr>
            <w:tcW w:w="380" w:type="dxa"/>
            <w:vAlign w:val="bottom"/>
          </w:tcPr>
          <w:p>
            <w:pPr>
              <w:spacing w:after="0"/>
              <w:rPr>
                <w:sz w:val="14"/>
                <w:szCs w:val="14"/>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Provider and Company will mutually agree which party will control the response to any Regulatory Authority inspection, audit or</w:t>
            </w:r>
          </w:p>
        </w:tc>
      </w:tr>
      <w:tr>
        <w:trPr>
          <w:trHeight w:val="183"/>
        </w:trPr>
        <w:tc>
          <w:tcPr>
            <w:tcW w:w="380" w:type="dxa"/>
            <w:vAlign w:val="bottom"/>
          </w:tcPr>
          <w:p>
            <w:pPr>
              <w:spacing w:after="0"/>
              <w:rPr>
                <w:sz w:val="15"/>
                <w:szCs w:val="15"/>
                <w:color w:val="auto"/>
              </w:rPr>
            </w:pPr>
          </w:p>
        </w:tc>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investigation relating to the Product, the Clinical Trial Laboratory Services or the Deliverables. To the extent not</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14"/>
          <w:szCs w:val="14"/>
          <w:color w:val="auto"/>
        </w:rPr>
        <w:t>Page 12 of 25</w:t>
      </w:r>
    </w:p>
    <w:p>
      <w:pPr>
        <w:sectPr>
          <w:pgSz w:w="11900" w:h="16838" w:orient="portrait"/>
          <w:cols w:equalWidth="0" w:num="1">
            <w:col w:w="9019"/>
          </w:cols>
          <w:pgMar w:left="1440" w:top="238" w:right="1440" w:bottom="1440" w:gutter="0" w:footer="0" w:header="0"/>
        </w:sectPr>
      </w:pPr>
    </w:p>
    <w:bookmarkStart w:id="764" w:name="page765"/>
    <w:bookmarkEnd w:id="764"/>
    <w:p>
      <w:pPr>
        <w:ind w:left="82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prohibited by law or by the applicable Regulatory Authority, Company will be given the opportunity to have one or more representatives of Company and/or one or more representatives of Company’s Third Party vendor(s) who provide Clinical Trial Laboratory Services relating to the Scope of Work present during any Regulatory Authority inspection of Provider or any Provider Parties specifically relating to any Clinical Trial Laboratory Services. The documents delivered to Company under this section will be in English or translated into English.</w:t>
      </w:r>
    </w:p>
    <w:p>
      <w:pPr>
        <w:spacing w:after="0" w:line="64" w:lineRule="exact"/>
        <w:rPr>
          <w:sz w:val="20"/>
          <w:szCs w:val="20"/>
          <w:color w:val="auto"/>
        </w:rPr>
      </w:pPr>
    </w:p>
    <w:p>
      <w:pPr>
        <w:ind w:left="820" w:right="25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4"/>
          <w:szCs w:val="14"/>
          <w:b w:val="1"/>
          <w:bCs w:val="1"/>
          <w:color w:val="auto"/>
        </w:rPr>
        <w:t>Regulatory Inspection; Regulatory Communications</w:t>
      </w:r>
      <w:r>
        <w:rPr>
          <w:rFonts w:ascii="Times New Roman" w:cs="Times New Roman" w:eastAsia="Times New Roman" w:hAnsi="Times New Roman"/>
          <w:sz w:val="14"/>
          <w:szCs w:val="14"/>
          <w:color w:val="auto"/>
        </w:rPr>
        <w:t>. Provider agrees that, during any inspection, audit or investigation by the FDA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Regulatory Authority concerning the Clinical Trial Laboratory Services, Provider and Provider Parties will not disclose Company Confidential Information and Company Materials that are not required by Applicable Law to be disclosed to such Regulatory Authority, in Provider’s discretion. Unless prohibited by Applicable Law or by the Regulatory Authority having jurisdiction, Provider shall cooperate with Company in the preparation of any communications related to the Clinical Trial Laboratory Services in this Human Laboratory Services Agreement with Regulatory Authorities and any follow-up thereto.</w:t>
      </w:r>
    </w:p>
    <w:p>
      <w:pPr>
        <w:spacing w:after="0" w:line="67" w:lineRule="exact"/>
        <w:rPr>
          <w:sz w:val="20"/>
          <w:szCs w:val="20"/>
          <w:color w:val="auto"/>
        </w:rPr>
      </w:pPr>
    </w:p>
    <w:p>
      <w:pPr>
        <w:ind w:left="820" w:right="25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t>3.9</w:t>
      </w:r>
      <w:r>
        <w:rPr>
          <w:sz w:val="20"/>
          <w:szCs w:val="20"/>
          <w:color w:val="auto"/>
        </w:rPr>
        <w:tab/>
      </w:r>
      <w:r>
        <w:rPr>
          <w:rFonts w:ascii="Times New Roman" w:cs="Times New Roman" w:eastAsia="Times New Roman" w:hAnsi="Times New Roman"/>
          <w:sz w:val="14"/>
          <w:szCs w:val="14"/>
          <w:b w:val="1"/>
          <w:bCs w:val="1"/>
          <w:color w:val="auto"/>
        </w:rPr>
        <w:t>Regulatory Obligations</w:t>
      </w:r>
      <w:r>
        <w:rPr>
          <w:rFonts w:ascii="Times New Roman" w:cs="Times New Roman" w:eastAsia="Times New Roman" w:hAnsi="Times New Roman"/>
          <w:sz w:val="14"/>
          <w:szCs w:val="14"/>
          <w:color w:val="auto"/>
        </w:rPr>
        <w:t>. Company will not require Provider or Provider Parties to perform any assignments or tasks in a manner that would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violate any Applicable Laws. In addition, each Party acknowledges that, other than as provided above in Section 3.7 (Notification of Regulatory Inspection) and Section 3.8 (Regulatory Inspection; Regulatory Communications), it may not direct the manner in which the other Party complies with government or regulatory inspections. Provider represents that, to the extent it does not conflict, contradict, or otherwise interfere with Provider’s independent duty to comply with Regulatory Authorities’ requirements or regulations, it will consider any actions that Company reasonably believes are necessary for Provider and/or Provider Parties to comply with the regulatory obligations.</w:t>
      </w:r>
    </w:p>
    <w:p>
      <w:pPr>
        <w:spacing w:after="0" w:line="67" w:lineRule="exact"/>
        <w:rPr>
          <w:sz w:val="20"/>
          <w:szCs w:val="20"/>
          <w:color w:val="auto"/>
        </w:rPr>
      </w:pPr>
    </w:p>
    <w:p>
      <w:pPr>
        <w:ind w:left="820" w:right="359" w:hanging="597"/>
        <w:spacing w:after="0" w:line="262" w:lineRule="auto"/>
        <w:tabs>
          <w:tab w:leader="none" w:pos="800" w:val="left"/>
        </w:tabs>
        <w:rPr>
          <w:sz w:val="20"/>
          <w:szCs w:val="20"/>
          <w:color w:val="auto"/>
        </w:rPr>
      </w:pPr>
      <w:r>
        <w:rPr>
          <w:rFonts w:ascii="Times New Roman" w:cs="Times New Roman" w:eastAsia="Times New Roman" w:hAnsi="Times New Roman"/>
          <w:sz w:val="14"/>
          <w:szCs w:val="14"/>
          <w:color w:val="auto"/>
        </w:rPr>
        <w:t>3.10</w:t>
      </w:r>
      <w:r>
        <w:rPr>
          <w:sz w:val="20"/>
          <w:szCs w:val="20"/>
          <w:color w:val="auto"/>
        </w:rPr>
        <w:tab/>
      </w:r>
      <w:r>
        <w:rPr>
          <w:rFonts w:ascii="Times New Roman" w:cs="Times New Roman" w:eastAsia="Times New Roman" w:hAnsi="Times New Roman"/>
          <w:sz w:val="14"/>
          <w:szCs w:val="14"/>
          <w:b w:val="1"/>
          <w:bCs w:val="1"/>
          <w:color w:val="auto"/>
        </w:rPr>
        <w:t>Operational Manual</w:t>
      </w:r>
      <w:r>
        <w:rPr>
          <w:rFonts w:ascii="Times New Roman" w:cs="Times New Roman" w:eastAsia="Times New Roman" w:hAnsi="Times New Roman"/>
          <w:sz w:val="14"/>
          <w:szCs w:val="14"/>
          <w:color w:val="auto"/>
        </w:rPr>
        <w:t>. The operational manual (“</w:t>
      </w:r>
      <w:r>
        <w:rPr>
          <w:rFonts w:ascii="Times New Roman" w:cs="Times New Roman" w:eastAsia="Times New Roman" w:hAnsi="Times New Roman"/>
          <w:sz w:val="14"/>
          <w:szCs w:val="14"/>
          <w:b w:val="1"/>
          <w:bCs w:val="1"/>
          <w:color w:val="auto"/>
        </w:rPr>
        <w:t>Operational Manual</w:t>
      </w:r>
      <w:r>
        <w:rPr>
          <w:rFonts w:ascii="Times New Roman" w:cs="Times New Roman" w:eastAsia="Times New Roman" w:hAnsi="Times New Roman"/>
          <w:sz w:val="14"/>
          <w:szCs w:val="14"/>
          <w:color w:val="auto"/>
        </w:rPr>
        <w:t>”) will be developed and agreed upon by Provider and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not be modified without written consent of both Provider and Company. To the extent of any conflict or inconsistency between the Operational Manual and any term of this Agreement, the terms of the Operational Manual will govern with respect to the specific technical subject matter addressed by the Operational Manual and this Agreement shall govern with respect to all other matters.</w:t>
      </w:r>
    </w:p>
    <w:p>
      <w:pPr>
        <w:spacing w:after="0" w:line="63" w:lineRule="exact"/>
        <w:rPr>
          <w:sz w:val="20"/>
          <w:szCs w:val="20"/>
          <w:color w:val="auto"/>
        </w:rPr>
      </w:pPr>
    </w:p>
    <w:p>
      <w:pPr>
        <w:ind w:left="820" w:right="299" w:hanging="597"/>
        <w:spacing w:after="0" w:line="267" w:lineRule="auto"/>
        <w:tabs>
          <w:tab w:leader="none" w:pos="820" w:val="left"/>
        </w:tabs>
        <w:numPr>
          <w:ilvl w:val="0"/>
          <w:numId w:val="5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Price and Payment</w:t>
      </w:r>
      <w:r>
        <w:rPr>
          <w:rFonts w:ascii="Times New Roman" w:cs="Times New Roman" w:eastAsia="Times New Roman" w:hAnsi="Times New Roman"/>
          <w:sz w:val="14"/>
          <w:szCs w:val="14"/>
          <w:color w:val="auto"/>
        </w:rPr>
        <w:t>. The Collaboration Agreement, Section 1.4 shall apply to this Human Laboratory Services Agreement including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Scope of Work and the performance of the Clinical Trial Laboratory Services. Provider shall not incur, and Company shall not be responsible for paying, any amounts associated with travel or expenses except as approved by Company in advance in writing.</w:t>
      </w:r>
    </w:p>
    <w:p>
      <w:pPr>
        <w:spacing w:after="0" w:line="60" w:lineRule="exact"/>
        <w:rPr>
          <w:rFonts w:ascii="Times New Roman" w:cs="Times New Roman" w:eastAsia="Times New Roman" w:hAnsi="Times New Roman"/>
          <w:sz w:val="14"/>
          <w:szCs w:val="14"/>
          <w:b w:val="1"/>
          <w:bCs w:val="1"/>
          <w:color w:val="auto"/>
        </w:rPr>
      </w:pPr>
    </w:p>
    <w:p>
      <w:pPr>
        <w:ind w:left="820" w:right="579" w:hanging="597"/>
        <w:spacing w:after="0" w:line="285" w:lineRule="auto"/>
        <w:tabs>
          <w:tab w:leader="none" w:pos="820" w:val="left"/>
        </w:tabs>
        <w:numPr>
          <w:ilvl w:val="0"/>
          <w:numId w:val="5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Term</w:t>
      </w:r>
      <w:r>
        <w:rPr>
          <w:rFonts w:ascii="Times New Roman" w:cs="Times New Roman" w:eastAsia="Times New Roman" w:hAnsi="Times New Roman"/>
          <w:sz w:val="14"/>
          <w:szCs w:val="14"/>
          <w:color w:val="auto"/>
        </w:rPr>
        <w:t>. The term of this Human Laboratory Services Agreement will be as set forth in section 6.1 of the Collaboration Agreement unless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sooner terminated in accordance with the terms of this Human Laboratory Services Agreement (collectively,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w:t>
      </w:r>
    </w:p>
    <w:p>
      <w:pPr>
        <w:spacing w:after="0" w:line="47"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Termination</w:t>
      </w:r>
    </w:p>
    <w:p>
      <w:pPr>
        <w:spacing w:after="0" w:line="101" w:lineRule="exact"/>
        <w:rPr>
          <w:sz w:val="20"/>
          <w:szCs w:val="20"/>
          <w:color w:val="auto"/>
        </w:rPr>
      </w:pPr>
    </w:p>
    <w:p>
      <w:pPr>
        <w:ind w:left="820" w:right="29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Termination Rights</w:t>
      </w:r>
      <w:r>
        <w:rPr>
          <w:rFonts w:ascii="Times New Roman" w:cs="Times New Roman" w:eastAsia="Times New Roman" w:hAnsi="Times New Roman"/>
          <w:sz w:val="14"/>
          <w:szCs w:val="14"/>
          <w:color w:val="auto"/>
        </w:rPr>
        <w:t>. In addition to the termination rights provided for in the Collaboration Agreement the following provisions apply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Human Laboratory Services Agreement.</w:t>
      </w:r>
    </w:p>
    <w:p>
      <w:pPr>
        <w:spacing w:after="0" w:line="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13 of 25</w:t>
      </w:r>
    </w:p>
    <w:p>
      <w:pPr>
        <w:sectPr>
          <w:pgSz w:w="11900" w:h="16838" w:orient="portrait"/>
          <w:cols w:equalWidth="0" w:num="1">
            <w:col w:w="9019"/>
          </w:cols>
          <w:pgMar w:left="1440" w:top="242" w:right="1440" w:bottom="1440" w:gutter="0" w:footer="0" w:header="0"/>
        </w:sectPr>
      </w:pPr>
    </w:p>
    <w:bookmarkStart w:id="765" w:name="page766"/>
    <w:bookmarkEnd w:id="765"/>
    <w:p>
      <w:pPr>
        <w:ind w:left="1320" w:right="799" w:hanging="503"/>
        <w:spacing w:after="0" w:line="285" w:lineRule="auto"/>
        <w:tabs>
          <w:tab w:leader="none" w:pos="13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6.1.1</w:t>
      </w:r>
      <w:r>
        <w:rPr>
          <w:sz w:val="20"/>
          <w:szCs w:val="20"/>
          <w:color w:val="auto"/>
        </w:rPr>
        <w:tab/>
      </w:r>
      <w:r>
        <w:rPr>
          <w:rFonts w:ascii="Times New Roman" w:cs="Times New Roman" w:eastAsia="Times New Roman" w:hAnsi="Times New Roman"/>
          <w:sz w:val="14"/>
          <w:szCs w:val="14"/>
          <w:b w:val="1"/>
          <w:bCs w:val="1"/>
          <w:color w:val="auto"/>
        </w:rPr>
        <w:t>Notification of Breach</w:t>
      </w:r>
      <w:r>
        <w:rPr>
          <w:rFonts w:ascii="Times New Roman" w:cs="Times New Roman" w:eastAsia="Times New Roman" w:hAnsi="Times New Roman"/>
          <w:sz w:val="14"/>
          <w:szCs w:val="14"/>
          <w:color w:val="auto"/>
        </w:rPr>
        <w:t>. If Provider and/or Provider Party materially breaches any term of this Human Laboratory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Provider shall immediately notify Company upon discovering such material breach.</w:t>
      </w:r>
    </w:p>
    <w:p>
      <w:pPr>
        <w:spacing w:after="0" w:line="48" w:lineRule="exact"/>
        <w:rPr>
          <w:sz w:val="20"/>
          <w:szCs w:val="20"/>
          <w:color w:val="auto"/>
        </w:rPr>
      </w:pPr>
    </w:p>
    <w:p>
      <w:pPr>
        <w:ind w:left="1320" w:right="279" w:hanging="503"/>
        <w:spacing w:after="0" w:line="254" w:lineRule="auto"/>
        <w:tabs>
          <w:tab w:leader="none" w:pos="1300" w:val="left"/>
        </w:tabs>
        <w:rPr>
          <w:sz w:val="20"/>
          <w:szCs w:val="20"/>
          <w:color w:val="auto"/>
        </w:rPr>
      </w:pPr>
      <w:r>
        <w:rPr>
          <w:rFonts w:ascii="Times New Roman" w:cs="Times New Roman" w:eastAsia="Times New Roman" w:hAnsi="Times New Roman"/>
          <w:sz w:val="14"/>
          <w:szCs w:val="14"/>
          <w:color w:val="auto"/>
        </w:rPr>
        <w:t>6.1.2</w:t>
      </w:r>
      <w:r>
        <w:rPr>
          <w:sz w:val="20"/>
          <w:szCs w:val="20"/>
          <w:color w:val="auto"/>
        </w:rPr>
        <w:tab/>
      </w:r>
      <w:r>
        <w:rPr>
          <w:rFonts w:ascii="Times New Roman" w:cs="Times New Roman" w:eastAsia="Times New Roman" w:hAnsi="Times New Roman"/>
          <w:sz w:val="14"/>
          <w:szCs w:val="14"/>
          <w:b w:val="1"/>
          <w:bCs w:val="1"/>
          <w:color w:val="auto"/>
        </w:rPr>
        <w:t>Termination for Breach</w:t>
      </w:r>
      <w:r>
        <w:rPr>
          <w:rFonts w:ascii="Times New Roman" w:cs="Times New Roman" w:eastAsia="Times New Roman" w:hAnsi="Times New Roman"/>
          <w:sz w:val="14"/>
          <w:szCs w:val="14"/>
          <w:color w:val="auto"/>
        </w:rPr>
        <w:t>. If either Party (in case of Provider, including any Provider Party) is in default of any of its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obligations under this Human Laboratory Services Agreement, the non-breaching Party may terminate this Human Laboratory Services Agreement after providing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days’ written notice to the breaching Party of its intent to terminate, stating the grounds therefor, unless the breaching Party is able to satisfactorily cure such default within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 period or such longer period as agreed in writing by the Parties; provided however, that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 cure period shall not apply, and the non-breaching Party may terminate with immediate effect, (i) upon failure of the breaching Party to comply with Applicable Laws, (ii) upon breach of its intellectual property or confidentiality obligations herein by the breaching Party or (iii) if a cure for the breach is not possible. Notwithstanding any termination of this Human Laboratory Services Agreement as a result of a breach, the terminating Party shall be entitled, in accordance with Applicable Law and this Human Laboratory Services Agreement, to exercise any other remedies available to it at law or in equity.</w:t>
      </w:r>
    </w:p>
    <w:p>
      <w:pPr>
        <w:spacing w:after="0" w:line="72"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14"/>
          <w:szCs w:val="14"/>
          <w:color w:val="auto"/>
        </w:rPr>
        <w:t>6.1.3</w:t>
      </w:r>
      <w:r>
        <w:rPr>
          <w:sz w:val="20"/>
          <w:szCs w:val="20"/>
          <w:color w:val="auto"/>
        </w:rPr>
        <w:tab/>
      </w:r>
      <w:r>
        <w:rPr>
          <w:rFonts w:ascii="Times New Roman" w:cs="Times New Roman" w:eastAsia="Times New Roman" w:hAnsi="Times New Roman"/>
          <w:sz w:val="13"/>
          <w:szCs w:val="13"/>
          <w:color w:val="auto"/>
        </w:rPr>
        <w:t>Either Party shall have the right to terminate this Human Laboratory Services Agreement as set forth in Section 9.3 (Notice).</w:t>
      </w:r>
    </w:p>
    <w:p>
      <w:pPr>
        <w:spacing w:after="0" w:line="99" w:lineRule="exact"/>
        <w:rPr>
          <w:sz w:val="20"/>
          <w:szCs w:val="20"/>
          <w:color w:val="auto"/>
        </w:rPr>
      </w:pPr>
    </w:p>
    <w:p>
      <w:pPr>
        <w:ind w:left="820" w:right="85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color w:val="auto"/>
        </w:rPr>
        <w:t>Rights and Obligations upon Termination</w:t>
      </w:r>
      <w:r>
        <w:rPr>
          <w:rFonts w:ascii="Times New Roman" w:cs="Times New Roman" w:eastAsia="Times New Roman" w:hAnsi="Times New Roman"/>
          <w:sz w:val="14"/>
          <w:szCs w:val="14"/>
          <w:color w:val="auto"/>
        </w:rPr>
        <w:t>. In addition to the termination rights and obligations provided for in the Collaboration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including in Section 6.4 and 6.5,</w:t>
      </w:r>
    </w:p>
    <w:p>
      <w:pPr>
        <w:spacing w:after="0" w:line="50" w:lineRule="exact"/>
        <w:rPr>
          <w:sz w:val="20"/>
          <w:szCs w:val="20"/>
          <w:color w:val="auto"/>
        </w:rPr>
      </w:pPr>
    </w:p>
    <w:p>
      <w:pPr>
        <w:ind w:left="1320" w:right="239" w:hanging="503"/>
        <w:spacing w:after="0" w:line="256" w:lineRule="auto"/>
        <w:tabs>
          <w:tab w:leader="none" w:pos="1300" w:val="left"/>
        </w:tabs>
        <w:rPr>
          <w:sz w:val="20"/>
          <w:szCs w:val="20"/>
          <w:color w:val="auto"/>
        </w:rPr>
      </w:pPr>
      <w:r>
        <w:rPr>
          <w:rFonts w:ascii="Times New Roman" w:cs="Times New Roman" w:eastAsia="Times New Roman" w:hAnsi="Times New Roman"/>
          <w:sz w:val="14"/>
          <w:szCs w:val="14"/>
          <w:color w:val="auto"/>
        </w:rPr>
        <w:t>6.2.1</w:t>
      </w:r>
      <w:r>
        <w:rPr>
          <w:sz w:val="20"/>
          <w:szCs w:val="20"/>
          <w:color w:val="auto"/>
        </w:rPr>
        <w:tab/>
      </w:r>
      <w:r>
        <w:rPr>
          <w:rFonts w:ascii="Times New Roman" w:cs="Times New Roman" w:eastAsia="Times New Roman" w:hAnsi="Times New Roman"/>
          <w:sz w:val="14"/>
          <w:szCs w:val="14"/>
          <w:color w:val="auto"/>
        </w:rPr>
        <w:t>Upon termination of this Human Laboratory Services Agreement, Provider will conduct an orderly wind-down of the affected Clinical Trial Laboratory Services and will return or destroy, at Company’s reasonable instructions, all affected Products, all Deliverables, including any work-in-progress and all full and partial copies thereof, and any Company Materials or Equipment belonging to Company at Company’s cost and expense. In addition, Provider shall, and ensure that each Provider Party shall, deliver to Company all information supplied by Company, including, but not limited to Technology, and all results, documentation, materials and Deliverables acquired or generated as a result of the applicable Clinical Trial Laboratory Services.</w:t>
      </w:r>
    </w:p>
    <w:p>
      <w:pPr>
        <w:spacing w:after="0" w:line="71" w:lineRule="exact"/>
        <w:rPr>
          <w:sz w:val="20"/>
          <w:szCs w:val="20"/>
          <w:color w:val="auto"/>
        </w:rPr>
      </w:pPr>
    </w:p>
    <w:p>
      <w:pPr>
        <w:ind w:left="1320" w:right="379" w:hanging="503"/>
        <w:spacing w:after="0" w:line="266" w:lineRule="auto"/>
        <w:tabs>
          <w:tab w:leader="none" w:pos="1300" w:val="left"/>
        </w:tabs>
        <w:rPr>
          <w:sz w:val="20"/>
          <w:szCs w:val="20"/>
          <w:color w:val="auto"/>
        </w:rPr>
      </w:pPr>
      <w:r>
        <w:rPr>
          <w:rFonts w:ascii="Times New Roman" w:cs="Times New Roman" w:eastAsia="Times New Roman" w:hAnsi="Times New Roman"/>
          <w:sz w:val="14"/>
          <w:szCs w:val="14"/>
          <w:color w:val="auto"/>
        </w:rPr>
        <w:t>6.2.2</w:t>
      </w:r>
      <w:r>
        <w:rPr>
          <w:sz w:val="20"/>
          <w:szCs w:val="20"/>
          <w:color w:val="auto"/>
        </w:rPr>
        <w:tab/>
      </w:r>
      <w:r>
        <w:rPr>
          <w:rFonts w:ascii="Times New Roman" w:cs="Times New Roman" w:eastAsia="Times New Roman" w:hAnsi="Times New Roman"/>
          <w:sz w:val="14"/>
          <w:szCs w:val="14"/>
          <w:color w:val="auto"/>
        </w:rPr>
        <w:t>Upon termination of this Human Laboratory Services Agreement, Provider shall submit a final reconciliation to Company in accordance with the pricing set forth in the Collaboration Agreement for all work done by Provider in accordance with this Human Laboratory Services Agreement prior to termination.</w:t>
      </w:r>
    </w:p>
    <w:p>
      <w:pPr>
        <w:spacing w:after="0" w:line="63" w:lineRule="exact"/>
        <w:rPr>
          <w:sz w:val="20"/>
          <w:szCs w:val="20"/>
          <w:color w:val="auto"/>
        </w:rPr>
      </w:pPr>
    </w:p>
    <w:p>
      <w:pPr>
        <w:ind w:left="1320" w:right="499" w:hanging="503"/>
        <w:spacing w:after="0" w:line="266" w:lineRule="auto"/>
        <w:tabs>
          <w:tab w:leader="none" w:pos="1300" w:val="left"/>
        </w:tabs>
        <w:rPr>
          <w:sz w:val="20"/>
          <w:szCs w:val="20"/>
          <w:color w:val="auto"/>
        </w:rPr>
      </w:pPr>
      <w:r>
        <w:rPr>
          <w:rFonts w:ascii="Times New Roman" w:cs="Times New Roman" w:eastAsia="Times New Roman" w:hAnsi="Times New Roman"/>
          <w:sz w:val="14"/>
          <w:szCs w:val="14"/>
          <w:color w:val="auto"/>
        </w:rPr>
        <w:t>6.2.3</w:t>
      </w:r>
      <w:r>
        <w:rPr>
          <w:sz w:val="20"/>
          <w:szCs w:val="20"/>
          <w:color w:val="auto"/>
        </w:rPr>
        <w:tab/>
      </w:r>
      <w:r>
        <w:rPr>
          <w:rFonts w:ascii="Times New Roman" w:cs="Times New Roman" w:eastAsia="Times New Roman" w:hAnsi="Times New Roman"/>
          <w:sz w:val="14"/>
          <w:szCs w:val="14"/>
          <w:color w:val="auto"/>
        </w:rPr>
        <w:t>Upon receipt of a notice of termination as provided herein, both Parties shall cooperate with each other and use all commercially reasonable efforts to affect a smooth transition. Upon delivery a notice of termination by either Party, Provider shall use all reasonable efforts to avoid incurring additional costs and expenses.</w:t>
      </w:r>
    </w:p>
    <w:p>
      <w:pPr>
        <w:spacing w:after="0" w:line="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14 of 25</w:t>
      </w:r>
    </w:p>
    <w:p>
      <w:pPr>
        <w:sectPr>
          <w:pgSz w:w="11900" w:h="16838" w:orient="portrait"/>
          <w:cols w:equalWidth="0" w:num="1">
            <w:col w:w="9019"/>
          </w:cols>
          <w:pgMar w:left="1440" w:top="239" w:right="1440" w:bottom="1440" w:gutter="0" w:footer="0" w:header="0"/>
        </w:sectPr>
      </w:pPr>
    </w:p>
    <w:bookmarkStart w:id="766" w:name="page767"/>
    <w:bookmarkEnd w:id="766"/>
    <w:p>
      <w:pPr>
        <w:ind w:left="820" w:right="239" w:hanging="597"/>
        <w:spacing w:after="0" w:line="257"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14"/>
          <w:szCs w:val="14"/>
          <w:b w:val="1"/>
          <w:bCs w:val="1"/>
          <w:color w:val="auto"/>
        </w:rPr>
        <w:t>Payment upon Termination</w:t>
      </w:r>
      <w:r>
        <w:rPr>
          <w:rFonts w:ascii="Times New Roman" w:cs="Times New Roman" w:eastAsia="Times New Roman" w:hAnsi="Times New Roman"/>
          <w:sz w:val="14"/>
          <w:szCs w:val="14"/>
          <w:color w:val="auto"/>
        </w:rPr>
        <w:t>. Upon any termination (other than a termination by Company due to Provider’s material breach),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shall pay Provider the fees for Clinical Trial Laboratory Services provided in accordance with this Human Laboratory Services Agreement and shall reimburse Provider in accordance with this Human Laboratory Services Agreement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no event shall Company be responsible for any amounts in the aggregate greater than (i) the total that would have been due under as set forth in the Scope of Work or (ii) the value of the work done by Provider in accordance with this Human Laboratory Services Agreement prior to termination, whichever is less. Any overpayment by Company shall be promptly refunded by Provider.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67" w:lineRule="exact"/>
        <w:rPr>
          <w:sz w:val="20"/>
          <w:szCs w:val="20"/>
          <w:color w:val="auto"/>
        </w:rPr>
      </w:pPr>
    </w:p>
    <w:p>
      <w:pPr>
        <w:ind w:left="820" w:right="319" w:hanging="597"/>
        <w:spacing w:after="0" w:line="253" w:lineRule="auto"/>
        <w:tabs>
          <w:tab w:leader="none" w:pos="820" w:val="left"/>
        </w:tabs>
        <w:numPr>
          <w:ilvl w:val="0"/>
          <w:numId w:val="5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Confidentiality &amp; Publication</w:t>
      </w:r>
      <w:r>
        <w:rPr>
          <w:rFonts w:ascii="Times New Roman" w:cs="Times New Roman" w:eastAsia="Times New Roman" w:hAnsi="Times New Roman"/>
          <w:sz w:val="14"/>
          <w:szCs w:val="14"/>
          <w:color w:val="auto"/>
        </w:rPr>
        <w:t>. The confidentiality provisions of the Collaboration Agreement, including section 5, “</w:t>
      </w:r>
      <w:r>
        <w:rPr>
          <w:rFonts w:ascii="Times New Roman" w:cs="Times New Roman" w:eastAsia="Times New Roman" w:hAnsi="Times New Roman"/>
          <w:sz w:val="14"/>
          <w:szCs w:val="14"/>
          <w:b w:val="1"/>
          <w:bCs w:val="1"/>
          <w:color w:val="auto"/>
        </w:rPr>
        <w:t>Confidentiality</w:t>
      </w:r>
      <w:r>
        <w:rPr>
          <w:rFonts w:ascii="Times New Roman" w:cs="Times New Roman" w:eastAsia="Times New Roman" w:hAnsi="Times New Roman"/>
          <w:sz w:val="14"/>
          <w:szCs w:val="14"/>
          <w:color w:val="auto"/>
        </w:rPr>
        <w: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apply to this Human Laboratory Services Agreement including the Scope of Work and the performance of the Clinical Trial Laboratory Services. Provider shall have the right to publish aggregated data and results that compare concordance between pre-birth testing and post-birth testing; provided, however, that Provider shall provide Company the opportunity to review any proposed publication or other proposed disclosure describing said concordance data and results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days prior to submission for publication or other proposed disclosure; and provided, further, that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months have elapsed since the Company completed the Study. Company shall have the right to approve any portion of the publication that includes information on Nipocalimab or the Study. If Company believes patentable subject matter is disclosed in Provider’s proposed publication or other disclosure and so notifies Provider, the proposed publication will be withheld for a reasonable period of time not to exceed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days to permit Company to prepare and file the relevant patent applications. If Company notifies Provider that Company Confidential Information is disclosed in the proposed publication or other disclosure, Provider shall remove such Company Confidential Information prior proceeding with publication or other disclosure.</w:t>
      </w:r>
    </w:p>
    <w:p>
      <w:pPr>
        <w:spacing w:after="0" w:line="74" w:lineRule="exact"/>
        <w:rPr>
          <w:rFonts w:ascii="Times New Roman" w:cs="Times New Roman" w:eastAsia="Times New Roman" w:hAnsi="Times New Roman"/>
          <w:sz w:val="14"/>
          <w:szCs w:val="14"/>
          <w:b w:val="1"/>
          <w:bCs w:val="1"/>
          <w:color w:val="auto"/>
        </w:rPr>
      </w:pPr>
    </w:p>
    <w:p>
      <w:pPr>
        <w:ind w:left="820" w:right="239" w:hanging="597"/>
        <w:spacing w:after="0" w:line="254" w:lineRule="auto"/>
        <w:tabs>
          <w:tab w:leader="none" w:pos="820" w:val="left"/>
        </w:tabs>
        <w:numPr>
          <w:ilvl w:val="0"/>
          <w:numId w:val="5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Intellectual Property Rights</w:t>
      </w:r>
      <w:r>
        <w:rPr>
          <w:rFonts w:ascii="Times New Roman" w:cs="Times New Roman" w:eastAsia="Times New Roman" w:hAnsi="Times New Roman"/>
          <w:sz w:val="14"/>
          <w:szCs w:val="14"/>
          <w:color w:val="auto"/>
        </w:rPr>
        <w:t>. The intellectual property provisions of the Collaboration Agreement, including section 4, “</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shall apply to this Human Laboratory Services Agreement including the Scope of Work and the performance of the Clinical Trial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Laboratory Services. Notwithstanding any provision in this Human Laboratory Services Agreement to the contrary, the term “</w:t>
      </w:r>
      <w:r>
        <w:rPr>
          <w:rFonts w:ascii="Times New Roman" w:cs="Times New Roman" w:eastAsia="Times New Roman" w:hAnsi="Times New Roman"/>
          <w:sz w:val="14"/>
          <w:szCs w:val="14"/>
          <w:b w:val="1"/>
          <w:bCs w:val="1"/>
          <w:color w:val="auto"/>
        </w:rPr>
        <w:t>Scope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Work</w:t>
      </w:r>
      <w:r>
        <w:rPr>
          <w:rFonts w:ascii="Times New Roman" w:cs="Times New Roman" w:eastAsia="Times New Roman" w:hAnsi="Times New Roman"/>
          <w:sz w:val="14"/>
          <w:szCs w:val="14"/>
          <w:color w:val="auto"/>
        </w:rPr>
        <w:t>” will be interpreted as the equivalent of the term “</w:t>
      </w:r>
      <w:r>
        <w:rPr>
          <w:rFonts w:ascii="Times New Roman" w:cs="Times New Roman" w:eastAsia="Times New Roman" w:hAnsi="Times New Roman"/>
          <w:sz w:val="14"/>
          <w:szCs w:val="14"/>
          <w:b w:val="1"/>
          <w:bCs w:val="1"/>
          <w:color w:val="auto"/>
        </w:rPr>
        <w:t>Research Plan</w:t>
      </w:r>
      <w:r>
        <w:rPr>
          <w:rFonts w:ascii="Times New Roman" w:cs="Times New Roman" w:eastAsia="Times New Roman" w:hAnsi="Times New Roman"/>
          <w:sz w:val="14"/>
          <w:szCs w:val="14"/>
          <w:color w:val="auto"/>
        </w:rPr>
        <w:t>” as that term is defined and used in the Collaboration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accordingly, the provisions of the Collaboration Agreement that apply to the Research Plan and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the Collaboration Agreement shall be deemed to also apply to the Scope of Work and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xml:space="preserve"> and the Clinical Trial Laboratory Services performed pursuant to this Human Laboratory Services Agreement, mutatis mutandis. In the event of any conflict or inconsistency between the provisions of the Collaboration Agreement and the provisions in this Human Laboratory Services Agreement, the provisions of the Collaboration Agreement shall control and govern with respect to Intellectual Property Rights and the Human Laboratory Services Agreement shall control and govern performance of the Clinical Trial Laboratory Services.</w:t>
      </w:r>
    </w:p>
    <w:p>
      <w:pPr>
        <w:spacing w:after="0" w:line="69"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Compliance with Applicable Law</w:t>
      </w:r>
    </w:p>
    <w:p>
      <w:pPr>
        <w:spacing w:after="0" w:line="101" w:lineRule="exact"/>
        <w:rPr>
          <w:sz w:val="20"/>
          <w:szCs w:val="20"/>
          <w:color w:val="auto"/>
        </w:rPr>
      </w:pPr>
    </w:p>
    <w:p>
      <w:pPr>
        <w:ind w:left="820" w:right="23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b w:val="1"/>
          <w:bCs w:val="1"/>
          <w:color w:val="auto"/>
        </w:rPr>
        <w:t>Healthcare Compliance</w:t>
      </w:r>
      <w:r>
        <w:rPr>
          <w:rFonts w:ascii="Times New Roman" w:cs="Times New Roman" w:eastAsia="Times New Roman" w:hAnsi="Times New Roman"/>
          <w:sz w:val="14"/>
          <w:szCs w:val="14"/>
          <w:color w:val="auto"/>
        </w:rPr>
        <w:t>. Janssen Research &amp; Development LLC (“</w:t>
      </w:r>
      <w:r>
        <w:rPr>
          <w:rFonts w:ascii="Times New Roman" w:cs="Times New Roman" w:eastAsia="Times New Roman" w:hAnsi="Times New Roman"/>
          <w:sz w:val="14"/>
          <w:szCs w:val="14"/>
          <w:b w:val="1"/>
          <w:bCs w:val="1"/>
          <w:color w:val="auto"/>
        </w:rPr>
        <w:t>JRD</w:t>
      </w:r>
      <w:r>
        <w:rPr>
          <w:rFonts w:ascii="Times New Roman" w:cs="Times New Roman" w:eastAsia="Times New Roman" w:hAnsi="Times New Roman"/>
          <w:sz w:val="14"/>
          <w:szCs w:val="14"/>
          <w:color w:val="auto"/>
        </w:rPr>
        <w:t>”) and Provider hereby each represents and warrants to the other,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hereby each covenants with the other that, its respective obligations under this Human Laboratory Services Agreement, including the Clinical Trial Laboratory Services will be performed in compliance with all Applicable Laws, including without limitation, the FD&amp;C Act, as amended, and applicable regulations, the Medicare/Medicaid Anti-kickback Statute, Health Insurance Portability and Accountability Act of 1996 (HIPAA), the False Claims Act, applicable state fraud and abuse laws, the AMA Guidelines on Gifts to Physicians from Industry, the Economic Espionage Act of 1996 and applicable laws and government regulations relating to services and the privacy, professional confidentiality and security thereof.</w:t>
      </w:r>
    </w:p>
    <w:p>
      <w:pPr>
        <w:spacing w:after="0" w:line="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15 of 25</w:t>
      </w:r>
    </w:p>
    <w:p>
      <w:pPr>
        <w:sectPr>
          <w:pgSz w:w="11900" w:h="16838" w:orient="portrait"/>
          <w:cols w:equalWidth="0" w:num="1">
            <w:col w:w="9019"/>
          </w:cols>
          <w:pgMar w:left="1440" w:top="239" w:right="1440" w:bottom="1440" w:gutter="0" w:footer="0" w:header="0"/>
        </w:sectPr>
      </w:pPr>
    </w:p>
    <w:bookmarkStart w:id="767" w:name="page768"/>
    <w:bookmarkEnd w:id="767"/>
    <w:p>
      <w:pPr>
        <w:ind w:left="820" w:right="29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4"/>
          <w:szCs w:val="14"/>
          <w:b w:val="1"/>
          <w:bCs w:val="1"/>
          <w:color w:val="auto"/>
        </w:rPr>
        <w:t>Disbarment and Disqualification</w:t>
      </w:r>
      <w:r>
        <w:rPr>
          <w:rFonts w:ascii="Times New Roman" w:cs="Times New Roman" w:eastAsia="Times New Roman" w:hAnsi="Times New Roman"/>
          <w:sz w:val="14"/>
          <w:szCs w:val="14"/>
          <w:color w:val="auto"/>
        </w:rPr>
        <w:t>. Company and Provider hereby each represents and warrants to the other, and hereby each covenants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other, that:</w:t>
      </w:r>
    </w:p>
    <w:p>
      <w:pPr>
        <w:spacing w:after="0" w:line="50" w:lineRule="exact"/>
        <w:rPr>
          <w:sz w:val="20"/>
          <w:szCs w:val="20"/>
          <w:color w:val="auto"/>
        </w:rPr>
      </w:pPr>
    </w:p>
    <w:p>
      <w:pPr>
        <w:ind w:left="1320" w:right="27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9.2.1</w:t>
      </w:r>
      <w:r>
        <w:rPr>
          <w:sz w:val="20"/>
          <w:szCs w:val="20"/>
          <w:color w:val="auto"/>
        </w:rPr>
        <w:tab/>
      </w:r>
      <w:r>
        <w:rPr>
          <w:rFonts w:ascii="Times New Roman" w:cs="Times New Roman" w:eastAsia="Times New Roman" w:hAnsi="Times New Roman"/>
          <w:sz w:val="14"/>
          <w:szCs w:val="14"/>
          <w:color w:val="auto"/>
        </w:rPr>
        <w:t>It is not excluded, debarred, suspended or otherwise been made ineligible, and upon written request, it shall, within ten (10) calendar days, provide written confirmation that it has complied with the foregoing obligation.</w:t>
      </w:r>
    </w:p>
    <w:p>
      <w:pPr>
        <w:spacing w:after="0" w:line="52" w:lineRule="exact"/>
        <w:rPr>
          <w:sz w:val="20"/>
          <w:szCs w:val="20"/>
          <w:color w:val="auto"/>
        </w:rPr>
      </w:pPr>
    </w:p>
    <w:p>
      <w:pPr>
        <w:ind w:left="1320" w:right="75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9.2.2</w:t>
      </w:r>
      <w:r>
        <w:rPr>
          <w:sz w:val="20"/>
          <w:szCs w:val="20"/>
          <w:color w:val="auto"/>
        </w:rPr>
        <w:tab/>
      </w:r>
      <w:r>
        <w:rPr>
          <w:rFonts w:ascii="Times New Roman" w:cs="Times New Roman" w:eastAsia="Times New Roman" w:hAnsi="Times New Roman"/>
          <w:sz w:val="14"/>
          <w:szCs w:val="14"/>
          <w:color w:val="auto"/>
        </w:rPr>
        <w:t>It is not excluded from participation in any state or federal healthcare program, as defined in 42 U.S.C. §1320a-7b(f) for the provision of items or services for which payment may be made by a federal healthcare program;</w:t>
      </w:r>
    </w:p>
    <w:p>
      <w:pPr>
        <w:spacing w:after="0" w:line="52" w:lineRule="exact"/>
        <w:rPr>
          <w:sz w:val="20"/>
          <w:szCs w:val="20"/>
          <w:color w:val="auto"/>
        </w:rPr>
      </w:pPr>
    </w:p>
    <w:p>
      <w:pPr>
        <w:ind w:left="1320" w:right="51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9.2.3</w:t>
      </w:r>
      <w:r>
        <w:rPr>
          <w:sz w:val="20"/>
          <w:szCs w:val="20"/>
          <w:color w:val="auto"/>
        </w:rPr>
        <w:tab/>
      </w:r>
      <w:r>
        <w:rPr>
          <w:rFonts w:ascii="Times New Roman" w:cs="Times New Roman" w:eastAsia="Times New Roman" w:hAnsi="Times New Roman"/>
          <w:sz w:val="14"/>
          <w:szCs w:val="14"/>
          <w:color w:val="auto"/>
        </w:rPr>
        <w:t>It has not been debarred, nor is subject to a pending debarment, nor will use in any capacity in connection with the Clinical Trial Laboratory Services any person who has been debarred pursuant to section 306 of the FD&amp;C Act, 21 U.S.C. § 355a;</w:t>
      </w:r>
    </w:p>
    <w:p>
      <w:pPr>
        <w:spacing w:after="0" w:line="52" w:lineRule="exact"/>
        <w:rPr>
          <w:sz w:val="20"/>
          <w:szCs w:val="20"/>
          <w:color w:val="auto"/>
        </w:rPr>
      </w:pPr>
    </w:p>
    <w:p>
      <w:pPr>
        <w:ind w:left="1320" w:right="27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9.2.4</w:t>
      </w:r>
      <w:r>
        <w:rPr>
          <w:sz w:val="20"/>
          <w:szCs w:val="20"/>
          <w:color w:val="auto"/>
        </w:rPr>
        <w:tab/>
      </w:r>
      <w:r>
        <w:rPr>
          <w:rFonts w:ascii="Times New Roman" w:cs="Times New Roman" w:eastAsia="Times New Roman" w:hAnsi="Times New Roman"/>
          <w:sz w:val="14"/>
          <w:szCs w:val="14"/>
          <w:color w:val="auto"/>
        </w:rPr>
        <w:t>It has not been convicted of a criminal offense related to the provision of healthcare items or services which could lead to debarment or is subject to any such pending action, or is the subject of a conviction or pending action described in Section 9;</w:t>
      </w:r>
    </w:p>
    <w:p>
      <w:pPr>
        <w:spacing w:after="0" w:line="52" w:lineRule="exact"/>
        <w:rPr>
          <w:sz w:val="20"/>
          <w:szCs w:val="20"/>
          <w:color w:val="auto"/>
        </w:rPr>
      </w:pPr>
    </w:p>
    <w:p>
      <w:pPr>
        <w:ind w:left="1320" w:right="75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9.2.5</w:t>
      </w:r>
      <w:r>
        <w:rPr>
          <w:sz w:val="20"/>
          <w:szCs w:val="20"/>
          <w:color w:val="auto"/>
        </w:rPr>
        <w:tab/>
      </w:r>
      <w:r>
        <w:rPr>
          <w:rFonts w:ascii="Times New Roman" w:cs="Times New Roman" w:eastAsia="Times New Roman" w:hAnsi="Times New Roman"/>
          <w:sz w:val="14"/>
          <w:szCs w:val="14"/>
          <w:color w:val="auto"/>
        </w:rPr>
        <w:t>It has not contracted with any employee, contractor, agent, vendor or vendor’s affiliate knowing that the contracting party is excluded from participation in any state or federal healthcare program in any jurisdiction;</w:t>
      </w:r>
    </w:p>
    <w:p>
      <w:pPr>
        <w:spacing w:after="0" w:line="52" w:lineRule="exact"/>
        <w:rPr>
          <w:sz w:val="20"/>
          <w:szCs w:val="20"/>
          <w:color w:val="auto"/>
        </w:rPr>
      </w:pPr>
    </w:p>
    <w:p>
      <w:pPr>
        <w:ind w:left="1320" w:right="65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9.2.6</w:t>
      </w:r>
      <w:r>
        <w:rPr>
          <w:sz w:val="20"/>
          <w:szCs w:val="20"/>
          <w:color w:val="auto"/>
        </w:rPr>
        <w:tab/>
      </w:r>
      <w:r>
        <w:rPr>
          <w:rFonts w:ascii="Times New Roman" w:cs="Times New Roman" w:eastAsia="Times New Roman" w:hAnsi="Times New Roman"/>
          <w:sz w:val="14"/>
          <w:szCs w:val="14"/>
          <w:color w:val="auto"/>
        </w:rPr>
        <w:t>No final adverse action or exclusion, as described in 42 U.S.C. § 1320a-7a(e) and 42 U.S.C. § 1320a-7a(g), has occurred or is pending against it or contractors; and</w:t>
      </w:r>
    </w:p>
    <w:p>
      <w:pPr>
        <w:spacing w:after="0" w:line="52" w:lineRule="exact"/>
        <w:rPr>
          <w:sz w:val="20"/>
          <w:szCs w:val="20"/>
          <w:color w:val="auto"/>
        </w:rPr>
      </w:pPr>
    </w:p>
    <w:p>
      <w:pPr>
        <w:jc w:val="both"/>
        <w:ind w:left="1320" w:right="239" w:hanging="503"/>
        <w:spacing w:after="0" w:line="266" w:lineRule="auto"/>
        <w:tabs>
          <w:tab w:leader="none" w:pos="1300" w:val="left"/>
        </w:tabs>
        <w:rPr>
          <w:sz w:val="20"/>
          <w:szCs w:val="20"/>
          <w:color w:val="auto"/>
        </w:rPr>
      </w:pPr>
      <w:r>
        <w:rPr>
          <w:rFonts w:ascii="Times New Roman" w:cs="Times New Roman" w:eastAsia="Times New Roman" w:hAnsi="Times New Roman"/>
          <w:sz w:val="14"/>
          <w:szCs w:val="14"/>
          <w:color w:val="auto"/>
        </w:rPr>
        <w:t>9.2.7</w:t>
      </w:r>
      <w:r>
        <w:rPr>
          <w:sz w:val="20"/>
          <w:szCs w:val="20"/>
          <w:color w:val="auto"/>
        </w:rPr>
        <w:tab/>
      </w:r>
      <w:r>
        <w:rPr>
          <w:rFonts w:ascii="Times New Roman" w:cs="Times New Roman" w:eastAsia="Times New Roman" w:hAnsi="Times New Roman"/>
          <w:sz w:val="14"/>
          <w:szCs w:val="14"/>
          <w:color w:val="auto"/>
        </w:rPr>
        <w:t>It shall not violate the statutes, regulations and written directives of the Medicare, Medicaid and all other United States federal health care programs (as defined in 42 U.S.C. §1320a-7b(b)-(f)) or the statutes, regulations and written directives of the FDA, with respect to the performance of its obligations under this Human Laboratory Services Agreement.</w:t>
      </w:r>
    </w:p>
    <w:p>
      <w:pPr>
        <w:spacing w:after="0" w:line="61" w:lineRule="exact"/>
        <w:rPr>
          <w:sz w:val="20"/>
          <w:szCs w:val="20"/>
          <w:color w:val="auto"/>
        </w:rPr>
      </w:pPr>
    </w:p>
    <w:p>
      <w:pPr>
        <w:ind w:left="820" w:right="239" w:hanging="597"/>
        <w:spacing w:after="0" w:line="255" w:lineRule="auto"/>
        <w:tabs>
          <w:tab w:leader="none" w:pos="80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Provider shall promptly notify Company in writing of any adverse action, discovery of contract with an excluded entity or individual,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exclusion, or if Provider or any Provider Party is debarred, excluded or otherwise disqualified or if any action or investigation is pending or threatened relating to the debarment, exclusion of Provider, a Provider Party of any person performing Clinical Trial Laboratory Services or if any other aspect of Section 9.2 becomes untrue at any time. At any time during the term of this Human Laboratory Services Agreement Provider may request Company provide written confirmation of the representations and warranties in Section 9.2, and upon such request, Company shall provide such written confirmation. In the event that either JRD or Provider becomes debarred, excluded or otherwise disqualified, then the other (i.e., the entity not debarred, excluded or otherwise disqualified) will have the option to terminate this Human Laboratory Services Agreement upon written notice to the other (i.e., the entity debarred, excluded or otherwise disqualified).</w:t>
      </w:r>
    </w:p>
    <w:p>
      <w:pPr>
        <w:spacing w:after="0" w:line="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16 of 25</w:t>
      </w:r>
    </w:p>
    <w:p>
      <w:pPr>
        <w:sectPr>
          <w:pgSz w:w="11900" w:h="16838" w:orient="portrait"/>
          <w:cols w:equalWidth="0" w:num="1">
            <w:col w:w="9019"/>
          </w:cols>
          <w:pgMar w:left="1440" w:top="239" w:right="1440" w:bottom="1440" w:gutter="0" w:footer="0" w:header="0"/>
        </w:sectPr>
      </w:pPr>
    </w:p>
    <w:bookmarkStart w:id="768" w:name="page769"/>
    <w:bookmarkEnd w:id="768"/>
    <w:p>
      <w:pPr>
        <w:ind w:left="820" w:hanging="597"/>
        <w:spacing w:after="0"/>
        <w:tabs>
          <w:tab w:leader="none" w:pos="820" w:val="left"/>
        </w:tabs>
        <w:numPr>
          <w:ilvl w:val="0"/>
          <w:numId w:val="5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Disaster Recovery</w:t>
      </w:r>
    </w:p>
    <w:p>
      <w:pPr>
        <w:spacing w:after="0" w:line="101" w:lineRule="exact"/>
        <w:rPr>
          <w:sz w:val="20"/>
          <w:szCs w:val="20"/>
          <w:color w:val="auto"/>
        </w:rPr>
      </w:pPr>
    </w:p>
    <w:p>
      <w:pPr>
        <w:ind w:left="820" w:right="239" w:hanging="597"/>
        <w:spacing w:after="0" w:line="272" w:lineRule="auto"/>
        <w:tabs>
          <w:tab w:leader="none" w:pos="80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3"/>
          <w:szCs w:val="13"/>
          <w:b w:val="1"/>
          <w:bCs w:val="1"/>
          <w:color w:val="auto"/>
        </w:rPr>
        <w:t>Data Safeguards</w:t>
      </w:r>
      <w:r>
        <w:rPr>
          <w:rFonts w:ascii="Times New Roman" w:cs="Times New Roman" w:eastAsia="Times New Roman" w:hAnsi="Times New Roman"/>
          <w:sz w:val="13"/>
          <w:szCs w:val="13"/>
          <w:color w:val="auto"/>
        </w:rPr>
        <w:t>. Provider shall, and shall cause Provider Parties throughout the Term of this Human Laboratory Services Agreement,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employ all reasonable and appropriate industry standard measures and processes to ensure that all data collected and stored by Provider and/or Provider Parties in the course of providing the Clinical Trial Laboratory Services is safeguarded against loss, damage and destruction arising from any cause, including, but not limited to: theft, fire, flood, earthquake, lightening and electrical disruption. Such measures and processes shall include, but not be limited to (a) remote storage of archived hard-copy documents and computer back-up media in locked containers and facilities with advanced fire-suppression systems, and (b) current back-up, recovery, and business continuity and disaster recovery plans which are periodically validated for all business systems. Back-up location(s) must be located in a different city or village from the primary data storage location. Provider will develop, maintain, test and implement a business continuity and disaster recovery plan in respect of the Clinical Trial Laboratory Services. Provider’s business continuity and disaster recovery plan must be reviewed by Provider at least annually, to confirm that the plan (including contacts and process steps) is accurate, and updated as appropriate following each review. Provider’s business continuity and disaster recovery plan must include measures and processes that would enable the Company to (i) continue to access Provider’s systems, including Company data maintained in Provider’s systems, (ii) access all technical documentation necessary for Company’s use of the Clinical Trial Laboratory Services, and (iii) access appropriate implementation guidelines and other implementation support. Provider’s business continuity and disaster recovery plan will include, if and to the extent requested and approved by Company and in compliance with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of the Collaboration Agreement, as amended by this Amendment, provisions whereby Provider will supply certain Provider Parties’ reviewers with laptop computers so that they may perform the Clinical Trial Laboratory Services remotely in the event of a business interruption at a Provider’s or Provider Parties’ Facility at which Clinical Trial Laboratory Services are performed or any difficulty traveling to a Provider’s or Provider Parties’ Facility. The applicable Company parties will be informed within twenty-four</w:t>
      </w:r>
    </w:p>
    <w:p>
      <w:pPr>
        <w:spacing w:after="0" w:line="159" w:lineRule="exact"/>
        <w:rPr>
          <w:sz w:val="20"/>
          <w:szCs w:val="20"/>
          <w:color w:val="auto"/>
        </w:rPr>
      </w:pPr>
    </w:p>
    <w:p>
      <w:pPr>
        <w:ind w:left="820" w:right="359" w:firstLine="1"/>
        <w:spacing w:after="0" w:line="252" w:lineRule="auto"/>
        <w:tabs>
          <w:tab w:leader="none" w:pos="1088"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hours of the Provider’s execution of its disaster recovery plan, and if such notification is not in writing, Provider will deliver a written notification as promptly as possible but in any event within forty-eight (48) hours of the execution. Notification will include a description of the event, the status of the system, expected system unavailability, any issues with the Clinical Trial Laboratory Services and planned remedies. The Company parties may declare a disaster if they reasonably conclude that Provider has unnecessarily delayed in making the declaration. In the event of a disaster, the Company parties, in their discretion, may choose to transition the Services to a Company disaster recovery site or to a Third Party disaster recovery site and, in such event, Provider shall, and shall cause the Provider Parties to, fully cooperate in the transition. Provider will ensure continued operation with minimal disruption.</w:t>
      </w:r>
    </w:p>
    <w:p>
      <w:pPr>
        <w:spacing w:after="0" w:line="72"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3"/>
          <w:szCs w:val="13"/>
          <w:color w:val="auto"/>
        </w:rPr>
        <w:t>Intentionally Omitted.</w:t>
      </w:r>
    </w:p>
    <w:p>
      <w:pPr>
        <w:spacing w:after="0" w:line="99" w:lineRule="exact"/>
        <w:rPr>
          <w:sz w:val="20"/>
          <w:szCs w:val="20"/>
          <w:color w:val="auto"/>
        </w:rPr>
      </w:pPr>
    </w:p>
    <w:p>
      <w:pPr>
        <w:ind w:left="820" w:right="259" w:hanging="597"/>
        <w:spacing w:after="0" w:line="255" w:lineRule="auto"/>
        <w:tabs>
          <w:tab w:leader="none" w:pos="80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b w:val="1"/>
          <w:bCs w:val="1"/>
          <w:color w:val="auto"/>
        </w:rPr>
        <w:t>Outages and Interruptions</w:t>
      </w:r>
      <w:r>
        <w:rPr>
          <w:rFonts w:ascii="Times New Roman" w:cs="Times New Roman" w:eastAsia="Times New Roman" w:hAnsi="Times New Roman"/>
          <w:sz w:val="14"/>
          <w:szCs w:val="14"/>
          <w:color w:val="auto"/>
        </w:rPr>
        <w:t>. Provider shall notify Company and appropriate project lead in writing a minimum of five (5) days in advance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planned power outages or other system down time (“</w:t>
      </w:r>
      <w:r>
        <w:rPr>
          <w:rFonts w:ascii="Times New Roman" w:cs="Times New Roman" w:eastAsia="Times New Roman" w:hAnsi="Times New Roman"/>
          <w:sz w:val="14"/>
          <w:szCs w:val="14"/>
          <w:b w:val="1"/>
          <w:bCs w:val="1"/>
          <w:color w:val="auto"/>
        </w:rPr>
        <w:t>Scheduled Downtime</w:t>
      </w:r>
      <w:r>
        <w:rPr>
          <w:rFonts w:ascii="Times New Roman" w:cs="Times New Roman" w:eastAsia="Times New Roman" w:hAnsi="Times New Roman"/>
          <w:sz w:val="14"/>
          <w:szCs w:val="14"/>
          <w:color w:val="auto"/>
        </w:rPr>
        <w:t>”) which could affect the provision of the Clinical Trial Laboratory Services and their expected duration. Notification will include any risks to the Clinical Trial Laboratory Services and a plan for the mitigation of that risk. Provider shall provide prompt telephone notification to the Company point of contact set forth in the Scope of Work or otherwise agreed by the Parties as soon as Provider becomes aware of any unscheduled down time which could affect the provision of the Clinical Trial Laboratory Services and will provide periodic updates during the unscheduled down time regarding Provider’s progress in restoring the Clinical Trial Laboratory Services to full availability. Provider shall, and shall cause Provider Parties to, work with Company to resolve any</w:t>
      </w:r>
    </w:p>
    <w:p>
      <w:pPr>
        <w:spacing w:after="0" w:line="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17 of 25</w:t>
      </w:r>
    </w:p>
    <w:p>
      <w:pPr>
        <w:sectPr>
          <w:pgSz w:w="11900" w:h="16838" w:orient="portrait"/>
          <w:cols w:equalWidth="0" w:num="1">
            <w:col w:w="9019"/>
          </w:cols>
          <w:pgMar w:left="1440" w:top="239" w:right="1440" w:bottom="1440" w:gutter="0" w:footer="0" w:header="0"/>
        </w:sectPr>
      </w:pPr>
    </w:p>
    <w:bookmarkStart w:id="769" w:name="page770"/>
    <w:bookmarkEnd w:id="769"/>
    <w:p>
      <w:pPr>
        <w:ind w:left="820" w:hanging="597"/>
        <w:spacing w:after="0"/>
        <w:tabs>
          <w:tab w:leader="none" w:pos="820" w:val="left"/>
        </w:tabs>
        <w:numPr>
          <w:ilvl w:val="0"/>
          <w:numId w:val="5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Records and Information Management Requirements (“RIM Requirements”)</w:t>
      </w:r>
    </w:p>
    <w:p>
      <w:pPr>
        <w:spacing w:after="0" w:line="103"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3"/>
          <w:szCs w:val="13"/>
          <w:color w:val="auto"/>
        </w:rPr>
        <w:t>Company’s Records and Information. All records and information, in any format, that Provider or Provider Parties creates, edits or receives</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on behalf of Company or Company’s affiliates in performance of the Clinical Trial Laboratory Services will be referred to herein as</w:t>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Company’s Records and Information.</w:t>
      </w:r>
      <w:r>
        <w:rPr>
          <w:rFonts w:ascii="Times New Roman" w:cs="Times New Roman" w:eastAsia="Times New Roman" w:hAnsi="Times New Roman"/>
          <w:sz w:val="14"/>
          <w:szCs w:val="14"/>
          <w:color w:val="auto"/>
        </w:rPr>
        <w:t>” For avoidance of doubt, “Company’s Records and Information” does not include records and</w:t>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information created by Provider as part of Provider’s business processes (e.g., invoices, internal reports, etc. and records or information</w:t>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created outside of the scope of this Human Laboratory Services Agreement).</w:t>
      </w:r>
    </w:p>
    <w:p>
      <w:pPr>
        <w:spacing w:after="0" w:line="87"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14"/>
          <w:szCs w:val="14"/>
          <w:color w:val="auto"/>
        </w:rPr>
        <w:t>11.1.1</w:t>
      </w:r>
      <w:r>
        <w:rPr>
          <w:sz w:val="20"/>
          <w:szCs w:val="20"/>
          <w:color w:val="auto"/>
        </w:rPr>
        <w:tab/>
      </w:r>
      <w:r>
        <w:rPr>
          <w:rFonts w:ascii="Times New Roman" w:cs="Times New Roman" w:eastAsia="Times New Roman" w:hAnsi="Times New Roman"/>
          <w:sz w:val="13"/>
          <w:szCs w:val="13"/>
          <w:color w:val="auto"/>
        </w:rPr>
        <w:t>Provider and Provider Parties shall maintain, manage and protect Company’s Records and Information pursuant to this Agreement</w:t>
      </w:r>
    </w:p>
    <w:p>
      <w:pPr>
        <w:spacing w:after="0" w:line="22" w:lineRule="exact"/>
        <w:rPr>
          <w:sz w:val="20"/>
          <w:szCs w:val="20"/>
          <w:color w:val="auto"/>
        </w:rPr>
      </w:pPr>
    </w:p>
    <w:p>
      <w:pPr>
        <w:ind w:left="1320" w:right="579" w:firstLine="5"/>
        <w:spacing w:after="0" w:line="255" w:lineRule="auto"/>
        <w:tabs>
          <w:tab w:leader="none" w:pos="1487"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Company’s reasonable records retention requirements for one (1) year from the end of the Clinicial Trial Laboratory Services and then Provider shall transfer Company’s Records and Information to Company in accordance with Section 11.6, Transfer; and (ii) in accordance with all Applicable Laws.</w:t>
      </w:r>
    </w:p>
    <w:p>
      <w:pPr>
        <w:spacing w:after="0" w:line="70" w:lineRule="exact"/>
        <w:rPr>
          <w:sz w:val="20"/>
          <w:szCs w:val="20"/>
          <w:color w:val="auto"/>
        </w:rPr>
      </w:pPr>
    </w:p>
    <w:p>
      <w:pPr>
        <w:ind w:left="1320" w:right="79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11.1.2</w:t>
        <w:tab/>
        <w:t>Provider and Provider Parties shall not transfer Company’s Records and Information to any other entity unless approved by Company in writing.</w:t>
      </w:r>
    </w:p>
    <w:p>
      <w:pPr>
        <w:spacing w:after="0" w:line="52" w:lineRule="exact"/>
        <w:rPr>
          <w:sz w:val="20"/>
          <w:szCs w:val="20"/>
          <w:color w:val="auto"/>
        </w:rPr>
      </w:pPr>
    </w:p>
    <w:p>
      <w:pPr>
        <w:ind w:left="1320" w:right="559" w:hanging="503"/>
        <w:spacing w:after="0" w:line="266" w:lineRule="auto"/>
        <w:tabs>
          <w:tab w:leader="none" w:pos="1300" w:val="left"/>
        </w:tabs>
        <w:rPr>
          <w:sz w:val="20"/>
          <w:szCs w:val="20"/>
          <w:color w:val="auto"/>
        </w:rPr>
      </w:pPr>
      <w:r>
        <w:rPr>
          <w:rFonts w:ascii="Times New Roman" w:cs="Times New Roman" w:eastAsia="Times New Roman" w:hAnsi="Times New Roman"/>
          <w:sz w:val="14"/>
          <w:szCs w:val="14"/>
          <w:color w:val="auto"/>
        </w:rPr>
        <w:t>11.1.3</w:t>
        <w:tab/>
        <w:t>Provider and Provider Parties shall use reasonable efforts to manage Company’s Records and Information such that Company’s Records and Information is not intermingled with records and information managed by Provider or Provider Parties for other customers.</w:t>
      </w:r>
    </w:p>
    <w:p>
      <w:pPr>
        <w:spacing w:after="0" w:line="63" w:lineRule="exact"/>
        <w:rPr>
          <w:sz w:val="20"/>
          <w:szCs w:val="20"/>
          <w:color w:val="auto"/>
        </w:rPr>
      </w:pPr>
    </w:p>
    <w:p>
      <w:pPr>
        <w:ind w:left="1320" w:right="559" w:hanging="503"/>
        <w:spacing w:after="0" w:line="282" w:lineRule="auto"/>
        <w:tabs>
          <w:tab w:leader="none" w:pos="1300" w:val="left"/>
        </w:tabs>
        <w:rPr>
          <w:sz w:val="20"/>
          <w:szCs w:val="20"/>
          <w:color w:val="auto"/>
        </w:rPr>
      </w:pPr>
      <w:r>
        <w:rPr>
          <w:rFonts w:ascii="Times New Roman" w:cs="Times New Roman" w:eastAsia="Times New Roman" w:hAnsi="Times New Roman"/>
          <w:sz w:val="14"/>
          <w:szCs w:val="14"/>
          <w:color w:val="auto"/>
        </w:rPr>
        <w:t>11.1.4</w:t>
        <w:tab/>
        <w:t>Provider and Provider Parties shall retain electronic data backups of Company’s Records and Information (for disaster recovery purposes, record retention requirements, or delivery of Clinical Trial Laboratory Services).</w:t>
      </w:r>
    </w:p>
    <w:p>
      <w:pPr>
        <w:spacing w:after="0" w:line="50" w:lineRule="exact"/>
        <w:rPr>
          <w:sz w:val="20"/>
          <w:szCs w:val="20"/>
          <w:color w:val="auto"/>
        </w:rPr>
      </w:pPr>
    </w:p>
    <w:p>
      <w:pPr>
        <w:ind w:left="820" w:right="33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Preservation and Production</w:t>
      </w:r>
      <w:r>
        <w:rPr>
          <w:rFonts w:ascii="Times New Roman" w:cs="Times New Roman" w:eastAsia="Times New Roman" w:hAnsi="Times New Roman"/>
          <w:sz w:val="14"/>
          <w:szCs w:val="14"/>
          <w:color w:val="auto"/>
        </w:rPr>
        <w:t>. Provider and Provider Parties shall comply with any reasonable request from Company to preserve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Records and Information (or parts thereof). Provider shall deliver promptly Company’s Records and Information requested to be searched, retrieved, and produced, all as part of the services Provider provides under this Human Laboratory Services Agreement in accordance with Section 11.8 (Format of Company’s Records and Information), but subject to the records retention procedures set forth in Sections 3.3.1 and 3.3.2.</w:t>
      </w:r>
    </w:p>
    <w:p>
      <w:pPr>
        <w:spacing w:after="0" w:line="65" w:lineRule="exact"/>
        <w:rPr>
          <w:sz w:val="20"/>
          <w:szCs w:val="20"/>
          <w:color w:val="auto"/>
        </w:rPr>
      </w:pPr>
    </w:p>
    <w:p>
      <w:pPr>
        <w:ind w:left="820" w:right="31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b w:val="1"/>
          <w:bCs w:val="1"/>
          <w:color w:val="auto"/>
        </w:rPr>
        <w:t>Third Party Requests</w:t>
      </w:r>
      <w:r>
        <w:rPr>
          <w:rFonts w:ascii="Times New Roman" w:cs="Times New Roman" w:eastAsia="Times New Roman" w:hAnsi="Times New Roman"/>
          <w:sz w:val="14"/>
          <w:szCs w:val="14"/>
          <w:color w:val="auto"/>
        </w:rPr>
        <w:t>. Within</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business days of Provider and/or Provider Parties receiving a request, demand, notice, subpoena, order,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legal request (“</w:t>
      </w:r>
      <w:r>
        <w:rPr>
          <w:rFonts w:ascii="Times New Roman" w:cs="Times New Roman" w:eastAsia="Times New Roman" w:hAnsi="Times New Roman"/>
          <w:sz w:val="14"/>
          <w:szCs w:val="14"/>
          <w:b w:val="1"/>
          <w:bCs w:val="1"/>
          <w:color w:val="auto"/>
        </w:rPr>
        <w:t>Third-Party Request</w:t>
      </w:r>
      <w:r>
        <w:rPr>
          <w:rFonts w:ascii="Times New Roman" w:cs="Times New Roman" w:eastAsia="Times New Roman" w:hAnsi="Times New Roman"/>
          <w:sz w:val="14"/>
          <w:szCs w:val="14"/>
          <w:color w:val="auto"/>
        </w:rPr>
        <w:t>”) for Company’s Records and Information, Provider shall notify Company and provide Company with a copy of the Third-Party Request (unless legally prohibited). Provider shall confer with Company to identify, document, and implement procedures to comply with the request. Provider and Provider Parties shall take all reasonable steps to protect Company’s legal rights when responding to a Third-Party Request.</w:t>
      </w:r>
    </w:p>
    <w:p>
      <w:pPr>
        <w:spacing w:after="0" w:line="8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18 of 25</w:t>
      </w:r>
    </w:p>
    <w:p>
      <w:pPr>
        <w:sectPr>
          <w:pgSz w:w="11900" w:h="16838" w:orient="portrait"/>
          <w:cols w:equalWidth="0" w:num="1">
            <w:col w:w="9019"/>
          </w:cols>
          <w:pgMar w:left="1440" w:top="238" w:right="1440" w:bottom="1440" w:gutter="0" w:footer="0" w:header="0"/>
        </w:sectPr>
      </w:pPr>
    </w:p>
    <w:bookmarkStart w:id="770" w:name="page771"/>
    <w:bookmarkEnd w:id="770"/>
    <w:p>
      <w:pPr>
        <w:ind w:left="820" w:right="61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11.4</w:t>
      </w:r>
      <w:r>
        <w:rPr>
          <w:sz w:val="20"/>
          <w:szCs w:val="20"/>
          <w:color w:val="auto"/>
        </w:rPr>
        <w:tab/>
      </w:r>
      <w:r>
        <w:rPr>
          <w:rFonts w:ascii="Times New Roman" w:cs="Times New Roman" w:eastAsia="Times New Roman" w:hAnsi="Times New Roman"/>
          <w:sz w:val="14"/>
          <w:szCs w:val="14"/>
          <w:b w:val="1"/>
          <w:bCs w:val="1"/>
          <w:color w:val="auto"/>
        </w:rPr>
        <w:t>Training</w:t>
      </w:r>
      <w:r>
        <w:rPr>
          <w:rFonts w:ascii="Times New Roman" w:cs="Times New Roman" w:eastAsia="Times New Roman" w:hAnsi="Times New Roman"/>
          <w:sz w:val="14"/>
          <w:szCs w:val="14"/>
          <w:color w:val="auto"/>
        </w:rPr>
        <w:t>. All employees and contractors of Provider with access to the Johnson &amp; Johnson Enterprise Network (JJNET) shall annually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Records and Information Management training as reasonably specified by Company.</w:t>
      </w:r>
    </w:p>
    <w:p>
      <w:pPr>
        <w:spacing w:after="0" w:line="48" w:lineRule="exact"/>
        <w:rPr>
          <w:sz w:val="20"/>
          <w:szCs w:val="20"/>
          <w:color w:val="auto"/>
        </w:rPr>
      </w:pPr>
    </w:p>
    <w:p>
      <w:pPr>
        <w:jc w:val="both"/>
        <w:ind w:left="820" w:right="31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b w:val="1"/>
          <w:bCs w:val="1"/>
          <w:color w:val="auto"/>
        </w:rPr>
        <w:t>Destruction</w:t>
      </w:r>
      <w:r>
        <w:rPr>
          <w:rFonts w:ascii="Times New Roman" w:cs="Times New Roman" w:eastAsia="Times New Roman" w:hAnsi="Times New Roman"/>
          <w:sz w:val="14"/>
          <w:szCs w:val="14"/>
          <w:color w:val="auto"/>
        </w:rPr>
        <w:t>. Provider and Provider Parties shall not destroy or permanently delete Company’s Records and Information without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written approval, but subject to the records retention procedures set forth in Sections 3.3.1 and 3.3.2. Company shall confirm the Company’s Records and Information is not subject to any pending preservation obligation or retention requirement. Following destruction in accordance with this Section 11.5, Provider and Provider Parties shall certify in writing that Company’s Records and Information has been destroyed or permanently deleted as specified by the Company.</w:t>
      </w:r>
    </w:p>
    <w:p>
      <w:pPr>
        <w:spacing w:after="0" w:line="65" w:lineRule="exact"/>
        <w:rPr>
          <w:sz w:val="20"/>
          <w:szCs w:val="20"/>
          <w:color w:val="auto"/>
        </w:rPr>
      </w:pPr>
    </w:p>
    <w:p>
      <w:pPr>
        <w:ind w:left="820" w:right="37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When a transfer of Company’s Records and Information from Provider is required, subject to the records retention procedures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Sections 3.3.1 and 3.3.2, Provider shall (i) transfer Company’s Records and Information to Company or an entity specified by Company in accordance with Section 11.8 (Format of Company’s Records and Information), (ii) take no action on Company’s Records and Information until written notification from Company confirming accurate and complete transfer is received, and (iii) obtain Company’s written approval to destroy or permanently delete Company’s Records and Information in accordance with Section 11.5 (Destruction).</w:t>
      </w:r>
    </w:p>
    <w:p>
      <w:pPr>
        <w:spacing w:after="0" w:line="65" w:lineRule="exact"/>
        <w:rPr>
          <w:sz w:val="20"/>
          <w:szCs w:val="20"/>
          <w:color w:val="auto"/>
        </w:rPr>
      </w:pPr>
    </w:p>
    <w:p>
      <w:pPr>
        <w:ind w:left="820" w:right="299" w:hanging="597"/>
        <w:spacing w:after="0" w:line="262" w:lineRule="auto"/>
        <w:tabs>
          <w:tab w:leader="none" w:pos="80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b w:val="1"/>
          <w:bCs w:val="1"/>
          <w:color w:val="auto"/>
        </w:rPr>
        <w:t>Termination</w:t>
      </w:r>
      <w:r>
        <w:rPr>
          <w:rFonts w:ascii="Times New Roman" w:cs="Times New Roman" w:eastAsia="Times New Roman" w:hAnsi="Times New Roman"/>
          <w:sz w:val="14"/>
          <w:szCs w:val="14"/>
          <w:color w:val="auto"/>
        </w:rPr>
        <w:t>. Upon termination of this Human Laboratory Services Agreement and at Company’s direction , but subject to the records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retention procedures set forth in Sections 3.3.1 and 3.3.2, Provider shall (i) transfer Company’s Records and Information to Company or an entity specified by Company in accordance with Section 11.6 (Transfer), or (ii) obtain Company’s written approval to destroy or permanently delete Company’s Records and Information in accordance with Section 11.5 (Destruction).</w:t>
      </w:r>
    </w:p>
    <w:p>
      <w:pPr>
        <w:spacing w:after="0" w:line="63" w:lineRule="exact"/>
        <w:rPr>
          <w:sz w:val="20"/>
          <w:szCs w:val="20"/>
          <w:color w:val="auto"/>
        </w:rPr>
      </w:pPr>
    </w:p>
    <w:p>
      <w:pPr>
        <w:ind w:left="820" w:right="33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4"/>
          <w:szCs w:val="14"/>
          <w:b w:val="1"/>
          <w:bCs w:val="1"/>
          <w:color w:val="auto"/>
        </w:rPr>
        <w:t>Format of Company’s Records and Information</w:t>
      </w:r>
      <w:r>
        <w:rPr>
          <w:rFonts w:ascii="Times New Roman" w:cs="Times New Roman" w:eastAsia="Times New Roman" w:hAnsi="Times New Roman"/>
          <w:sz w:val="14"/>
          <w:szCs w:val="14"/>
          <w:color w:val="auto"/>
        </w:rPr>
        <w:t>. In consultation with Company, Provider and Provider Parties shall identify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Records and Information and implement documented procedures to deliver to Company or an entity specified by Company, Company’s Records and Information and supporting documentation in the format directed by Company. To meet Company’s records retention and other legal preservation obligations, Company may require Provider to provide Company’s Records and Information in a structured format maintaining the relationships that exist in the database underlying Provider’s application.</w:t>
      </w:r>
    </w:p>
    <w:p>
      <w:pPr>
        <w:spacing w:after="0" w:line="65" w:lineRule="exact"/>
        <w:rPr>
          <w:sz w:val="20"/>
          <w:szCs w:val="20"/>
          <w:color w:val="auto"/>
        </w:rPr>
      </w:pPr>
    </w:p>
    <w:p>
      <w:pPr>
        <w:ind w:left="820" w:hanging="597"/>
        <w:spacing w:after="0"/>
        <w:tabs>
          <w:tab w:leader="none" w:pos="820" w:val="left"/>
        </w:tabs>
        <w:numPr>
          <w:ilvl w:val="0"/>
          <w:numId w:val="5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Indemnification</w:t>
      </w:r>
    </w:p>
    <w:p>
      <w:pPr>
        <w:spacing w:after="0" w:line="103" w:lineRule="exact"/>
        <w:rPr>
          <w:sz w:val="20"/>
          <w:szCs w:val="20"/>
          <w:color w:val="auto"/>
        </w:rPr>
      </w:pPr>
    </w:p>
    <w:p>
      <w:pPr>
        <w:ind w:left="820" w:right="359" w:hanging="597"/>
        <w:spacing w:after="0" w:line="261" w:lineRule="auto"/>
        <w:tabs>
          <w:tab w:leader="none" w:pos="80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Company shall indemnify, defend and hold harmless Provider, its directors, officers, employees, agents and representative (collectively herein, “</w:t>
      </w:r>
      <w:r>
        <w:rPr>
          <w:rFonts w:ascii="Times New Roman" w:cs="Times New Roman" w:eastAsia="Times New Roman" w:hAnsi="Times New Roman"/>
          <w:sz w:val="14"/>
          <w:szCs w:val="14"/>
          <w:b w:val="1"/>
          <w:bCs w:val="1"/>
          <w:color w:val="auto"/>
        </w:rPr>
        <w:t>BTO Indemnitees</w:t>
      </w:r>
      <w:r>
        <w:rPr>
          <w:rFonts w:ascii="Times New Roman" w:cs="Times New Roman" w:eastAsia="Times New Roman" w:hAnsi="Times New Roman"/>
          <w:sz w:val="14"/>
          <w:szCs w:val="14"/>
          <w:color w:val="auto"/>
        </w:rPr>
        <w:t>”) against any and all losses, costs, claims, suits, expenses, damages and awards, including reasonable attorneys’ fees for defending those claims or lawsuits (collectively herein, “</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14"/>
          <w:szCs w:val="14"/>
          <w:color w:val="auto"/>
        </w:rPr>
        <w:t>”) in connection with any third party claim or lawsuit arising out of:</w:t>
      </w:r>
    </w:p>
    <w:p>
      <w:pPr>
        <w:spacing w:after="0" w:line="66" w:lineRule="exact"/>
        <w:rPr>
          <w:sz w:val="20"/>
          <w:szCs w:val="20"/>
          <w:color w:val="auto"/>
        </w:rPr>
      </w:pPr>
    </w:p>
    <w:p>
      <w:pPr>
        <w:ind w:left="1320" w:right="419" w:hanging="499"/>
        <w:spacing w:after="0" w:line="282" w:lineRule="auto"/>
        <w:tabs>
          <w:tab w:leader="none" w:pos="132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Company, or any third party engaged by Company, in/ the performance of the Study described in this Human Laboratory Services Agreement; or</w:t>
      </w:r>
    </w:p>
    <w:p>
      <w:pPr>
        <w:spacing w:after="0" w:line="7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Page 19 of 25</w:t>
      </w:r>
    </w:p>
    <w:p>
      <w:pPr>
        <w:sectPr>
          <w:pgSz w:w="11900" w:h="16838" w:orient="portrait"/>
          <w:cols w:equalWidth="0" w:num="1">
            <w:col w:w="9019"/>
          </w:cols>
          <w:pgMar w:left="1440" w:top="239" w:right="1440" w:bottom="1440" w:gutter="0" w:footer="0" w:header="0"/>
        </w:sectPr>
      </w:pPr>
    </w:p>
    <w:bookmarkStart w:id="771" w:name="page772"/>
    <w:bookmarkEnd w:id="771"/>
    <w:p>
      <w:pPr>
        <w:ind w:left="1320" w:hanging="499"/>
        <w:spacing w:after="0"/>
        <w:tabs>
          <w:tab w:leader="none" w:pos="132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illness or injury of any subject in the Study described in this Human Laboratory Services Agreement; or</w:t>
      </w:r>
    </w:p>
    <w:p>
      <w:pPr>
        <w:spacing w:after="0" w:line="101" w:lineRule="exact"/>
        <w:rPr>
          <w:rFonts w:ascii="Times New Roman" w:cs="Times New Roman" w:eastAsia="Times New Roman" w:hAnsi="Times New Roman"/>
          <w:sz w:val="14"/>
          <w:szCs w:val="14"/>
          <w:color w:val="auto"/>
        </w:rPr>
      </w:pPr>
    </w:p>
    <w:p>
      <w:pPr>
        <w:jc w:val="both"/>
        <w:ind w:left="1320" w:right="299" w:hanging="499"/>
        <w:spacing w:after="0" w:line="261" w:lineRule="auto"/>
        <w:tabs>
          <w:tab w:leader="none" w:pos="132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infringement or misappropriation of any patent or trade secret owned or possessed by a third party arising directly related to the use of the Product, either solely or in combination with the BTO Test, during the performance of the Study described in this Human Laboratory Services Agreement, except to the extent that such infringement or misappropriation is the subject of indemnification by Provider pursuant to Section 12.2(c).</w:t>
      </w:r>
    </w:p>
    <w:p>
      <w:pPr>
        <w:spacing w:after="0" w:line="66" w:lineRule="exact"/>
        <w:rPr>
          <w:sz w:val="20"/>
          <w:szCs w:val="20"/>
          <w:color w:val="auto"/>
        </w:rPr>
      </w:pPr>
    </w:p>
    <w:p>
      <w:pPr>
        <w:jc w:val="center"/>
        <w:ind w:left="220" w:right="639"/>
        <w:spacing w:after="0" w:line="282" w:lineRule="auto"/>
        <w:rPr>
          <w:sz w:val="20"/>
          <w:szCs w:val="20"/>
          <w:color w:val="auto"/>
        </w:rPr>
      </w:pPr>
      <w:r>
        <w:rPr>
          <w:rFonts w:ascii="Times New Roman" w:cs="Times New Roman" w:eastAsia="Times New Roman" w:hAnsi="Times New Roman"/>
          <w:sz w:val="14"/>
          <w:szCs w:val="14"/>
          <w:color w:val="auto"/>
        </w:rPr>
        <w:t>12.2     Provider shall indemnify, defend and hold harmless Company, its directors, officers, employees, agents and representative (collectively herein, “</w:t>
      </w:r>
      <w:r>
        <w:rPr>
          <w:rFonts w:ascii="Times New Roman" w:cs="Times New Roman" w:eastAsia="Times New Roman" w:hAnsi="Times New Roman"/>
          <w:sz w:val="14"/>
          <w:szCs w:val="14"/>
          <w:b w:val="1"/>
          <w:bCs w:val="1"/>
          <w:color w:val="auto"/>
        </w:rPr>
        <w:t>Janssen Indemnitees</w:t>
      </w:r>
      <w:r>
        <w:rPr>
          <w:rFonts w:ascii="Times New Roman" w:cs="Times New Roman" w:eastAsia="Times New Roman" w:hAnsi="Times New Roman"/>
          <w:sz w:val="14"/>
          <w:szCs w:val="14"/>
          <w:color w:val="auto"/>
        </w:rPr>
        <w:t>”) against any and all Losses in connection with any third party claim or lawsuit arising out of:</w:t>
      </w:r>
    </w:p>
    <w:p>
      <w:pPr>
        <w:spacing w:after="0" w:line="52" w:lineRule="exact"/>
        <w:rPr>
          <w:sz w:val="20"/>
          <w:szCs w:val="20"/>
          <w:color w:val="auto"/>
        </w:rPr>
      </w:pPr>
    </w:p>
    <w:p>
      <w:pPr>
        <w:ind w:left="1320" w:right="459" w:hanging="499"/>
        <w:spacing w:after="0" w:line="282" w:lineRule="auto"/>
        <w:tabs>
          <w:tab w:leader="none" w:pos="132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Provider, or any third party engaged by Provider, in the performance of the Clinical Trial Laboratory Services as described in this Human Laboratory Services Agreement; or</w:t>
      </w:r>
    </w:p>
    <w:p>
      <w:pPr>
        <w:spacing w:after="0" w:line="51" w:lineRule="exact"/>
        <w:rPr>
          <w:rFonts w:ascii="Times New Roman" w:cs="Times New Roman" w:eastAsia="Times New Roman" w:hAnsi="Times New Roman"/>
          <w:sz w:val="14"/>
          <w:szCs w:val="14"/>
          <w:color w:val="auto"/>
        </w:rPr>
      </w:pPr>
    </w:p>
    <w:p>
      <w:pPr>
        <w:ind w:left="1320" w:right="859" w:hanging="499"/>
        <w:spacing w:after="0" w:line="282" w:lineRule="auto"/>
        <w:tabs>
          <w:tab w:leader="none" w:pos="132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negligence or willful misconduct of Provider, or any third party engaged by Provider, in the design, validation or performance of the BTO Test; or</w:t>
      </w:r>
    </w:p>
    <w:p>
      <w:pPr>
        <w:spacing w:after="0" w:line="51" w:lineRule="exact"/>
        <w:rPr>
          <w:rFonts w:ascii="Times New Roman" w:cs="Times New Roman" w:eastAsia="Times New Roman" w:hAnsi="Times New Roman"/>
          <w:sz w:val="14"/>
          <w:szCs w:val="14"/>
          <w:color w:val="auto"/>
        </w:rPr>
      </w:pPr>
    </w:p>
    <w:p>
      <w:pPr>
        <w:ind w:left="1320" w:right="459" w:hanging="499"/>
        <w:spacing w:after="0" w:line="266" w:lineRule="auto"/>
        <w:tabs>
          <w:tab w:leader="none" w:pos="132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infringement or misappropriation of any patent or trade secret owned or possessed by a third party arising directly from the performance of the BTO Test alone, and not due to its combination with the Product, during the performance of the Clinical Trial Laboratory Services as described in this Human Laboratory Services Agreement.</w:t>
      </w:r>
    </w:p>
    <w:p>
      <w:pPr>
        <w:spacing w:after="0" w:line="61" w:lineRule="exact"/>
        <w:rPr>
          <w:sz w:val="20"/>
          <w:szCs w:val="20"/>
          <w:color w:val="auto"/>
        </w:rPr>
      </w:pPr>
    </w:p>
    <w:p>
      <w:pPr>
        <w:ind w:left="820" w:right="299" w:hanging="597"/>
        <w:spacing w:after="0" w:line="274" w:lineRule="auto"/>
        <w:tabs>
          <w:tab w:leader="none" w:pos="80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If a party (the “</w:t>
      </w:r>
      <w:r>
        <w:rPr>
          <w:rFonts w:ascii="Times New Roman" w:cs="Times New Roman" w:eastAsia="Times New Roman" w:hAnsi="Times New Roman"/>
          <w:sz w:val="13"/>
          <w:szCs w:val="13"/>
          <w:b w:val="1"/>
          <w:bCs w:val="1"/>
          <w:color w:val="auto"/>
        </w:rPr>
        <w:t>Indemnitee</w:t>
      </w:r>
      <w:r>
        <w:rPr>
          <w:rFonts w:ascii="Times New Roman" w:cs="Times New Roman" w:eastAsia="Times New Roman" w:hAnsi="Times New Roman"/>
          <w:sz w:val="13"/>
          <w:szCs w:val="13"/>
          <w:color w:val="auto"/>
        </w:rPr>
        <w:t>”) intends to claim indemnification under this Section 12 (Indemnification), it will notify the other party (the “</w:t>
      </w:r>
      <w:r>
        <w:rPr>
          <w:rFonts w:ascii="Times New Roman" w:cs="Times New Roman" w:eastAsia="Times New Roman" w:hAnsi="Times New Roman"/>
          <w:sz w:val="13"/>
          <w:szCs w:val="13"/>
          <w:b w:val="1"/>
          <w:bCs w:val="1"/>
          <w:color w:val="auto"/>
        </w:rPr>
        <w:t>Indemnitor</w:t>
      </w:r>
      <w:r>
        <w:rPr>
          <w:rFonts w:ascii="Times New Roman" w:cs="Times New Roman" w:eastAsia="Times New Roman" w:hAnsi="Times New Roman"/>
          <w:sz w:val="13"/>
          <w:szCs w:val="13"/>
          <w:color w:val="auto"/>
        </w:rPr>
        <w:t xml:space="preserve">”) in writing within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days of any third party claim for which the Indemnitee intends to seek such indemnification. The failure of the Indemnitee to deliver written notice to the Indemnitor within a reasonable time after the commencement of any such action will only relieve the Indemnitor of any obligation to the Indemnitee under this Section with respect to any such action to the extent such failure prejudices the Indemnitor’s ability to defend such third party claim. The Indemnitee will permit the Indemnitor to control the litigation or settlement of such third party claim and cooperate fully with Indemnitor in all related matters, provided that unless agreed by Indemnitee</w:t>
      </w:r>
    </w:p>
    <w:p>
      <w:pPr>
        <w:jc w:val="both"/>
        <w:ind w:left="820" w:right="599" w:firstLine="1"/>
        <w:spacing w:after="0" w:line="255" w:lineRule="auto"/>
        <w:tabs>
          <w:tab w:leader="none" w:pos="101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counsel appointed by Indemnitor to defend Indemnitee will not take any position that if sustained would cause Indemnitee not to be indemnified by Indemnitor, and (b) no settlement will involve any terms binding on Indemnitee except payment of money to by paid by Indemnitor.</w:t>
      </w:r>
    </w:p>
    <w:p>
      <w:pPr>
        <w:spacing w:after="0" w:line="70" w:lineRule="exact"/>
        <w:rPr>
          <w:sz w:val="20"/>
          <w:szCs w:val="20"/>
          <w:color w:val="auto"/>
        </w:rPr>
      </w:pPr>
    </w:p>
    <w:p>
      <w:pPr>
        <w:ind w:left="820" w:right="279" w:hanging="597"/>
        <w:spacing w:after="0" w:line="261" w:lineRule="auto"/>
        <w:tabs>
          <w:tab w:leader="none" w:pos="80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The indemnification obligations in this Section 12 shall govern and control with respect to all third party claims arising from the performance by the parties of the Study and Clinical Trial Laboratory Services pursuant to this Human Laboratory Services Agreement and the indemnification provisions in Section 8 of the Collaboration Agreement will govern and control with respect to any and all other third party claims under the Collaboration Agreement.</w:t>
      </w:r>
    </w:p>
    <w:p>
      <w:pPr>
        <w:spacing w:after="0" w:line="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20 of 25</w:t>
      </w:r>
    </w:p>
    <w:p>
      <w:pPr>
        <w:sectPr>
          <w:pgSz w:w="11900" w:h="16838" w:orient="portrait"/>
          <w:cols w:equalWidth="0" w:num="1">
            <w:col w:w="9019"/>
          </w:cols>
          <w:pgMar w:left="1440" w:top="241" w:right="1440" w:bottom="1440" w:gutter="0" w:footer="0" w:header="0"/>
        </w:sectPr>
      </w:pPr>
    </w:p>
    <w:bookmarkStart w:id="772" w:name="page773"/>
    <w:bookmarkEnd w:id="772"/>
    <w:p>
      <w:pPr>
        <w:ind w:left="820" w:hanging="597"/>
        <w:spacing w:after="0"/>
        <w:tabs>
          <w:tab w:leader="none" w:pos="820" w:val="left"/>
        </w:tabs>
        <w:numPr>
          <w:ilvl w:val="0"/>
          <w:numId w:val="5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Privacy</w:t>
      </w:r>
    </w:p>
    <w:p>
      <w:pPr>
        <w:spacing w:after="0" w:line="92" w:lineRule="exact"/>
        <w:rPr>
          <w:rFonts w:ascii="Times New Roman" w:cs="Times New Roman" w:eastAsia="Times New Roman" w:hAnsi="Times New Roman"/>
          <w:sz w:val="14"/>
          <w:szCs w:val="14"/>
          <w:b w:val="1"/>
          <w:bCs w:val="1"/>
          <w:color w:val="auto"/>
        </w:rPr>
      </w:pPr>
    </w:p>
    <w:p>
      <w:pPr>
        <w:ind w:left="820" w:right="399"/>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Provider shall, and shall cause each Provider Party to, comply with Company’s policy on the protection of Personal Information attached to the Collaboration Agreement as E</w:t>
      </w:r>
      <w:r>
        <w:rPr>
          <w:rFonts w:ascii="Times New Roman" w:cs="Times New Roman" w:eastAsia="Times New Roman" w:hAnsi="Times New Roman"/>
          <w:sz w:val="14"/>
          <w:szCs w:val="14"/>
          <w:u w:val="single" w:color="auto"/>
          <w:color w:val="auto"/>
        </w:rPr>
        <w:t>xhibit C</w:t>
      </w:r>
      <w:r>
        <w:rPr>
          <w:rFonts w:ascii="Times New Roman" w:cs="Times New Roman" w:eastAsia="Times New Roman" w:hAnsi="Times New Roman"/>
          <w:sz w:val="14"/>
          <w:szCs w:val="14"/>
          <w:color w:val="auto"/>
        </w:rPr>
        <w:t>, as updated from time to time by Company.</w:t>
      </w:r>
    </w:p>
    <w:p>
      <w:pPr>
        <w:spacing w:after="0" w:line="49"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Insurance</w:t>
      </w:r>
    </w:p>
    <w:p>
      <w:pPr>
        <w:spacing w:after="0" w:line="92" w:lineRule="exact"/>
        <w:rPr>
          <w:rFonts w:ascii="Times New Roman" w:cs="Times New Roman" w:eastAsia="Times New Roman" w:hAnsi="Times New Roman"/>
          <w:sz w:val="14"/>
          <w:szCs w:val="14"/>
          <w:b w:val="1"/>
          <w:bCs w:val="1"/>
          <w:color w:val="auto"/>
        </w:rPr>
      </w:pPr>
    </w:p>
    <w:p>
      <w:pPr>
        <w:ind w:left="820" w:right="679"/>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Provider shall maintain in full force and effect valid and collectible insurance policies in connection with the Clinical Trial Laboratory Services, which policies shall be in compliance with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 xml:space="preserve"> attached to this Human Laboratory Services Agreement.</w:t>
      </w:r>
    </w:p>
    <w:p>
      <w:pPr>
        <w:spacing w:after="0" w:line="49"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Subcontracting</w:t>
      </w:r>
    </w:p>
    <w:p>
      <w:pPr>
        <w:spacing w:after="0" w:line="103" w:lineRule="exact"/>
        <w:rPr>
          <w:sz w:val="20"/>
          <w:szCs w:val="20"/>
          <w:color w:val="auto"/>
        </w:rPr>
      </w:pPr>
    </w:p>
    <w:p>
      <w:pPr>
        <w:ind w:left="820" w:right="639" w:hanging="597"/>
        <w:spacing w:after="0" w:line="282" w:lineRule="auto"/>
        <w:tabs>
          <w:tab w:leader="none" w:pos="80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color w:val="auto"/>
        </w:rPr>
        <w:t>Subcontractors. Provider shall not subcontract any of its obligations under this Human Laboratory Services Agreement, including to an Affiliate.</w:t>
      </w:r>
    </w:p>
    <w:p>
      <w:pPr>
        <w:spacing w:after="0" w:line="52" w:lineRule="exact"/>
        <w:rPr>
          <w:sz w:val="20"/>
          <w:szCs w:val="20"/>
          <w:color w:val="auto"/>
        </w:rPr>
      </w:pPr>
    </w:p>
    <w:p>
      <w:pPr>
        <w:ind w:left="820" w:right="379" w:hanging="597"/>
        <w:spacing w:after="0" w:line="282" w:lineRule="auto"/>
        <w:tabs>
          <w:tab w:leader="none" w:pos="80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4"/>
          <w:szCs w:val="14"/>
          <w:color w:val="auto"/>
        </w:rPr>
        <w:t>Provider Personnel in China and India. Under no circumstances shall Provider use personnel in China or India to perform any Clinical Trial Laboratory Services under this Human Laboratory Services Agreement.</w:t>
      </w:r>
    </w:p>
    <w:p>
      <w:pPr>
        <w:spacing w:after="0" w:line="50" w:lineRule="exact"/>
        <w:rPr>
          <w:sz w:val="20"/>
          <w:szCs w:val="20"/>
          <w:color w:val="auto"/>
        </w:rPr>
      </w:pPr>
    </w:p>
    <w:p>
      <w:pPr>
        <w:ind w:left="820" w:hanging="597"/>
        <w:spacing w:after="0"/>
        <w:tabs>
          <w:tab w:leader="none" w:pos="820" w:val="left"/>
        </w:tabs>
        <w:numPr>
          <w:ilvl w:val="0"/>
          <w:numId w:val="5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Equipment</w:t>
      </w:r>
    </w:p>
    <w:p>
      <w:pPr>
        <w:spacing w:after="0" w:line="101" w:lineRule="exact"/>
        <w:rPr>
          <w:sz w:val="20"/>
          <w:szCs w:val="20"/>
          <w:color w:val="auto"/>
        </w:rPr>
      </w:pPr>
    </w:p>
    <w:p>
      <w:pPr>
        <w:ind w:left="820" w:right="259" w:hanging="597"/>
        <w:spacing w:after="0" w:line="288" w:lineRule="auto"/>
        <w:tabs>
          <w:tab w:leader="none" w:pos="80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3"/>
          <w:szCs w:val="13"/>
          <w:b w:val="1"/>
          <w:bCs w:val="1"/>
          <w:color w:val="auto"/>
        </w:rPr>
        <w:t>Equipment for Laboratory Services</w:t>
      </w:r>
      <w:r>
        <w:rPr>
          <w:rFonts w:ascii="Times New Roman" w:cs="Times New Roman" w:eastAsia="Times New Roman" w:hAnsi="Times New Roman"/>
          <w:sz w:val="13"/>
          <w:szCs w:val="13"/>
          <w:color w:val="auto"/>
        </w:rPr>
        <w:t>. Provider will ensure, and will cause Provider Parties to ensure that all laboratory instruments used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testing performed under this Human Laboratory Services Agreement are qualified before use, maintained in good working order and calibrated on a regular basis. Provider shall also maintain all Equipment and Facilities used to perform the Clinical Trial Laboratory Services under this Human Laboratory Services Agreement in accordance with all Applicable Laws, including, without limitation, cGCP and/or CLIA.</w:t>
      </w:r>
    </w:p>
    <w:p>
      <w:pPr>
        <w:spacing w:after="0" w:line="48" w:lineRule="exact"/>
        <w:rPr>
          <w:sz w:val="20"/>
          <w:szCs w:val="20"/>
          <w:color w:val="auto"/>
        </w:rPr>
      </w:pPr>
    </w:p>
    <w:p>
      <w:pPr>
        <w:ind w:left="820" w:right="579" w:hanging="597"/>
        <w:spacing w:after="0" w:line="285" w:lineRule="auto"/>
        <w:tabs>
          <w:tab w:leader="none" w:pos="820" w:val="left"/>
        </w:tabs>
        <w:numPr>
          <w:ilvl w:val="0"/>
          <w:numId w:val="5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Company’s Premises</w:t>
      </w:r>
      <w:r>
        <w:rPr>
          <w:rFonts w:ascii="Times New Roman" w:cs="Times New Roman" w:eastAsia="Times New Roman" w:hAnsi="Times New Roman"/>
          <w:sz w:val="14"/>
          <w:szCs w:val="14"/>
          <w:color w:val="auto"/>
        </w:rPr>
        <w:t>. Provider shall not perform any Clinical Trial Laboratory Services on premises of Company or any of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w:t>
      </w:r>
    </w:p>
    <w:p>
      <w:pPr>
        <w:spacing w:after="0" w:line="47"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Publicity</w:t>
      </w:r>
      <w:r>
        <w:rPr>
          <w:rFonts w:ascii="Times New Roman" w:cs="Times New Roman" w:eastAsia="Times New Roman" w:hAnsi="Times New Roman"/>
          <w:sz w:val="14"/>
          <w:szCs w:val="14"/>
          <w:color w:val="auto"/>
        </w:rPr>
        <w:t>. The Collaboration Agreement, Section 5.5, under Confidentiality, shall apply.</w:t>
      </w:r>
    </w:p>
    <w:p>
      <w:pPr>
        <w:spacing w:after="0" w:line="101"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Assignment</w:t>
      </w:r>
      <w:r>
        <w:rPr>
          <w:rFonts w:ascii="Times New Roman" w:cs="Times New Roman" w:eastAsia="Times New Roman" w:hAnsi="Times New Roman"/>
          <w:sz w:val="14"/>
          <w:szCs w:val="14"/>
          <w:color w:val="auto"/>
        </w:rPr>
        <w:t>. The Collaboration Agreement, Section 9.4, No Assignment, shall apply.</w:t>
      </w:r>
    </w:p>
    <w:p>
      <w:pPr>
        <w:spacing w:after="0" w:line="101" w:lineRule="exact"/>
        <w:rPr>
          <w:rFonts w:ascii="Times New Roman" w:cs="Times New Roman" w:eastAsia="Times New Roman" w:hAnsi="Times New Roman"/>
          <w:sz w:val="14"/>
          <w:szCs w:val="14"/>
          <w:b w:val="1"/>
          <w:bCs w:val="1"/>
          <w:color w:val="auto"/>
        </w:rPr>
      </w:pPr>
    </w:p>
    <w:p>
      <w:pPr>
        <w:ind w:left="820" w:hanging="597"/>
        <w:spacing w:after="0"/>
        <w:tabs>
          <w:tab w:leader="none" w:pos="820" w:val="left"/>
        </w:tabs>
        <w:numPr>
          <w:ilvl w:val="0"/>
          <w:numId w:val="5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Representations and Warranties</w:t>
      </w:r>
    </w:p>
    <w:p>
      <w:pPr>
        <w:spacing w:after="0" w:line="101" w:lineRule="exact"/>
        <w:rPr>
          <w:sz w:val="20"/>
          <w:szCs w:val="20"/>
          <w:color w:val="auto"/>
        </w:rPr>
      </w:pPr>
    </w:p>
    <w:p>
      <w:pPr>
        <w:ind w:left="820" w:right="239" w:hanging="597"/>
        <w:spacing w:after="0" w:line="255" w:lineRule="auto"/>
        <w:tabs>
          <w:tab w:leader="none" w:pos="800" w:val="left"/>
        </w:tabs>
        <w:rPr>
          <w:sz w:val="20"/>
          <w:szCs w:val="20"/>
          <w:color w:val="auto"/>
        </w:rPr>
      </w:pPr>
      <w:r>
        <w:rPr>
          <w:rFonts w:ascii="Times New Roman" w:cs="Times New Roman" w:eastAsia="Times New Roman" w:hAnsi="Times New Roman"/>
          <w:sz w:val="14"/>
          <w:szCs w:val="14"/>
          <w:color w:val="auto"/>
        </w:rPr>
        <w:t>20.1</w:t>
      </w:r>
      <w:r>
        <w:rPr>
          <w:sz w:val="20"/>
          <w:szCs w:val="20"/>
          <w:color w:val="auto"/>
        </w:rPr>
        <w:tab/>
      </w:r>
      <w:r>
        <w:rPr>
          <w:rFonts w:ascii="Times New Roman" w:cs="Times New Roman" w:eastAsia="Times New Roman" w:hAnsi="Times New Roman"/>
          <w:sz w:val="14"/>
          <w:szCs w:val="14"/>
          <w:b w:val="1"/>
          <w:bCs w:val="1"/>
          <w:color w:val="auto"/>
        </w:rPr>
        <w:t>Performance of Services</w:t>
      </w:r>
      <w:r>
        <w:rPr>
          <w:rFonts w:ascii="Times New Roman" w:cs="Times New Roman" w:eastAsia="Times New Roman" w:hAnsi="Times New Roman"/>
          <w:sz w:val="14"/>
          <w:szCs w:val="14"/>
          <w:color w:val="auto"/>
        </w:rPr>
        <w:t>. Provider represents and warrants that it and each Provider Party shall comply with, and that the Clinical Trial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Laboratory Services shall be performed in accordance with, (i) this Human Laboratory Services Agreement, (ii) any applicable industry standards and practices including any cGCP and (iii) all Applicable Laws, including, but not limited to, those of the United States or any other country or jurisdiction applicable to the performance of the Clinical Trial Laboratory Services, including, without limitation, those set forth by the National Institutes of Health (NIH), U.S. Department of Agriculture (USDA), U.S. Food and Drug Administration (FDA), the U.S. Federal Trade Commission (FTC), the U.S. Occupational Safety and Health Administration (OSHA), European Medicines Agency (EMA), Central Drugs Standard Control Organization (CDSCO) and any other governmental or supra-governmental agencies, as applicable, and applicable environmental regulations and labor standards.</w:t>
      </w:r>
    </w:p>
    <w:p>
      <w:pPr>
        <w:spacing w:after="0" w:line="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21 of 25</w:t>
      </w:r>
    </w:p>
    <w:p>
      <w:pPr>
        <w:sectPr>
          <w:pgSz w:w="11900" w:h="16838" w:orient="portrait"/>
          <w:cols w:equalWidth="0" w:num="1">
            <w:col w:w="9019"/>
          </w:cols>
          <w:pgMar w:left="1440" w:top="238" w:right="1440" w:bottom="1440" w:gutter="0" w:footer="0" w:header="0"/>
        </w:sectPr>
      </w:pPr>
    </w:p>
    <w:bookmarkStart w:id="773" w:name="page774"/>
    <w:bookmarkEnd w:id="773"/>
    <w:p>
      <w:pPr>
        <w:ind w:left="820" w:right="35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20.2</w:t>
      </w:r>
      <w:r>
        <w:rPr>
          <w:sz w:val="20"/>
          <w:szCs w:val="20"/>
          <w:color w:val="auto"/>
        </w:rPr>
        <w:tab/>
      </w:r>
      <w:r>
        <w:rPr>
          <w:rFonts w:ascii="Times New Roman" w:cs="Times New Roman" w:eastAsia="Times New Roman" w:hAnsi="Times New Roman"/>
          <w:sz w:val="14"/>
          <w:szCs w:val="14"/>
          <w:b w:val="1"/>
          <w:bCs w:val="1"/>
          <w:color w:val="auto"/>
        </w:rPr>
        <w:t>No Conflict with Third Parties</w:t>
      </w:r>
      <w:r>
        <w:rPr>
          <w:rFonts w:ascii="Times New Roman" w:cs="Times New Roman" w:eastAsia="Times New Roman" w:hAnsi="Times New Roman"/>
          <w:sz w:val="14"/>
          <w:szCs w:val="14"/>
          <w:color w:val="auto"/>
        </w:rPr>
        <w:t>. Provider represents and warrants that neither it nor any Provider Party has entered into and will not enter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into any agreement or understanding with a Third Party, which could conflict or interfere with this Human Laboratory Services Agreement. Provider represents and warrants that it has, and Provider Parties have, the right to perform its duties and obligations for Company as provided in this Human Laboratory Services Agreement without conflict of interest to others and without violating any confidentiality obligations it may have to others. Provider represents and warrants that it has, and Provider Parties have obtained, in writing, all Third Party consents which are necessary or appropriate for the performance of the Clinical Trial Laboratory Services and shall make such consents available to Company upon request.</w:t>
      </w:r>
    </w:p>
    <w:p>
      <w:pPr>
        <w:spacing w:after="0" w:line="68" w:lineRule="exact"/>
        <w:rPr>
          <w:sz w:val="20"/>
          <w:szCs w:val="20"/>
          <w:color w:val="auto"/>
        </w:rPr>
      </w:pPr>
    </w:p>
    <w:p>
      <w:pPr>
        <w:ind w:left="820" w:right="29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t>20.3</w:t>
      </w:r>
      <w:r>
        <w:rPr>
          <w:sz w:val="20"/>
          <w:szCs w:val="20"/>
          <w:color w:val="auto"/>
        </w:rPr>
        <w:tab/>
      </w:r>
      <w:r>
        <w:rPr>
          <w:rFonts w:ascii="Times New Roman" w:cs="Times New Roman" w:eastAsia="Times New Roman" w:hAnsi="Times New Roman"/>
          <w:sz w:val="14"/>
          <w:szCs w:val="14"/>
          <w:b w:val="1"/>
          <w:bCs w:val="1"/>
          <w:color w:val="auto"/>
        </w:rPr>
        <w:t>Study Sponsor Responsibilities</w:t>
      </w:r>
      <w:r>
        <w:rPr>
          <w:rFonts w:ascii="Times New Roman" w:cs="Times New Roman" w:eastAsia="Times New Roman" w:hAnsi="Times New Roman"/>
          <w:sz w:val="14"/>
          <w:szCs w:val="14"/>
          <w:color w:val="auto"/>
        </w:rPr>
        <w:t>. Company represents and warrants it will obtain any approvals required as a sponsor for performance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Study. Company will make available evidence of such approvals upon request from Provider.</w:t>
      </w:r>
    </w:p>
    <w:p>
      <w:pPr>
        <w:spacing w:after="0" w:line="48" w:lineRule="exact"/>
        <w:rPr>
          <w:sz w:val="20"/>
          <w:szCs w:val="20"/>
          <w:color w:val="auto"/>
        </w:rPr>
      </w:pPr>
    </w:p>
    <w:p>
      <w:pPr>
        <w:ind w:left="820" w:right="23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20.4</w:t>
      </w:r>
      <w:r>
        <w:rPr>
          <w:sz w:val="20"/>
          <w:szCs w:val="20"/>
          <w:color w:val="auto"/>
        </w:rPr>
        <w:tab/>
      </w:r>
      <w:r>
        <w:rPr>
          <w:rFonts w:ascii="Times New Roman" w:cs="Times New Roman" w:eastAsia="Times New Roman" w:hAnsi="Times New Roman"/>
          <w:sz w:val="14"/>
          <w:szCs w:val="14"/>
          <w:b w:val="1"/>
          <w:bCs w:val="1"/>
          <w:color w:val="auto"/>
        </w:rPr>
        <w:t>Infringement</w:t>
      </w:r>
      <w:r>
        <w:rPr>
          <w:rFonts w:ascii="Times New Roman" w:cs="Times New Roman" w:eastAsia="Times New Roman" w:hAnsi="Times New Roman"/>
          <w:sz w:val="14"/>
          <w:szCs w:val="14"/>
          <w:color w:val="auto"/>
        </w:rPr>
        <w:t>. Provider represents and warrants that, to the best of Provider’s knowledge after reasonable inquiry, the performance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Clinical Trial Laboratory Services as contemplated under this Human Laboratory Services Agreement does not infringe or misappropriate any intellectual property rights from and as of the Effective Date.</w:t>
      </w:r>
    </w:p>
    <w:p>
      <w:pPr>
        <w:spacing w:after="0" w:line="61" w:lineRule="exact"/>
        <w:rPr>
          <w:sz w:val="20"/>
          <w:szCs w:val="20"/>
          <w:color w:val="auto"/>
        </w:rPr>
      </w:pPr>
    </w:p>
    <w:p>
      <w:pPr>
        <w:ind w:left="820" w:right="27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20.5</w:t>
      </w:r>
      <w:r>
        <w:rPr>
          <w:sz w:val="20"/>
          <w:szCs w:val="20"/>
          <w:color w:val="auto"/>
        </w:rPr>
        <w:tab/>
      </w:r>
      <w:r>
        <w:rPr>
          <w:rFonts w:ascii="Times New Roman" w:cs="Times New Roman" w:eastAsia="Times New Roman" w:hAnsi="Times New Roman"/>
          <w:sz w:val="14"/>
          <w:szCs w:val="14"/>
          <w:b w:val="1"/>
          <w:bCs w:val="1"/>
          <w:color w:val="auto"/>
        </w:rPr>
        <w:t>Licenses and Permits</w:t>
      </w:r>
      <w:r>
        <w:rPr>
          <w:rFonts w:ascii="Times New Roman" w:cs="Times New Roman" w:eastAsia="Times New Roman" w:hAnsi="Times New Roman"/>
          <w:sz w:val="14"/>
          <w:szCs w:val="14"/>
          <w:color w:val="auto"/>
        </w:rPr>
        <w:t>. Each Party represents and warrants that it will obtain and maintain, at its expense, any licenses, permits and/or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certifications, and any regulatory and/or government approvals necessary for the performance of its obligations under this Human Laboratory Services Agreement, and shall ensure that its obligations are performed in accordance with such licenses, permits, certifications and approvals. At Company’s reasonable request, Provider will provide Company with copies of all such approvals and submissions to Regulatory Authorities, as well as licenses, certificates and permits required for performance of the Clinical Trial Laboratory Services. At Provider’s reasonable request, Company will provide Provider with evidence of all such approvals and/or submissions to Regulatory Authorities, as well as licenses, certificates and permits required for performance of the Study.</w:t>
      </w:r>
    </w:p>
    <w:p>
      <w:pPr>
        <w:spacing w:after="0" w:line="68" w:lineRule="exact"/>
        <w:rPr>
          <w:sz w:val="20"/>
          <w:szCs w:val="20"/>
          <w:color w:val="auto"/>
        </w:rPr>
      </w:pPr>
    </w:p>
    <w:p>
      <w:pPr>
        <w:ind w:left="820" w:right="459" w:hanging="597"/>
        <w:spacing w:after="0" w:line="267" w:lineRule="auto"/>
        <w:tabs>
          <w:tab w:leader="none" w:pos="800" w:val="left"/>
        </w:tabs>
        <w:rPr>
          <w:sz w:val="20"/>
          <w:szCs w:val="20"/>
          <w:color w:val="auto"/>
        </w:rPr>
      </w:pPr>
      <w:r>
        <w:rPr>
          <w:rFonts w:ascii="Times New Roman" w:cs="Times New Roman" w:eastAsia="Times New Roman" w:hAnsi="Times New Roman"/>
          <w:sz w:val="14"/>
          <w:szCs w:val="14"/>
          <w:color w:val="auto"/>
        </w:rPr>
        <w:t>20.6</w:t>
      </w:r>
      <w:r>
        <w:rPr>
          <w:sz w:val="20"/>
          <w:szCs w:val="20"/>
          <w:color w:val="auto"/>
        </w:rPr>
        <w:tab/>
      </w:r>
      <w:r>
        <w:rPr>
          <w:rFonts w:ascii="Times New Roman" w:cs="Times New Roman" w:eastAsia="Times New Roman" w:hAnsi="Times New Roman"/>
          <w:sz w:val="14"/>
          <w:szCs w:val="14"/>
          <w:b w:val="1"/>
          <w:bCs w:val="1"/>
          <w:color w:val="auto"/>
        </w:rPr>
        <w:t>Sanctions, Restrictions or Embargoes</w:t>
      </w:r>
      <w:r>
        <w:rPr>
          <w:rFonts w:ascii="Times New Roman" w:cs="Times New Roman" w:eastAsia="Times New Roman" w:hAnsi="Times New Roman"/>
          <w:sz w:val="14"/>
          <w:szCs w:val="14"/>
          <w:color w:val="auto"/>
        </w:rPr>
        <w:t>. Each Party represents and warrants that no transactions or dealings under this Human Laboratory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Agreement shall be conducted with or for an individual or entity that is designated as the target of any sanctions, restrictions or embargoes administered by the United Nations, European Union, United Kingdom or the United States of America.</w:t>
      </w:r>
    </w:p>
    <w:p>
      <w:pPr>
        <w:spacing w:after="0" w:line="61" w:lineRule="exact"/>
        <w:rPr>
          <w:sz w:val="20"/>
          <w:szCs w:val="20"/>
          <w:color w:val="auto"/>
        </w:rPr>
      </w:pPr>
    </w:p>
    <w:p>
      <w:pPr>
        <w:ind w:left="820" w:right="33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20.7</w:t>
      </w:r>
      <w:r>
        <w:rPr>
          <w:sz w:val="20"/>
          <w:szCs w:val="20"/>
          <w:color w:val="auto"/>
        </w:rPr>
        <w:tab/>
      </w:r>
      <w:r>
        <w:rPr>
          <w:rFonts w:ascii="Times New Roman" w:cs="Times New Roman" w:eastAsia="Times New Roman" w:hAnsi="Times New Roman"/>
          <w:sz w:val="14"/>
          <w:szCs w:val="14"/>
          <w:b w:val="1"/>
          <w:bCs w:val="1"/>
          <w:color w:val="auto"/>
        </w:rPr>
        <w:t>Software System</w:t>
      </w:r>
      <w:r>
        <w:rPr>
          <w:rFonts w:ascii="Times New Roman" w:cs="Times New Roman" w:eastAsia="Times New Roman" w:hAnsi="Times New Roman"/>
          <w:sz w:val="14"/>
          <w:szCs w:val="14"/>
          <w:color w:val="auto"/>
        </w:rPr>
        <w:t>. If Provider or Provider Parties use software or a software system to provide the Clinical Trial Laboratory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Provider represents and warrants that either (i) it is the lawful owner of such system and any software which may be used in providing the Clinical Trial Laboratory Services hereunder, or (ii) such software has been lawfully licensed to or otherwise acquired by Provider and/or Provider Parties and Provider and/or Provider Parties are authorized to use such software in providing the Clinical Trial Laboratory Services hereunder. Provider and/or Provider Parties shall maintain the functionality and data integrity of any system used in performing the Clinical Trial Laboratory Services during the Term of this Human Laboratory Services Agreement. Provider and/or Provider Parties shall technically support and maintain any system used</w:t>
      </w:r>
    </w:p>
    <w:p>
      <w:pPr>
        <w:spacing w:after="0" w:line="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22 of 25</w:t>
      </w:r>
    </w:p>
    <w:p>
      <w:pPr>
        <w:sectPr>
          <w:pgSz w:w="11900" w:h="16838" w:orient="portrait"/>
          <w:cols w:equalWidth="0" w:num="1">
            <w:col w:w="9019"/>
          </w:cols>
          <w:pgMar w:left="1440" w:top="239" w:right="1440" w:bottom="1440" w:gutter="0" w:footer="0" w:header="0"/>
        </w:sectPr>
      </w:pPr>
    </w:p>
    <w:bookmarkStart w:id="774" w:name="page775"/>
    <w:bookmarkEnd w:id="774"/>
    <w:p>
      <w:pPr>
        <w:ind w:left="8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performing the Clinical Trial Laboratory Services. Provider represents and warrants that any internally developed software or any Third Party software used in performing the Clinical Trial Laboratory Services shall remain Functional, as defined, during the Term of this Human Laboratory Services Agreement. “</w:t>
      </w:r>
      <w:r>
        <w:rPr>
          <w:rFonts w:ascii="Times New Roman" w:cs="Times New Roman" w:eastAsia="Times New Roman" w:hAnsi="Times New Roman"/>
          <w:sz w:val="14"/>
          <w:szCs w:val="14"/>
          <w:b w:val="1"/>
          <w:bCs w:val="1"/>
          <w:color w:val="auto"/>
        </w:rPr>
        <w:t>Functional</w:t>
      </w:r>
      <w:r>
        <w:rPr>
          <w:rFonts w:ascii="Times New Roman" w:cs="Times New Roman" w:eastAsia="Times New Roman" w:hAnsi="Times New Roman"/>
          <w:sz w:val="14"/>
          <w:szCs w:val="14"/>
          <w:color w:val="auto"/>
        </w:rPr>
        <w:t>” shall mean that the material features, performance, configurations and other specifications and requirements for the software and its related software system as required to perform the Clinical Trial Laboratory Services identified in the Scope of Work are operational and running without interruption, excluding Scheduled Downtime. If the software or software system do not perform as warranted, Provider and/or Provider Parties will promptly correct, replace or modify the affected software or software system at Provider and/or Provider Parties’ expense (or identify and implement a reasonable alternative software), so as to provide Company with software of software systems that perform as warranted. Provider and Provider Parties shall maintain current during the Term of this Human Laboratory Services Agreement any Third Party software used in performing the Clinical Trial Laboratory Services using supported releases from the applicable Third Party software provider. Provider understands that the transfer of technical responsibility to an Affiliate or a Third Party does not release Provider from the above representations and warranties.</w:t>
      </w:r>
    </w:p>
    <w:p>
      <w:pPr>
        <w:spacing w:after="0" w:line="72" w:lineRule="exact"/>
        <w:rPr>
          <w:sz w:val="20"/>
          <w:szCs w:val="20"/>
          <w:color w:val="auto"/>
        </w:rPr>
      </w:pPr>
    </w:p>
    <w:p>
      <w:pPr>
        <w:ind w:left="820" w:right="339" w:hanging="597"/>
        <w:spacing w:after="0" w:line="255" w:lineRule="auto"/>
        <w:tabs>
          <w:tab w:leader="none" w:pos="800" w:val="left"/>
        </w:tabs>
        <w:rPr>
          <w:sz w:val="20"/>
          <w:szCs w:val="20"/>
          <w:color w:val="auto"/>
        </w:rPr>
      </w:pPr>
      <w:r>
        <w:rPr>
          <w:rFonts w:ascii="Times New Roman" w:cs="Times New Roman" w:eastAsia="Times New Roman" w:hAnsi="Times New Roman"/>
          <w:sz w:val="14"/>
          <w:szCs w:val="14"/>
          <w:color w:val="auto"/>
        </w:rPr>
        <w:t>20.8</w:t>
      </w:r>
      <w:r>
        <w:rPr>
          <w:sz w:val="20"/>
          <w:szCs w:val="20"/>
          <w:color w:val="auto"/>
        </w:rPr>
        <w:tab/>
      </w:r>
      <w:r>
        <w:rPr>
          <w:rFonts w:ascii="Times New Roman" w:cs="Times New Roman" w:eastAsia="Times New Roman" w:hAnsi="Times New Roman"/>
          <w:sz w:val="14"/>
          <w:szCs w:val="14"/>
          <w:b w:val="1"/>
          <w:bCs w:val="1"/>
          <w:color w:val="auto"/>
        </w:rPr>
        <w:t>21 C.F.R. Part 11 Compliance</w:t>
      </w:r>
      <w:r>
        <w:rPr>
          <w:rFonts w:ascii="Times New Roman" w:cs="Times New Roman" w:eastAsia="Times New Roman" w:hAnsi="Times New Roman"/>
          <w:sz w:val="14"/>
          <w:szCs w:val="14"/>
          <w:color w:val="auto"/>
        </w:rPr>
        <w:t>. Provider represents and warrants that, to its knowledge following reasonable diligence, any software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software databases used by or on behalf of Provider or any Provider Parties in performing the Clinical Trial Laboratory Services and any systems and processes used by or on behalf of Provider or Provider Parties in performing the Clinical Trial Laboratory Services or recording the Deliverables are compliant with 21 C.F.R. Part 11. Provider agrees to provide documentation of such compliance to Company upon request. Provider agrees to notify Company promptly, and in any event within fifteen (15) business days, if any new software, database, system or process proposed to be used by or on behalf of Provider or any Provider Parties to perform the Clinical Trial Laboratory Services after the date hereof is not compliant, and will take all steps necessary to bring it into compliance or replace it with compliant software, databases, systems and processes at Provider’s sole cost and expense.</w:t>
      </w:r>
    </w:p>
    <w:p>
      <w:pPr>
        <w:spacing w:after="0" w:line="69" w:lineRule="exact"/>
        <w:rPr>
          <w:sz w:val="20"/>
          <w:szCs w:val="20"/>
          <w:color w:val="auto"/>
        </w:rPr>
      </w:pPr>
    </w:p>
    <w:p>
      <w:pPr>
        <w:ind w:left="820" w:right="299" w:hanging="597"/>
        <w:spacing w:after="0" w:line="259" w:lineRule="auto"/>
        <w:tabs>
          <w:tab w:leader="none" w:pos="800" w:val="left"/>
        </w:tabs>
        <w:rPr>
          <w:sz w:val="20"/>
          <w:szCs w:val="20"/>
          <w:color w:val="auto"/>
        </w:rPr>
      </w:pPr>
      <w:r>
        <w:rPr>
          <w:rFonts w:ascii="Times New Roman" w:cs="Times New Roman" w:eastAsia="Times New Roman" w:hAnsi="Times New Roman"/>
          <w:sz w:val="14"/>
          <w:szCs w:val="14"/>
          <w:color w:val="auto"/>
        </w:rPr>
        <w:t>20.9</w:t>
      </w:r>
      <w:r>
        <w:rPr>
          <w:sz w:val="20"/>
          <w:szCs w:val="20"/>
          <w:color w:val="auto"/>
        </w:rPr>
        <w:tab/>
      </w:r>
      <w:r>
        <w:rPr>
          <w:rFonts w:ascii="Times New Roman" w:cs="Times New Roman" w:eastAsia="Times New Roman" w:hAnsi="Times New Roman"/>
          <w:sz w:val="14"/>
          <w:szCs w:val="14"/>
          <w:b w:val="1"/>
          <w:bCs w:val="1"/>
          <w:color w:val="auto"/>
        </w:rPr>
        <w:t>Policy on Data Safeguards</w:t>
      </w:r>
      <w:r>
        <w:rPr>
          <w:rFonts w:ascii="Times New Roman" w:cs="Times New Roman" w:eastAsia="Times New Roman" w:hAnsi="Times New Roman"/>
          <w:sz w:val="14"/>
          <w:szCs w:val="14"/>
          <w:color w:val="auto"/>
        </w:rPr>
        <w:t>. Provider shall, and shall cause the Provider Parties to, protect Company’s data in its possession or under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control from disclosure to or use by unauthorized Third Parties as provided in the Johnson &amp; Johnson Policy on Data Safeguards, attached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Data Safeguards, to the Collaboration Agreement. Provider represents and warrants that it shall and shall cause Provider Parties to comply with such policy attached to the Collaboration Agreement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as updated from time to time by Company, however,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shall be amended so that:</w:t>
      </w:r>
    </w:p>
    <w:p>
      <w:pPr>
        <w:spacing w:after="0" w:line="65" w:lineRule="exact"/>
        <w:rPr>
          <w:sz w:val="20"/>
          <w:szCs w:val="20"/>
          <w:color w:val="auto"/>
        </w:rPr>
      </w:pPr>
    </w:p>
    <w:p>
      <w:pPr>
        <w:ind w:left="1940" w:hanging="605"/>
        <w:spacing w:after="0"/>
        <w:tabs>
          <w:tab w:leader="none" w:pos="1940"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paragraph, starting “</w:t>
      </w:r>
      <w:r>
        <w:rPr>
          <w:rFonts w:ascii="Times New Roman" w:cs="Times New Roman" w:eastAsia="Times New Roman" w:hAnsi="Times New Roman"/>
          <w:sz w:val="14"/>
          <w:szCs w:val="14"/>
          <w:b w:val="1"/>
          <w:bCs w:val="1"/>
          <w:color w:val="auto"/>
        </w:rPr>
        <w:t>‘SISR’ means</w:t>
      </w:r>
      <w:r>
        <w:rPr>
          <w:rFonts w:ascii="Times New Roman" w:cs="Times New Roman" w:eastAsia="Times New Roman" w:hAnsi="Times New Roman"/>
          <w:sz w:val="14"/>
          <w:szCs w:val="14"/>
          <w:color w:val="auto"/>
        </w:rPr>
        <w:t>” shall be identified as section 5; and</w:t>
      </w:r>
    </w:p>
    <w:p>
      <w:pPr>
        <w:spacing w:after="0" w:line="101" w:lineRule="exact"/>
        <w:rPr>
          <w:rFonts w:ascii="Times New Roman" w:cs="Times New Roman" w:eastAsia="Times New Roman" w:hAnsi="Times New Roman"/>
          <w:sz w:val="14"/>
          <w:szCs w:val="14"/>
          <w:color w:val="auto"/>
        </w:rPr>
      </w:pPr>
    </w:p>
    <w:p>
      <w:pPr>
        <w:ind w:left="1940" w:right="259" w:hanging="605"/>
        <w:spacing w:after="0" w:line="257" w:lineRule="auto"/>
        <w:tabs>
          <w:tab w:leader="none" w:pos="1940"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paragraph, starting “</w:t>
      </w:r>
      <w:r>
        <w:rPr>
          <w:rFonts w:ascii="Times New Roman" w:cs="Times New Roman" w:eastAsia="Times New Roman" w:hAnsi="Times New Roman"/>
          <w:sz w:val="14"/>
          <w:szCs w:val="14"/>
          <w:b w:val="1"/>
          <w:bCs w:val="1"/>
          <w:color w:val="auto"/>
        </w:rPr>
        <w:t>‘SISR’ means</w:t>
      </w:r>
      <w:r>
        <w:rPr>
          <w:rFonts w:ascii="Times New Roman" w:cs="Times New Roman" w:eastAsia="Times New Roman" w:hAnsi="Times New Roman"/>
          <w:sz w:val="14"/>
          <w:szCs w:val="14"/>
          <w:color w:val="auto"/>
        </w:rPr>
        <w:t>” shall be amended so that: (a) The first sentence states: “</w:t>
      </w:r>
      <w:r>
        <w:rPr>
          <w:rFonts w:ascii="Times New Roman" w:cs="Times New Roman" w:eastAsia="Times New Roman" w:hAnsi="Times New Roman"/>
          <w:sz w:val="14"/>
          <w:szCs w:val="14"/>
          <w:b w:val="1"/>
          <w:bCs w:val="1"/>
          <w:color w:val="auto"/>
        </w:rPr>
        <w:t>SISR</w:t>
      </w:r>
      <w:r>
        <w:rPr>
          <w:rFonts w:ascii="Times New Roman" w:cs="Times New Roman" w:eastAsia="Times New Roman" w:hAnsi="Times New Roman"/>
          <w:sz w:val="14"/>
          <w:szCs w:val="14"/>
          <w:color w:val="auto"/>
        </w:rPr>
        <w:t>” means the Johnson &amp; Johnson Supplier Information Security Requirements in effect as of the Effective Date, as revised from time to time by Janssen and made available to BTO.” (b) The second sentence states: “BTO shall have 30 days after receipt of a SISR revision to object to any new requirements contained therein that would cause a material increase in BTO’s efforts to comply with such new requirements in connection with the Research Plan or this Human Laboratory Services Agreement.”</w:t>
      </w:r>
    </w:p>
    <w:p>
      <w:pPr>
        <w:spacing w:after="0" w:line="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23 of 25</w:t>
      </w:r>
    </w:p>
    <w:p>
      <w:pPr>
        <w:sectPr>
          <w:pgSz w:w="11900" w:h="16838" w:orient="portrait"/>
          <w:cols w:equalWidth="0" w:num="1">
            <w:col w:w="9019"/>
          </w:cols>
          <w:pgMar w:left="1440" w:top="240" w:right="1440" w:bottom="1440" w:gutter="0" w:footer="0" w:header="0"/>
        </w:sectPr>
      </w:pPr>
    </w:p>
    <w:bookmarkStart w:id="775" w:name="page776"/>
    <w:bookmarkEnd w:id="775"/>
    <w:p>
      <w:pPr>
        <w:ind w:left="820" w:right="539" w:hanging="597"/>
        <w:spacing w:after="0" w:line="285" w:lineRule="auto"/>
        <w:tabs>
          <w:tab w:leader="none" w:pos="8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20.10</w:t>
      </w:r>
      <w:r>
        <w:rPr>
          <w:sz w:val="20"/>
          <w:szCs w:val="20"/>
          <w:color w:val="auto"/>
        </w:rPr>
        <w:tab/>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The Anti-Corruption provisions of the Collaboration Agreement shall apply to this Human Laboratory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including the Scope of Work and the performance of the Clinical Trial Laboratory Services.</w:t>
      </w:r>
    </w:p>
    <w:p>
      <w:pPr>
        <w:spacing w:after="0" w:line="48" w:lineRule="exact"/>
        <w:rPr>
          <w:sz w:val="20"/>
          <w:szCs w:val="20"/>
          <w:color w:val="auto"/>
        </w:rPr>
      </w:pPr>
    </w:p>
    <w:p>
      <w:pPr>
        <w:ind w:left="820" w:hanging="597"/>
        <w:spacing w:after="0"/>
        <w:tabs>
          <w:tab w:leader="none" w:pos="820" w:val="left"/>
        </w:tabs>
        <w:numPr>
          <w:ilvl w:val="0"/>
          <w:numId w:val="5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 and Waiver of Jury Trial</w:t>
      </w:r>
    </w:p>
    <w:p>
      <w:pPr>
        <w:spacing w:after="0" w:line="101"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b w:val="1"/>
          <w:bCs w:val="1"/>
          <w:color w:val="auto"/>
        </w:rPr>
        <w:t>Governing Law</w:t>
      </w:r>
      <w:r>
        <w:rPr>
          <w:rFonts w:ascii="Times New Roman" w:cs="Times New Roman" w:eastAsia="Times New Roman" w:hAnsi="Times New Roman"/>
          <w:sz w:val="13"/>
          <w:szCs w:val="13"/>
          <w:color w:val="auto"/>
        </w:rPr>
        <w:t>. The Collaboration Agreement, Section 9.11, Governing Law, shall apply.</w:t>
      </w:r>
    </w:p>
    <w:p>
      <w:pPr>
        <w:spacing w:after="0" w:line="101" w:lineRule="exact"/>
        <w:rPr>
          <w:sz w:val="20"/>
          <w:szCs w:val="20"/>
          <w:color w:val="auto"/>
        </w:rPr>
      </w:pPr>
    </w:p>
    <w:p>
      <w:pPr>
        <w:ind w:left="820" w:right="319" w:hanging="597"/>
        <w:spacing w:after="0" w:line="256" w:lineRule="auto"/>
        <w:tabs>
          <w:tab w:leader="none" w:pos="80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b w:val="1"/>
          <w:bCs w:val="1"/>
          <w:color w:val="auto"/>
        </w:rPr>
        <w:t>Waiver of Jury Trial</w:t>
      </w:r>
      <w:r>
        <w:rPr>
          <w:rFonts w:ascii="Times New Roman" w:cs="Times New Roman" w:eastAsia="Times New Roman" w:hAnsi="Times New Roman"/>
          <w:sz w:val="14"/>
          <w:szCs w:val="14"/>
          <w:color w:val="auto"/>
        </w:rPr>
        <w:t>. EACH PARTY HEREBY WAIVES: (1) ITS RIGHT TO TRIAL OF ANY ISSUE BY JURY, (2)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EXCEPTION OF RELIEF MANDATED BY STATUTE, ANY CLAIM OF LIABILITY TO PUNITIVE, EXEMPLARY, MULTIPLIED, INDIRECT, INCIDENTAL, SPECIAL, OR CONSEQUENTIAL DAMAGES, AND (3) ANY CLAIM FOR ATTORNEYS’ FEES, COSTS OR PREJUDGMENT INTEREST. Nothing contained in this section shall limit a Party’s (i) obligation to indemnify the other for Third Party claims as described in this Human Laboratory Services Agreement, (ii) liability resulting from a breach of the confidentiality or intellectual property obligations set forth in the Collaboration Agreement, or (iii) liability for its own gross negligence, fraud or willful misconduct or to the extent prohibited by law.</w:t>
      </w:r>
    </w:p>
    <w:p>
      <w:pPr>
        <w:spacing w:after="0" w:line="68" w:lineRule="exact"/>
        <w:rPr>
          <w:sz w:val="20"/>
          <w:szCs w:val="20"/>
          <w:color w:val="auto"/>
        </w:rPr>
      </w:pPr>
    </w:p>
    <w:p>
      <w:pPr>
        <w:ind w:left="820" w:right="339" w:hanging="597"/>
        <w:spacing w:after="0" w:line="285" w:lineRule="auto"/>
        <w:tabs>
          <w:tab w:leader="none" w:pos="820" w:val="left"/>
        </w:tabs>
        <w:numPr>
          <w:ilvl w:val="0"/>
          <w:numId w:val="5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The Collaboration Agreement, Section 9.1, Notices, shall apply to this Human Laboratory Services Agreement including the Scope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Work and the performance of the Clinical Trial Laboratory Services.</w:t>
      </w:r>
    </w:p>
    <w:p>
      <w:pPr>
        <w:spacing w:after="0" w:line="47" w:lineRule="exact"/>
        <w:rPr>
          <w:rFonts w:ascii="Times New Roman" w:cs="Times New Roman" w:eastAsia="Times New Roman" w:hAnsi="Times New Roman"/>
          <w:sz w:val="14"/>
          <w:szCs w:val="14"/>
          <w:b w:val="1"/>
          <w:bCs w:val="1"/>
          <w:color w:val="auto"/>
        </w:rPr>
      </w:pPr>
    </w:p>
    <w:p>
      <w:pPr>
        <w:ind w:left="820" w:right="239" w:hanging="597"/>
        <w:spacing w:after="0" w:line="285" w:lineRule="auto"/>
        <w:tabs>
          <w:tab w:leader="none" w:pos="820" w:val="left"/>
        </w:tabs>
        <w:numPr>
          <w:ilvl w:val="0"/>
          <w:numId w:val="5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Taxes</w:t>
      </w:r>
      <w:r>
        <w:rPr>
          <w:rFonts w:ascii="Times New Roman" w:cs="Times New Roman" w:eastAsia="Times New Roman" w:hAnsi="Times New Roman"/>
          <w:sz w:val="14"/>
          <w:szCs w:val="14"/>
          <w:color w:val="auto"/>
        </w:rPr>
        <w:t>. The Collaboration Agreement, Section 1.5 shall apply to this Human Laboratory Services Agreement including the Scope of Work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performance of the Clinical Trial Laboratory Services.</w:t>
      </w:r>
    </w:p>
    <w:p>
      <w:pPr>
        <w:spacing w:after="0" w:line="47" w:lineRule="exact"/>
        <w:rPr>
          <w:rFonts w:ascii="Times New Roman" w:cs="Times New Roman" w:eastAsia="Times New Roman" w:hAnsi="Times New Roman"/>
          <w:sz w:val="14"/>
          <w:szCs w:val="14"/>
          <w:b w:val="1"/>
          <w:bCs w:val="1"/>
          <w:color w:val="auto"/>
        </w:rPr>
      </w:pPr>
    </w:p>
    <w:p>
      <w:pPr>
        <w:ind w:left="820" w:right="299" w:hanging="597"/>
        <w:spacing w:after="0" w:line="257" w:lineRule="auto"/>
        <w:tabs>
          <w:tab w:leader="none" w:pos="820" w:val="left"/>
        </w:tabs>
        <w:numPr>
          <w:ilvl w:val="0"/>
          <w:numId w:val="5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Survival</w:t>
      </w:r>
      <w:r>
        <w:rPr>
          <w:rFonts w:ascii="Times New Roman" w:cs="Times New Roman" w:eastAsia="Times New Roman" w:hAnsi="Times New Roman"/>
          <w:sz w:val="14"/>
          <w:szCs w:val="14"/>
          <w:color w:val="auto"/>
        </w:rPr>
        <w:t>. In addition to the surviving provisions of the Collaboration Agreement, the provisions of Sections 1 (Definitions), 2.3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Materials), 3 (Quality Assurance), 6.2 (Rights and Obligations upon Termination), 6.3 (Payment upon Termination), 7 (Confidentiality &amp; Publicity), 8 (Intellectual Property Rights), 9 (Compliance with Applicable Law), 10 (Disaster Recovery), 11 (Records and Information Management Requirements), 12 (Indemnification), 13 (Privacy), 14 (Insurance), 16 (Equipment), 18 (Publicity), 19 (Assignment), 20 (Representations and Warranties), 21 (Governing Law and Waiver of Jury Trial), 22 (Notices), 23 (Taxes), and 24 (Survival) shall survive the expiration or termination of this Human Laboratory Services Agreement by either Party for any reason.</w:t>
      </w:r>
    </w:p>
    <w:p>
      <w:pPr>
        <w:spacing w:after="0" w:line="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24 of 25</w:t>
      </w:r>
    </w:p>
    <w:p>
      <w:pPr>
        <w:sectPr>
          <w:pgSz w:w="11900" w:h="16838" w:orient="portrait"/>
          <w:cols w:equalWidth="0" w:num="1">
            <w:col w:w="9019"/>
          </w:cols>
          <w:pgMar w:left="1440" w:top="239" w:right="1440" w:bottom="1440" w:gutter="0" w:footer="0" w:header="0"/>
        </w:sectPr>
      </w:pPr>
    </w:p>
    <w:bookmarkStart w:id="776" w:name="page777"/>
    <w:bookmarkEnd w:id="776"/>
    <w:p>
      <w:pPr>
        <w:ind w:left="22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Exhibit D.1 – Scope of Work for Laboratory Services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Exhibit D.2 – Insurance Requirements</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Page 25 of 25</w:t>
      </w:r>
    </w:p>
    <w:p>
      <w:pPr>
        <w:sectPr>
          <w:pgSz w:w="11900" w:h="16838" w:orient="portrait"/>
          <w:cols w:equalWidth="0" w:num="1">
            <w:col w:w="9019"/>
          </w:cols>
          <w:pgMar w:left="1440" w:top="241" w:right="1440" w:bottom="1440" w:gutter="0" w:footer="0" w:header="0"/>
        </w:sectPr>
      </w:pPr>
    </w:p>
    <w:bookmarkStart w:id="777" w:name="page778"/>
    <w:bookmarkEnd w:id="777"/>
    <w:p>
      <w:pPr>
        <w:ind w:left="8000"/>
        <w:spacing w:after="0"/>
        <w:rPr>
          <w:sz w:val="20"/>
          <w:szCs w:val="20"/>
          <w:color w:val="auto"/>
        </w:rPr>
      </w:pPr>
      <w:r>
        <w:rPr>
          <w:rFonts w:ascii="Times New Roman" w:cs="Times New Roman" w:eastAsia="Times New Roman" w:hAnsi="Times New Roman"/>
          <w:sz w:val="13"/>
          <w:szCs w:val="13"/>
          <w:b w:val="1"/>
          <w:bCs w:val="1"/>
          <w:color w:val="auto"/>
        </w:rPr>
        <w:t>Exhibit 10.10</w:t>
      </w:r>
    </w:p>
    <w:p>
      <w:pPr>
        <w:spacing w:after="0" w:line="186"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b w:val="1"/>
          <w:bCs w:val="1"/>
          <w:color w:val="auto"/>
        </w:rPr>
        <w:t>CERTAIN CONFIDENTIAL INFORMATION CONTAINED IN THIS DOCUMENT, MARKED BY [***], HAS BEEN OMITTED BECAUSE IT IS BOTH (I) NOT MATERIAL AND (II) IS THE TYPE THAT THE REGISTRANT ACTUALLY TREATS AS PRIVATE OR CONFIDENTIAL.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DEVELOPMENT AND COMMERCIALIZATION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between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Janssen Biotech,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ectPr>
          <w:pgSz w:w="11900" w:h="16838" w:orient="portrait"/>
          <w:cols w:equalWidth="0" w:num="1">
            <w:col w:w="9019"/>
          </w:cols>
          <w:pgMar w:left="1440" w:top="124" w:right="1440" w:bottom="1440" w:gutter="0" w:footer="0" w:header="0"/>
        </w:sectPr>
      </w:pPr>
    </w:p>
    <w:bookmarkStart w:id="778" w:name="page779"/>
    <w:bookmarkEnd w:id="778"/>
    <w:tbl>
      <w:tblPr>
        <w:tblLayout w:type="fixed"/>
        <w:tblInd w:w="220" w:type="dxa"/>
        <w:tblCellMar>
          <w:top w:w="0" w:type="dxa"/>
          <w:left w:w="0" w:type="dxa"/>
          <w:bottom w:w="0" w:type="dxa"/>
          <w:right w:w="0" w:type="dxa"/>
        </w:tblCellMar>
      </w:tblPr>
      <w:tr>
        <w:trPr>
          <w:trHeight w:val="185"/>
        </w:trPr>
        <w:tc>
          <w:tcPr>
            <w:tcW w:w="8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r>
      <w:tr>
        <w:trPr>
          <w:trHeight w:val="34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BTO CDx DEVELOPMENT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REGULATORY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CLINICAL TRIALS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COMMERCIALIZATION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INSPECTIONS, SUPPLY FAILURE, AND COMPLAINTS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GOVERNANCE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FEES AND 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INTELLECTUAL PROPERTY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REPRESENTATIONS, WARRANTIES AND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INDEMNIFICATION; LIMITATION OF LIABILITY; INSURANCE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CONFIDENTIALITY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TERM AND TERMINATION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42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EXHIBITS</w:t>
            </w:r>
          </w:p>
        </w:tc>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1.36:</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Development Plan</w:t>
            </w:r>
          </w:p>
        </w:tc>
        <w:tc>
          <w:tcPr>
            <w:tcW w:w="260" w:type="dxa"/>
            <w:vAlign w:val="bottom"/>
          </w:tcPr>
          <w:p>
            <w:pPr>
              <w:spacing w:after="0"/>
              <w:rPr>
                <w:sz w:val="24"/>
                <w:szCs w:val="24"/>
                <w:color w:val="auto"/>
              </w:rPr>
            </w:pPr>
          </w:p>
        </w:tc>
      </w:tr>
      <w:tr>
        <w:trPr>
          <w:trHeight w:val="252"/>
        </w:trPr>
        <w:tc>
          <w:tcPr>
            <w:tcW w:w="82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Exhibit 2.3.3:Protection of Personal Information</w:t>
            </w:r>
          </w:p>
        </w:tc>
        <w:tc>
          <w:tcPr>
            <w:tcW w:w="260" w:type="dxa"/>
            <w:vAlign w:val="bottom"/>
          </w:tcPr>
          <w:p>
            <w:pPr>
              <w:spacing w:after="0"/>
              <w:rPr>
                <w:sz w:val="21"/>
                <w:szCs w:val="21"/>
                <w:color w:val="auto"/>
              </w:rPr>
            </w:pPr>
          </w:p>
        </w:tc>
      </w:tr>
      <w:tr>
        <w:trPr>
          <w:trHeight w:val="252"/>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2.3.4:</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Data Safeguards</w:t>
            </w:r>
          </w:p>
        </w:tc>
        <w:tc>
          <w:tcPr>
            <w:tcW w:w="260" w:type="dxa"/>
            <w:vAlign w:val="bottom"/>
          </w:tcPr>
          <w:p>
            <w:pPr>
              <w:spacing w:after="0"/>
              <w:rPr>
                <w:sz w:val="21"/>
                <w:szCs w:val="21"/>
                <w:color w:val="auto"/>
              </w:rPr>
            </w:pPr>
          </w:p>
        </w:tc>
      </w:tr>
      <w:tr>
        <w:trPr>
          <w:trHeight w:val="252"/>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2.9:</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Approved BTO Third Party Contractors</w:t>
            </w:r>
          </w:p>
        </w:tc>
        <w:tc>
          <w:tcPr>
            <w:tcW w:w="260" w:type="dxa"/>
            <w:vAlign w:val="bottom"/>
          </w:tcPr>
          <w:p>
            <w:pPr>
              <w:spacing w:after="0"/>
              <w:rPr>
                <w:sz w:val="21"/>
                <w:szCs w:val="21"/>
                <w:color w:val="auto"/>
              </w:rPr>
            </w:pPr>
          </w:p>
        </w:tc>
      </w:tr>
      <w:tr>
        <w:trPr>
          <w:trHeight w:val="252"/>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5.2(a):</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Commercialization Plan</w:t>
            </w:r>
          </w:p>
        </w:tc>
        <w:tc>
          <w:tcPr>
            <w:tcW w:w="260" w:type="dxa"/>
            <w:vAlign w:val="bottom"/>
          </w:tcPr>
          <w:p>
            <w:pPr>
              <w:spacing w:after="0"/>
              <w:rPr>
                <w:sz w:val="21"/>
                <w:szCs w:val="21"/>
                <w:color w:val="auto"/>
              </w:rPr>
            </w:pPr>
          </w:p>
        </w:tc>
      </w:tr>
      <w:tr>
        <w:trPr>
          <w:trHeight w:val="252"/>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14.6:</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Compliance with Anti-Corruption Laws</w:t>
            </w:r>
          </w:p>
        </w:tc>
        <w:tc>
          <w:tcPr>
            <w:tcW w:w="260" w:type="dxa"/>
            <w:vAlign w:val="bottom"/>
          </w:tcPr>
          <w:p>
            <w:pPr>
              <w:spacing w:after="0"/>
              <w:rPr>
                <w:sz w:val="21"/>
                <w:szCs w:val="21"/>
                <w:color w:val="auto"/>
              </w:rPr>
            </w:pPr>
          </w:p>
        </w:tc>
      </w:tr>
      <w:tr>
        <w:trPr>
          <w:trHeight w:val="23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14.7:</w:t>
            </w: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 Care Compliance (“HCC”) Provisions for Suppliers that Interact and Contract with Health Care Providers (“HCPs”) for</w:t>
            </w:r>
          </w:p>
        </w:tc>
        <w:tc>
          <w:tcPr>
            <w:tcW w:w="260" w:type="dxa"/>
            <w:vAlign w:val="bottom"/>
          </w:tcPr>
          <w:p>
            <w:pPr>
              <w:spacing w:after="0"/>
              <w:rPr>
                <w:sz w:val="20"/>
                <w:szCs w:val="20"/>
                <w:color w:val="auto"/>
              </w:rPr>
            </w:pPr>
          </w:p>
        </w:tc>
      </w:tr>
      <w:tr>
        <w:trPr>
          <w:trHeight w:val="183"/>
        </w:trPr>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 on Janssen’s Behalf</w:t>
            </w:r>
          </w:p>
        </w:tc>
        <w:tc>
          <w:tcPr>
            <w:tcW w:w="260" w:type="dxa"/>
            <w:vAlign w:val="bottom"/>
          </w:tcPr>
          <w:p>
            <w:pPr>
              <w:spacing w:after="0"/>
              <w:rPr>
                <w:sz w:val="15"/>
                <w:szCs w:val="15"/>
                <w:color w:val="auto"/>
              </w:rPr>
            </w:pPr>
          </w:p>
        </w:tc>
      </w:tr>
    </w:tbl>
    <w:p>
      <w:pPr>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779" w:name="page780"/>
    <w:bookmarkEnd w:id="779"/>
    <w:p>
      <w:pPr>
        <w:ind w:left="8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This Development and Commercialization Agreement, effective on July 11, 2025 (“Effective Date”), has been entered into by and between: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Janssen Biotech,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800 Ridgeview Drive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Horsham, PA 19044</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(hereinafter referred to as “Janssen”)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1035 O’Brien Dr.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(hereinafter referred to as “BTO”)</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(BTO and Janssen are hereinafter individually referred to as “Party” and collectively referred to as “the Parties”)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220" w:right="639"/>
        <w:spacing w:after="0" w:line="282" w:lineRule="auto"/>
        <w:rPr>
          <w:sz w:val="20"/>
          <w:szCs w:val="20"/>
          <w:color w:val="auto"/>
        </w:rPr>
      </w:pPr>
      <w:r>
        <w:rPr>
          <w:rFonts w:ascii="Times New Roman" w:cs="Times New Roman" w:eastAsia="Times New Roman" w:hAnsi="Times New Roman"/>
          <w:sz w:val="14"/>
          <w:szCs w:val="14"/>
          <w:color w:val="auto"/>
        </w:rPr>
        <w:t>Janssen is engaged in the research, development, manufacture and commercialization of pharmaceutical products, including nipocalimab, an anti-neonatal Fc receptor (FcRn) monoclonal antibody for treatment of Hemolytic Disease of the Fetus and Newborn (“HDFN”).</w:t>
      </w:r>
    </w:p>
    <w:p>
      <w:pPr>
        <w:spacing w:after="0" w:line="125" w:lineRule="exact"/>
        <w:rPr>
          <w:sz w:val="20"/>
          <w:szCs w:val="20"/>
          <w:color w:val="auto"/>
        </w:rPr>
      </w:pPr>
    </w:p>
    <w:p>
      <w:pPr>
        <w:ind w:left="220" w:right="559"/>
        <w:spacing w:after="0" w:line="282" w:lineRule="auto"/>
        <w:rPr>
          <w:sz w:val="20"/>
          <w:szCs w:val="20"/>
          <w:color w:val="auto"/>
        </w:rPr>
      </w:pPr>
      <w:r>
        <w:rPr>
          <w:rFonts w:ascii="Times New Roman" w:cs="Times New Roman" w:eastAsia="Times New Roman" w:hAnsi="Times New Roman"/>
          <w:sz w:val="14"/>
          <w:szCs w:val="14"/>
          <w:color w:val="auto"/>
        </w:rPr>
        <w:t>BTO performs diagnostic testing, develops diagnostic products and assays, which are used to detect, characterize, monitor and select treatments for different diseases, and either owns or has licensed intellectual property related thereto.</w:t>
      </w:r>
    </w:p>
    <w:p>
      <w:pPr>
        <w:spacing w:after="0" w:line="125" w:lineRule="exact"/>
        <w:rPr>
          <w:sz w:val="20"/>
          <w:szCs w:val="20"/>
          <w:color w:val="auto"/>
        </w:rPr>
      </w:pPr>
    </w:p>
    <w:p>
      <w:pPr>
        <w:ind w:left="220" w:right="579"/>
        <w:spacing w:after="0" w:line="266" w:lineRule="auto"/>
        <w:rPr>
          <w:sz w:val="20"/>
          <w:szCs w:val="20"/>
          <w:color w:val="auto"/>
        </w:rPr>
      </w:pPr>
      <w:r>
        <w:rPr>
          <w:rFonts w:ascii="Times New Roman" w:cs="Times New Roman" w:eastAsia="Times New Roman" w:hAnsi="Times New Roman"/>
          <w:sz w:val="14"/>
          <w:szCs w:val="14"/>
          <w:color w:val="auto"/>
        </w:rPr>
        <w:t>BTO and Janssen Research &amp; Development, LLC (“JRD”), an Affiliate of Janssen, are parties to a clinical collaboration agreement entered into on January 6, 2023, as amended, regarding the BTO Assay to support Janssen’s Clinical Trial (“Prior Collaboration Agreement”), and as more fully described in Section 4, below.</w:t>
      </w:r>
    </w:p>
    <w:p>
      <w:pPr>
        <w:spacing w:after="0" w:line="136" w:lineRule="exact"/>
        <w:rPr>
          <w:sz w:val="20"/>
          <w:szCs w:val="20"/>
          <w:color w:val="auto"/>
        </w:rPr>
      </w:pPr>
    </w:p>
    <w:p>
      <w:pPr>
        <w:ind w:left="220" w:right="279"/>
        <w:spacing w:after="0" w:line="261" w:lineRule="auto"/>
        <w:rPr>
          <w:sz w:val="20"/>
          <w:szCs w:val="20"/>
          <w:color w:val="auto"/>
        </w:rPr>
      </w:pPr>
      <w:r>
        <w:rPr>
          <w:rFonts w:ascii="Times New Roman" w:cs="Times New Roman" w:eastAsia="Times New Roman" w:hAnsi="Times New Roman"/>
          <w:sz w:val="14"/>
          <w:szCs w:val="14"/>
          <w:color w:val="auto"/>
        </w:rPr>
        <w:t>Janssen wishes to engage BTO and BTO wishes to be engaged to collaborate on the development and commercialization of a companion diagnostic product for the Janssen Drug (as defined herein), including: (i) to support development and Regulatory Approval of the BTO CDx (as defined herein) in the Territory (as defined herein), and (ii) to commercialize such BTO CDx following its Regulatory Approval (as defined herein) and the Regulatory Approval of the Janssen Drug in the United States, and all activities as set forth below in this Agreement.</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The Parties therefore agree as follow: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2" w:right="1440" w:bottom="1440" w:gutter="0" w:footer="0" w:header="0"/>
        </w:sectPr>
      </w:pPr>
    </w:p>
    <w:bookmarkStart w:id="780" w:name="page781"/>
    <w:bookmarkEnd w:id="780"/>
    <w:p>
      <w:pPr>
        <w:ind w:left="820" w:hanging="597"/>
        <w:spacing w:after="0"/>
        <w:tabs>
          <w:tab w:leader="none" w:pos="820" w:val="left"/>
        </w:tabs>
        <w:numPr>
          <w:ilvl w:val="0"/>
          <w:numId w:val="5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DEFINITIONS</w:t>
      </w:r>
    </w:p>
    <w:p>
      <w:pPr>
        <w:spacing w:after="0" w:line="92" w:lineRule="exact"/>
        <w:rPr>
          <w:rFonts w:ascii="Times New Roman" w:cs="Times New Roman" w:eastAsia="Times New Roman" w:hAnsi="Times New Roman"/>
          <w:sz w:val="14"/>
          <w:szCs w:val="14"/>
          <w:b w:val="1"/>
          <w:bCs w:val="1"/>
          <w:color w:val="auto"/>
        </w:rPr>
      </w:pPr>
    </w:p>
    <w:p>
      <w:pPr>
        <w:ind w:left="8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used in this Agreement, the following terms shall have the following meanings:</w:t>
      </w:r>
    </w:p>
    <w:p>
      <w:pPr>
        <w:spacing w:after="0" w:line="101" w:lineRule="exact"/>
        <w:rPr>
          <w:sz w:val="20"/>
          <w:szCs w:val="20"/>
          <w:color w:val="auto"/>
        </w:rPr>
      </w:pPr>
    </w:p>
    <w:p>
      <w:pPr>
        <w:ind w:left="1940" w:right="23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“Affiliate” means any entity that, directly or indirectly (through one or more intermediaries) is controlled by, or is under common control with, a Party. For purposes of this Section 1.1, “control” means solely (a) the direct or indirect ownership of 50% or more of the voting stock or other voting interests or interest in the profits of the Party, or (b) the ability to otherwise control or direct the decisions of board of directors or equivalent governing body thereof.</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“Agreement” means this Development and Commercialization Agreement and all of its Exhibits.</w:t>
      </w:r>
    </w:p>
    <w:p>
      <w:pPr>
        <w:spacing w:after="0" w:line="101" w:lineRule="exact"/>
        <w:rPr>
          <w:sz w:val="20"/>
          <w:szCs w:val="20"/>
          <w:color w:val="auto"/>
        </w:rPr>
      </w:pPr>
    </w:p>
    <w:p>
      <w:pPr>
        <w:ind w:left="1940" w:right="23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“Analytical Validation Data” means Data related to the analytical performance of the BTO Assay under the Development Plan generated through controlled laboratory studies designed to characterize assay performance parameters. Analytical Validation Data includes, but is not limited to, Data to support Development of the BTO CDx, and Data to support the limit of detection, limit of blank, accuracy, cross reactivity, reproducibility, guard band, bioinformatics pipeline validation and stability. Such data may be generated using contrived samples, reference materials, quality control materials or patient samples other than Clinical Samples for specific analytical characterization purposes. For clarification, Clinical Data obtained for demonstrating clinical performance, safety or efficacy is specifically excluded from Analytical Validation Data.</w:t>
      </w:r>
    </w:p>
    <w:p>
      <w:pPr>
        <w:spacing w:after="0" w:line="75" w:lineRule="exact"/>
        <w:rPr>
          <w:sz w:val="20"/>
          <w:szCs w:val="20"/>
          <w:color w:val="auto"/>
        </w:rPr>
      </w:pPr>
    </w:p>
    <w:p>
      <w:pPr>
        <w:ind w:left="1940" w:right="43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“Applicable Law” means all applicable provisions of any and all national, supranational, regional, state and local laws, treaties, statutes, rules, regulations, administrative codes, guidances, ordinances, judgments, decrees, directives, injunctions, orders, permits of or from any court, arbitrator, Regulatory Authority or governmental agency or authority having jurisdiction over or related to the subject item.</w:t>
      </w:r>
    </w:p>
    <w:p>
      <w:pPr>
        <w:spacing w:after="0" w:line="66" w:lineRule="exact"/>
        <w:rPr>
          <w:sz w:val="20"/>
          <w:szCs w:val="20"/>
          <w:color w:val="auto"/>
        </w:rPr>
      </w:pPr>
    </w:p>
    <w:p>
      <w:pPr>
        <w:ind w:left="1940" w:right="4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“Approved IVD” means, with respect to an IVD and country or territory, that such IVD has been granted Regulatory Approval for such country or territory for the intended use, including, for example, any required Pre-Market Approval (“PMA”) or De Novo 510K clearance in the case of the United States. The term “Approved IVD” is not intended, and shall not be construed, to include any IVD solely for research or investigational purposes.</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3"/>
          <w:szCs w:val="13"/>
          <w:color w:val="auto"/>
        </w:rPr>
        <w:t>“Assigned BTO Inventions” has the meaning set forth in Section 9.8.2.</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781" w:name="page782"/>
    <w:bookmarkEnd w:id="781"/>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3"/>
          <w:szCs w:val="13"/>
          <w:color w:val="auto"/>
        </w:rPr>
        <w:t>“Assigned Janssen Inventions” has the meaning set forth in Section 9.8.3.</w:t>
      </w:r>
    </w:p>
    <w:p>
      <w:pPr>
        <w:spacing w:after="0" w:line="101" w:lineRule="exact"/>
        <w:rPr>
          <w:sz w:val="20"/>
          <w:szCs w:val="20"/>
          <w:color w:val="auto"/>
        </w:rPr>
      </w:pPr>
    </w:p>
    <w:p>
      <w:pPr>
        <w:ind w:left="1940" w:right="43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“Biomarker(s)” means the genes or gene variants that encode the proteins relating to fetal red blood cell antigens RhD, Rhc, RhC, RhE, and Kell.</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3"/>
          <w:szCs w:val="13"/>
          <w:color w:val="auto"/>
        </w:rPr>
        <w:t>“Breaching Party” has the meaning set forth in Section 13.2.2.</w:t>
      </w:r>
    </w:p>
    <w:p>
      <w:pPr>
        <w:spacing w:after="0" w:line="101" w:lineRule="exact"/>
        <w:rPr>
          <w:sz w:val="20"/>
          <w:szCs w:val="20"/>
          <w:color w:val="auto"/>
        </w:rPr>
      </w:pPr>
    </w:p>
    <w:p>
      <w:pPr>
        <w:ind w:left="1940" w:right="29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4"/>
          <w:szCs w:val="14"/>
          <w:color w:val="auto"/>
        </w:rPr>
        <w:t>“BTO Assay” means BTO’s diagnostic assay for the detection the Biomarkers. BTO Assay is inclusive of positive and negative controls, and includes all components and information necessary to perform each assay/test for the detection of Biomarkers in Clinical Samples and other patient samples for the selection of patients who are eligible for treatment with the Janssen Drug for the Indication, including, as applicable for performance of the IVD, sample collection kits.</w:t>
      </w:r>
    </w:p>
    <w:p>
      <w:pPr>
        <w:spacing w:after="0" w:line="66" w:lineRule="exact"/>
        <w:rPr>
          <w:sz w:val="20"/>
          <w:szCs w:val="20"/>
          <w:color w:val="auto"/>
        </w:rPr>
      </w:pPr>
    </w:p>
    <w:p>
      <w:pPr>
        <w:ind w:left="1940" w:right="33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“BTO Background Technology” means Technology Controlled by BTO prior to the Effective Date used in the performance of this Agreement, but excluding BTO Development Technology and Joint Development Technology. BTO Background Technology includes, but is not limited to, BTO Technology concerning molecular diagnostic assays, including its sequencing platform to detect the presence of the Biomarkers. For purposes of this Agreement, BTO Background Technology is deemed BTO’s Confidential Information hereunder, subject to the exceptions specified in Section 12.2.</w:t>
      </w:r>
    </w:p>
    <w:p>
      <w:pPr>
        <w:spacing w:after="0" w:line="71" w:lineRule="exact"/>
        <w:rPr>
          <w:sz w:val="20"/>
          <w:szCs w:val="20"/>
          <w:color w:val="auto"/>
        </w:rPr>
      </w:pPr>
    </w:p>
    <w:p>
      <w:pPr>
        <w:ind w:left="1940" w:right="23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color w:val="auto"/>
        </w:rPr>
        <w:t>“BTO CDx” means a CDx, based on the BTO Assay, utilizing BTO Background or Development Technology for use with the Janssen Drug as a CDx for the Indication.</w:t>
      </w:r>
    </w:p>
    <w:p>
      <w:pPr>
        <w:spacing w:after="0" w:line="52" w:lineRule="exact"/>
        <w:rPr>
          <w:sz w:val="20"/>
          <w:szCs w:val="20"/>
          <w:color w:val="auto"/>
        </w:rPr>
      </w:pPr>
    </w:p>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color w:val="auto"/>
        </w:rPr>
        <w:t>“BTO Data” means (i) Analytical Validation Data either Controlled by BTO or generated, compiled or acquired by either Party, its Affiliates or its Third Party contractors pursuant to this Agreement and during its Term, and (ii) Non-Clinical Trial Testing Data related solely to the BTO Assay Controlled by BTO or generated, compiled or acquired by BTO, its Affiliates or its Third Party contractors pursuant to this Agreement and during its Term.</w:t>
      </w:r>
    </w:p>
    <w:p>
      <w:pPr>
        <w:spacing w:after="0" w:line="66" w:lineRule="exact"/>
        <w:rPr>
          <w:sz w:val="20"/>
          <w:szCs w:val="20"/>
          <w:color w:val="auto"/>
        </w:rPr>
      </w:pPr>
    </w:p>
    <w:p>
      <w:pPr>
        <w:ind w:left="1940" w:right="359" w:hanging="597"/>
        <w:spacing w:after="0" w:line="287" w:lineRule="auto"/>
        <w:tabs>
          <w:tab w:leader="none" w:pos="192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3"/>
          <w:szCs w:val="13"/>
          <w:color w:val="auto"/>
        </w:rPr>
        <w:t>“BTO Development Technology” means any Technology and related information that incorporates BTO Background Technology and any Technology conceived of or reduced to practice by any Party (including its Affiliates or Third Party contractors) pursuant to this Agreement and during its Term that (i) incorporates BTO Confidential Information or BTO Background Technology (and not Janssen Confidential Information or Janssen Background Technology), or was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782" w:name="page783"/>
    <w:bookmarkEnd w:id="782"/>
    <w:p>
      <w:pPr>
        <w:ind w:left="194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generated by use of BTO Confidential Information or BTO Background Technology (and not Janssen Confidential Information or Janssen Background Technology), or (ii) comprises (A) the primers and probes of the BTO Assays, (B) the automated calling software for the reporting of mutations, or (C) the Analytical Validation Data. BTO Development Technology is deemed BTO Confidential Information, subject to the exceptions specified in Section 12.2. For purposes of clarity BTO Development Technology excludes BTO Background Technology, Janssen Background Technology, and Janssen Development Technology.</w:t>
      </w:r>
    </w:p>
    <w:p>
      <w:pPr>
        <w:spacing w:after="0" w:line="7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3"/>
          <w:szCs w:val="13"/>
          <w:color w:val="auto"/>
        </w:rPr>
        <w:t>“BTO Indemnitees” has the meaning set forth in Section 11.1.</w:t>
      </w:r>
    </w:p>
    <w:p>
      <w:pPr>
        <w:spacing w:after="0" w:line="101" w:lineRule="exact"/>
        <w:rPr>
          <w:sz w:val="20"/>
          <w:szCs w:val="20"/>
          <w:color w:val="auto"/>
        </w:rPr>
      </w:pPr>
    </w:p>
    <w:p>
      <w:pPr>
        <w:ind w:left="1940" w:right="5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color w:val="auto"/>
        </w:rPr>
        <w:t>“Business Day” means any day other than a Saturday, Sunday, bank holiday or public holiday in the United States of America.</w:t>
      </w:r>
    </w:p>
    <w:p>
      <w:pPr>
        <w:spacing w:after="0" w:line="52" w:lineRule="exact"/>
        <w:rPr>
          <w:sz w:val="20"/>
          <w:szCs w:val="20"/>
          <w:color w:val="auto"/>
        </w:rPr>
      </w:pPr>
    </w:p>
    <w:p>
      <w:pPr>
        <w:ind w:left="1940" w:right="31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color w:val="auto"/>
        </w:rPr>
        <w:t>“Centralized Lab” means a single facility with regulatory approval and market authorization for a proprietary CDx. Such singular facility receives all test requisitions from physicians, performs all steps in the process, including wet lab work, data analysis and bioinformatics, and delivers all test results and related information to the prescriber and patient.</w:t>
      </w:r>
    </w:p>
    <w:p>
      <w:pPr>
        <w:spacing w:after="0" w:line="63" w:lineRule="exact"/>
        <w:rPr>
          <w:sz w:val="20"/>
          <w:szCs w:val="20"/>
          <w:color w:val="auto"/>
        </w:rPr>
      </w:pPr>
    </w:p>
    <w:p>
      <w:pPr>
        <w:jc w:val="both"/>
        <w:ind w:left="1940" w:right="35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4"/>
          <w:szCs w:val="14"/>
          <w:color w:val="auto"/>
        </w:rPr>
        <w:t>“Clinical Data” means Data generated, acquired, or obtained through the use of Clinical Samples or from Clinical Trial, Data relating to Clinical Samples or Clinical Trials, and Data relating to patient populations, patient population genetics, individual patient genetics, therapeutic use and efficacy of the Janssen Drug, including clinical outcome data (i.e., Data related to the performance of the Janssen Drug, including safety and toxicity Data).</w:t>
      </w:r>
    </w:p>
    <w:p>
      <w:pPr>
        <w:spacing w:after="0" w:line="66" w:lineRule="exact"/>
        <w:rPr>
          <w:sz w:val="20"/>
          <w:szCs w:val="20"/>
          <w:color w:val="auto"/>
        </w:rPr>
      </w:pPr>
    </w:p>
    <w:p>
      <w:pPr>
        <w:ind w:left="1940" w:right="7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1.19</w:t>
      </w:r>
      <w:r>
        <w:rPr>
          <w:sz w:val="20"/>
          <w:szCs w:val="20"/>
          <w:color w:val="auto"/>
        </w:rPr>
        <w:tab/>
      </w:r>
      <w:r>
        <w:rPr>
          <w:rFonts w:ascii="Times New Roman" w:cs="Times New Roman" w:eastAsia="Times New Roman" w:hAnsi="Times New Roman"/>
          <w:sz w:val="14"/>
          <w:szCs w:val="14"/>
          <w:color w:val="auto"/>
        </w:rPr>
        <w:t>“Clinical Samples” means the human biological samples, and derivatives thereof, obtained from a human subject participating in a Clinical Trial.</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1.20</w:t>
      </w:r>
      <w:r>
        <w:rPr>
          <w:sz w:val="20"/>
          <w:szCs w:val="20"/>
          <w:color w:val="auto"/>
        </w:rPr>
        <w:tab/>
      </w:r>
      <w:r>
        <w:rPr>
          <w:rFonts w:ascii="Times New Roman" w:cs="Times New Roman" w:eastAsia="Times New Roman" w:hAnsi="Times New Roman"/>
          <w:sz w:val="13"/>
          <w:szCs w:val="13"/>
          <w:color w:val="auto"/>
        </w:rPr>
        <w:t>“Clinical Treatment” means the use of the Janssen Drug to treat a patient with the Indication.</w:t>
      </w:r>
    </w:p>
    <w:p>
      <w:pPr>
        <w:spacing w:after="0" w:line="101" w:lineRule="exact"/>
        <w:rPr>
          <w:sz w:val="20"/>
          <w:szCs w:val="20"/>
          <w:color w:val="auto"/>
        </w:rPr>
      </w:pPr>
    </w:p>
    <w:p>
      <w:pPr>
        <w:ind w:left="1940" w:right="3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“Clinical Trial” means any clinical investigation that tests the safety and efficacy of the Janssen Drug in human subjects and is sponsored by Janssen or its Affiliates.</w:t>
      </w:r>
    </w:p>
    <w:p>
      <w:pPr>
        <w:spacing w:after="0" w:line="52" w:lineRule="exact"/>
        <w:rPr>
          <w:sz w:val="20"/>
          <w:szCs w:val="20"/>
          <w:color w:val="auto"/>
        </w:rPr>
      </w:pPr>
    </w:p>
    <w:p>
      <w:pPr>
        <w:ind w:left="1940" w:right="31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4"/>
          <w:szCs w:val="14"/>
          <w:color w:val="auto"/>
        </w:rPr>
        <w:t>“Clinical Trial Protocol” means a written description of one or more Clinical Trial(s), which generally includes information on the objectives, design, methodology, statistical considerations and organization of the Clinical Trial (and including amendments to such description). Janssen or its Affiliates may amend the Clinical Trial Protocol from time to time in its sole discretion and promptly inform BTO of any amendments that would materially affect the Development of the BTO CDx.</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783" w:name="page784"/>
    <w:bookmarkEnd w:id="783"/>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1.23</w:t>
      </w:r>
      <w:r>
        <w:rPr>
          <w:sz w:val="20"/>
          <w:szCs w:val="20"/>
          <w:color w:val="auto"/>
        </w:rPr>
        <w:tab/>
      </w:r>
      <w:r>
        <w:rPr>
          <w:rFonts w:ascii="Times New Roman" w:cs="Times New Roman" w:eastAsia="Times New Roman" w:hAnsi="Times New Roman"/>
          <w:sz w:val="13"/>
          <w:szCs w:val="13"/>
          <w:color w:val="auto"/>
        </w:rPr>
        <w:t>“Commercial Leader” has the meaning set forth in Section 7.4.1.</w:t>
      </w:r>
    </w:p>
    <w:p>
      <w:pPr>
        <w:spacing w:after="0" w:line="101" w:lineRule="exact"/>
        <w:rPr>
          <w:sz w:val="20"/>
          <w:szCs w:val="20"/>
          <w:color w:val="auto"/>
        </w:rPr>
      </w:pPr>
    </w:p>
    <w:p>
      <w:pPr>
        <w:ind w:left="1940" w:right="399" w:hanging="597"/>
        <w:spacing w:after="0" w:line="278" w:lineRule="auto"/>
        <w:tabs>
          <w:tab w:leader="none" w:pos="192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3"/>
          <w:szCs w:val="13"/>
          <w:color w:val="auto"/>
        </w:rPr>
        <w:t>“Commercialization” means any and all activities directed to the preparation for sale of, offering for sale of, or sale of a product, including activities related to marketing, promoting, distributing and importing such product, and interacting with Regulatory Authorities regarding any of the foregoing. For clarity, when used in relation to the BTO CDx or other IVD, “Commercialization” includes activities directed to the preparation for the sale of, offering for sale of, or sale of a service using such BTO CDx or other IVD, including activities related to marketing and promoting such service, and interacting with Regulatory Authorities regarding any of the foregoing. When used as a verb, “to Commercialize” and “Commercializing” mean to engage in Commercialization, and “Commercialized” has a corresponding meaning.</w:t>
      </w:r>
    </w:p>
    <w:p>
      <w:pPr>
        <w:spacing w:after="0" w:line="58" w:lineRule="exact"/>
        <w:rPr>
          <w:sz w:val="20"/>
          <w:szCs w:val="20"/>
          <w:color w:val="auto"/>
        </w:rPr>
      </w:pPr>
    </w:p>
    <w:p>
      <w:pPr>
        <w:ind w:left="1940" w:right="35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color w:val="auto"/>
        </w:rPr>
        <w:t xml:space="preserve">“Commercialization Plan” has the meaning set forth in Section 5.2(a) and is attached as </w:t>
      </w:r>
      <w:r>
        <w:rPr>
          <w:rFonts w:ascii="Times New Roman" w:cs="Times New Roman" w:eastAsia="Times New Roman" w:hAnsi="Times New Roman"/>
          <w:sz w:val="14"/>
          <w:szCs w:val="14"/>
          <w:u w:val="single" w:color="auto"/>
          <w:color w:val="auto"/>
        </w:rPr>
        <w:t>Exhibit 5.2(a))</w:t>
      </w:r>
      <w:r>
        <w:rPr>
          <w:rFonts w:ascii="Times New Roman" w:cs="Times New Roman" w:eastAsia="Times New Roman" w:hAnsi="Times New Roman"/>
          <w:sz w:val="14"/>
          <w:szCs w:val="14"/>
          <w:color w:val="auto"/>
        </w:rPr>
        <w:t xml:space="preserve">. The Parties recognize that </w:t>
      </w:r>
      <w:r>
        <w:rPr>
          <w:rFonts w:ascii="Times New Roman" w:cs="Times New Roman" w:eastAsia="Times New Roman" w:hAnsi="Times New Roman"/>
          <w:sz w:val="14"/>
          <w:szCs w:val="14"/>
          <w:u w:val="single" w:color="auto"/>
          <w:color w:val="auto"/>
        </w:rPr>
        <w:t>Exhibit 5.2(a)</w:t>
      </w:r>
      <w:r>
        <w:rPr>
          <w:rFonts w:ascii="Times New Roman" w:cs="Times New Roman" w:eastAsia="Times New Roman" w:hAnsi="Times New Roman"/>
          <w:sz w:val="14"/>
          <w:szCs w:val="14"/>
          <w:color w:val="auto"/>
        </w:rPr>
        <w:t xml:space="preserve"> as of the Effective Date is a preliminary plan and will be modified as they proceed with the performance of this Agreement. The JSC may modify </w:t>
      </w:r>
      <w:r>
        <w:rPr>
          <w:rFonts w:ascii="Times New Roman" w:cs="Times New Roman" w:eastAsia="Times New Roman" w:hAnsi="Times New Roman"/>
          <w:sz w:val="14"/>
          <w:szCs w:val="14"/>
          <w:u w:val="single" w:color="auto"/>
          <w:color w:val="auto"/>
        </w:rPr>
        <w:t>Exhibit 5.2(a)</w:t>
      </w:r>
      <w:r>
        <w:rPr>
          <w:rFonts w:ascii="Times New Roman" w:cs="Times New Roman" w:eastAsia="Times New Roman" w:hAnsi="Times New Roman"/>
          <w:sz w:val="14"/>
          <w:szCs w:val="14"/>
          <w:color w:val="auto"/>
        </w:rPr>
        <w:t xml:space="preserve"> as provided in Section 7.2.</w:t>
      </w:r>
    </w:p>
    <w:p>
      <w:pPr>
        <w:spacing w:after="0" w:line="63" w:lineRule="exact"/>
        <w:rPr>
          <w:sz w:val="20"/>
          <w:szCs w:val="20"/>
          <w:color w:val="auto"/>
        </w:rPr>
      </w:pPr>
    </w:p>
    <w:p>
      <w:pPr>
        <w:ind w:left="1940" w:right="2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4"/>
          <w:szCs w:val="14"/>
          <w:color w:val="auto"/>
        </w:rPr>
        <w:t>“Commercially Reasonable Efforts” means, efforts and resources commonly used (i) in the case of BTO, in the diagnostic assay and medical device industry for a diagnostic assay service, system, or product and (ii) in the case of Janssen, in the research-based pharmaceutical industry for a pharmaceutical product, (BTO’s diagnostic assay service, system, or product, and Janssen’s pharmaceutical product are individually a “product” and collectively “products” for purposes of this definition), in each case at a similar stage in its development life of similar market potential taking into account the competitiveness of alternative products, the patent and other proprietary position of the product, the likelihood of Regulatory Approval given the regulatory structure involved, the profitability of the product including the royalties payable to licensors of patent rights, and other relevant factors.</w:t>
      </w:r>
    </w:p>
    <w:p>
      <w:pPr>
        <w:spacing w:after="0" w:line="75"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3"/>
          <w:szCs w:val="13"/>
          <w:color w:val="auto"/>
        </w:rPr>
        <w:t>“Commercially Reasonable Efforts (CRE) Period” or “CRE Period” means the period from the Effective Date until:</w:t>
      </w:r>
    </w:p>
    <w:p>
      <w:pPr>
        <w:spacing w:after="0" w:line="22" w:lineRule="exact"/>
        <w:rPr>
          <w:sz w:val="20"/>
          <w:szCs w:val="20"/>
          <w:color w:val="auto"/>
        </w:rPr>
      </w:pPr>
    </w:p>
    <w:p>
      <w:pPr>
        <w:ind w:left="1940" w:right="299" w:hanging="7"/>
        <w:spacing w:after="0" w:line="252" w:lineRule="auto"/>
        <w:tabs>
          <w:tab w:leader="none" w:pos="2138"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BTO CDx is no longer the only cell-free DNA (“cfDNA”) Companion Diagnostic for the detection of the Biomarkers approved by the Regulatory Authority in the Territory for the administration of Janssen Drug as a treatment for the Indication with no Regulatory Authority enforcement actions in place, and (2) BTO maintains at least [***] for its commercial use of the BTO CDx (the “Commercial Performance Minimum”), but in each of (1) and (2) no earlier than the end of the Exclusivity Period.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784" w:name="page785"/>
    <w:bookmarkEnd w:id="784"/>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1.28</w:t>
      </w:r>
      <w:r>
        <w:rPr>
          <w:sz w:val="20"/>
          <w:szCs w:val="20"/>
          <w:color w:val="auto"/>
        </w:rPr>
        <w:tab/>
      </w:r>
      <w:r>
        <w:rPr>
          <w:rFonts w:ascii="Times New Roman" w:cs="Times New Roman" w:eastAsia="Times New Roman" w:hAnsi="Times New Roman"/>
          <w:sz w:val="14"/>
          <w:szCs w:val="14"/>
          <w:color w:val="auto"/>
        </w:rPr>
        <w:t>“Companion Diagnostic” or “CDx” means an IVD that provides information essential to the safe and effective use of a corresponding therapeutic product, for the selection of patients who are eligible for treatment with such corresponding therapeutic product for a corresponding indication or is otherwise necessary for the Regulatory Approval of a therapeutic product.</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1.29</w:t>
      </w:r>
      <w:r>
        <w:rPr>
          <w:sz w:val="20"/>
          <w:szCs w:val="20"/>
          <w:color w:val="auto"/>
        </w:rPr>
        <w:tab/>
      </w:r>
      <w:r>
        <w:rPr>
          <w:rFonts w:ascii="Times New Roman" w:cs="Times New Roman" w:eastAsia="Times New Roman" w:hAnsi="Times New Roman"/>
          <w:sz w:val="13"/>
          <w:szCs w:val="13"/>
          <w:color w:val="auto"/>
        </w:rPr>
        <w:t>“Compelled Disclosure” has the meaning set forth in Section 12.3.</w:t>
      </w:r>
    </w:p>
    <w:p>
      <w:pPr>
        <w:spacing w:after="0" w:line="101" w:lineRule="exact"/>
        <w:rPr>
          <w:sz w:val="20"/>
          <w:szCs w:val="20"/>
          <w:color w:val="auto"/>
        </w:rPr>
      </w:pPr>
    </w:p>
    <w:p>
      <w:pPr>
        <w:ind w:left="1940" w:right="2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1.30</w:t>
      </w:r>
      <w:r>
        <w:rPr>
          <w:sz w:val="20"/>
          <w:szCs w:val="20"/>
          <w:color w:val="auto"/>
        </w:rPr>
        <w:tab/>
      </w:r>
      <w:r>
        <w:rPr>
          <w:rFonts w:ascii="Times New Roman" w:cs="Times New Roman" w:eastAsia="Times New Roman" w:hAnsi="Times New Roman"/>
          <w:sz w:val="14"/>
          <w:szCs w:val="14"/>
          <w:color w:val="auto"/>
        </w:rPr>
        <w:t>“Confidential Information” means, subject to the exceptions specified in 12.2 but without other limitation, any and all non-public Technology, information, inventions, methods, plans, processes, specifications, Know-How, compounds, materials, Data (i.e. Janssen Data or BTO Data), samples, business plans, financial information, marketing plans, reports, forecasts, or technical or commercial information that is provided hereunder by or on behalf of either Party or any of its Affiliates to the other Party or any of its Affiliates, whether disclosed in writing or orally, including without limitation any and all such information regarding, related to, arising from or associated with this Agreement, and the terms and conditions of this Agreement. As used herein, “BTO Confidential Information” refers to the Confidential Information of BTO and “Janssen Confidential Information” refers to the Confidential Information of Janssen.</w:t>
      </w:r>
    </w:p>
    <w:p>
      <w:pPr>
        <w:spacing w:after="0" w:line="75" w:lineRule="exact"/>
        <w:rPr>
          <w:sz w:val="20"/>
          <w:szCs w:val="20"/>
          <w:color w:val="auto"/>
        </w:rPr>
      </w:pPr>
    </w:p>
    <w:p>
      <w:pPr>
        <w:ind w:left="1940" w:right="27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“Control” or “Controlled” means with respect to a Party and with respect to any Technology or Data or Intellectual Property Rights thereto, or other tangible or intangible property (collectively “Property”) (i) ownership of, (ii) the right to grant a license to, or (iii) the ability to permit use of such Property without violating the terms of any arrangements or agreements with any Third Party and all of the foregoing by means other than the licenses or assignments of this Agreement, whether such ownership, right to grant a license to, or the ability to permit use of such Property exists on the Effective Date or is acquired after the Effective Date and during the Term.</w:t>
      </w:r>
    </w:p>
    <w:p>
      <w:pPr>
        <w:spacing w:after="0" w:line="71" w:lineRule="exact"/>
        <w:rPr>
          <w:sz w:val="20"/>
          <w:szCs w:val="20"/>
          <w:color w:val="auto"/>
        </w:rPr>
      </w:pPr>
    </w:p>
    <w:p>
      <w:pPr>
        <w:ind w:left="1940" w:right="43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color w:val="auto"/>
        </w:rPr>
        <w:t>“Data” means all data, tangible and intangible results, information, and reports generated, compiled or acquired by any Party, its Affiliates or its Third Party contractors either pursuant to this Agreement or outside of this Agreement.</w:t>
      </w:r>
    </w:p>
    <w:p>
      <w:pPr>
        <w:spacing w:after="0" w:line="52" w:lineRule="exact"/>
        <w:rPr>
          <w:sz w:val="20"/>
          <w:szCs w:val="20"/>
          <w:color w:val="auto"/>
        </w:rPr>
      </w:pPr>
    </w:p>
    <w:p>
      <w:pPr>
        <w:ind w:left="1940" w:right="31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4"/>
          <w:szCs w:val="14"/>
          <w:color w:val="auto"/>
        </w:rPr>
        <w:t>“Development” means activities conducted by either Party, its Affiliates or Third Party contractors in performance of the Development Plan, and deliverables produced by the foregoing, as specified in the Development Plan.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785" w:name="page786"/>
    <w:bookmarkEnd w:id="785"/>
    <w:p>
      <w:pPr>
        <w:ind w:left="1940" w:right="4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1.34</w:t>
      </w:r>
      <w:r>
        <w:rPr>
          <w:sz w:val="20"/>
          <w:szCs w:val="20"/>
          <w:color w:val="auto"/>
        </w:rPr>
        <w:tab/>
      </w:r>
      <w:r>
        <w:rPr>
          <w:rFonts w:ascii="Times New Roman" w:cs="Times New Roman" w:eastAsia="Times New Roman" w:hAnsi="Times New Roman"/>
          <w:sz w:val="14"/>
          <w:szCs w:val="14"/>
          <w:color w:val="auto"/>
        </w:rPr>
        <w:t>“Development Technology” means any of Janssen Development Technology, Joint Development Technology, or BTO Development Technology.</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1.35</w:t>
      </w:r>
      <w:r>
        <w:rPr>
          <w:sz w:val="20"/>
          <w:szCs w:val="20"/>
          <w:color w:val="auto"/>
        </w:rPr>
        <w:tab/>
      </w:r>
      <w:r>
        <w:rPr>
          <w:rFonts w:ascii="Times New Roman" w:cs="Times New Roman" w:eastAsia="Times New Roman" w:hAnsi="Times New Roman"/>
          <w:sz w:val="13"/>
          <w:szCs w:val="13"/>
          <w:color w:val="auto"/>
        </w:rPr>
        <w:t>“Development Leader” has the meaning set forth in Section 7.4.1.</w:t>
      </w:r>
    </w:p>
    <w:p>
      <w:pPr>
        <w:spacing w:after="0" w:line="101" w:lineRule="exact"/>
        <w:rPr>
          <w:sz w:val="20"/>
          <w:szCs w:val="20"/>
          <w:color w:val="auto"/>
        </w:rPr>
      </w:pPr>
    </w:p>
    <w:p>
      <w:pPr>
        <w:ind w:left="1940" w:right="2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1.36</w:t>
      </w:r>
      <w:r>
        <w:rPr>
          <w:sz w:val="20"/>
          <w:szCs w:val="20"/>
          <w:color w:val="auto"/>
        </w:rPr>
        <w:tab/>
      </w:r>
      <w:r>
        <w:rPr>
          <w:rFonts w:ascii="Times New Roman" w:cs="Times New Roman" w:eastAsia="Times New Roman" w:hAnsi="Times New Roman"/>
          <w:sz w:val="14"/>
          <w:szCs w:val="14"/>
          <w:color w:val="auto"/>
        </w:rPr>
        <w:t xml:space="preserve">“Development Plan” means the written description of the activities to be performed by each Party under this Agreement for the development and Regulatory Approval of the BTO CDx containing, among other things, the timelines/dates, deliverables and budget for the various stages of the development project, as set forth in </w:t>
      </w:r>
      <w:r>
        <w:rPr>
          <w:rFonts w:ascii="Times New Roman" w:cs="Times New Roman" w:eastAsia="Times New Roman" w:hAnsi="Times New Roman"/>
          <w:sz w:val="14"/>
          <w:szCs w:val="14"/>
          <w:u w:val="single" w:color="auto"/>
          <w:color w:val="auto"/>
        </w:rPr>
        <w:t>Exhibit 1.36</w:t>
      </w:r>
      <w:r>
        <w:rPr>
          <w:rFonts w:ascii="Times New Roman" w:cs="Times New Roman" w:eastAsia="Times New Roman" w:hAnsi="Times New Roman"/>
          <w:sz w:val="14"/>
          <w:szCs w:val="14"/>
          <w:color w:val="auto"/>
        </w:rPr>
        <w:t>, as the same may be amended from time to time in accordance with the terms of this Agreement.</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1.37</w:t>
      </w:r>
      <w:r>
        <w:rPr>
          <w:sz w:val="20"/>
          <w:szCs w:val="20"/>
          <w:color w:val="auto"/>
        </w:rPr>
        <w:tab/>
      </w:r>
      <w:r>
        <w:rPr>
          <w:rFonts w:ascii="Times New Roman" w:cs="Times New Roman" w:eastAsia="Times New Roman" w:hAnsi="Times New Roman"/>
          <w:sz w:val="13"/>
          <w:szCs w:val="13"/>
          <w:color w:val="auto"/>
        </w:rPr>
        <w:t>“Disclosing Party” has the meaning set forth in Section 12.1.</w:t>
      </w:r>
    </w:p>
    <w:p>
      <w:pPr>
        <w:spacing w:after="0" w:line="101" w:lineRule="exact"/>
        <w:rPr>
          <w:sz w:val="20"/>
          <w:szCs w:val="20"/>
          <w:color w:val="auto"/>
        </w:rPr>
      </w:pPr>
    </w:p>
    <w:p>
      <w:pPr>
        <w:ind w:left="1940" w:right="51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1.38</w:t>
      </w:r>
      <w:r>
        <w:rPr>
          <w:sz w:val="20"/>
          <w:szCs w:val="20"/>
          <w:color w:val="auto"/>
        </w:rPr>
        <w:tab/>
      </w:r>
      <w:r>
        <w:rPr>
          <w:rFonts w:ascii="Times New Roman" w:cs="Times New Roman" w:eastAsia="Times New Roman" w:hAnsi="Times New Roman"/>
          <w:sz w:val="14"/>
          <w:szCs w:val="14"/>
          <w:color w:val="auto"/>
        </w:rPr>
        <w:t>“Early Termination Fees” means the amount Janssen shall pay BTO for all then-current inventory of components and BTO Assays maintained under the Development Plan as of the effective date of termination.</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1.39</w:t>
      </w:r>
      <w:r>
        <w:rPr>
          <w:sz w:val="20"/>
          <w:szCs w:val="20"/>
          <w:color w:val="auto"/>
        </w:rPr>
        <w:tab/>
      </w:r>
      <w:r>
        <w:rPr>
          <w:rFonts w:ascii="Times New Roman" w:cs="Times New Roman" w:eastAsia="Times New Roman" w:hAnsi="Times New Roman"/>
          <w:sz w:val="13"/>
          <w:szCs w:val="13"/>
          <w:color w:val="auto"/>
        </w:rPr>
        <w:t>“Exclusivity Period” means [***]</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1.40</w:t>
      </w:r>
      <w:r>
        <w:rPr>
          <w:sz w:val="20"/>
          <w:szCs w:val="20"/>
          <w:color w:val="auto"/>
        </w:rPr>
        <w:tab/>
      </w:r>
      <w:r>
        <w:rPr>
          <w:rFonts w:ascii="Times New Roman" w:cs="Times New Roman" w:eastAsia="Times New Roman" w:hAnsi="Times New Roman"/>
          <w:sz w:val="13"/>
          <w:szCs w:val="13"/>
          <w:color w:val="auto"/>
        </w:rPr>
        <w:t>“FDA” means United States Food and Drug Administration, or any successor entity thereto performing similar functions.</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3"/>
          <w:szCs w:val="13"/>
          <w:color w:val="auto"/>
        </w:rPr>
        <w:t>“Failure of Continuous Supply” has the meaning set forth in Sections 5.3 and 6.1.2.</w:t>
      </w:r>
    </w:p>
    <w:p>
      <w:pPr>
        <w:spacing w:after="0" w:line="101" w:lineRule="exact"/>
        <w:rPr>
          <w:sz w:val="20"/>
          <w:szCs w:val="20"/>
          <w:color w:val="auto"/>
        </w:rPr>
      </w:pPr>
    </w:p>
    <w:p>
      <w:pPr>
        <w:ind w:left="1940" w:right="259" w:hanging="597"/>
        <w:spacing w:after="0" w:line="272" w:lineRule="auto"/>
        <w:tabs>
          <w:tab w:leader="none" w:pos="192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3"/>
          <w:szCs w:val="13"/>
          <w:color w:val="auto"/>
        </w:rPr>
        <w:t>“Failure to Achieve a Milestone” shall include: (i) the FDA requires a bridging study necessitating re-testing of Clinical Samples from the Clinical Trial referenced in the Prior Collaboration Agreement and Janssen solely and reasonably determines that such re-testing would consume too much of the Clinical Samples, thereby precluding another collaborator of Janssen to pursue CDx for the Janssen Drug in the Territory, (ii) [***] (where such date shall be tolled for delay or adjustment greater than six months in the Development Plan for the Janssen Drug; provided that such tolling does not impact the sequence of Milestones and the date for this Milestone and the estimated date for the Regulatory Approval of the Janssen Drug shall not be greater than [***]), (iii) BTO does not satisfy the requirements for a Regulatory Submission Milestone before January 31, 2028 (where such date shall be tolled for delay in the Janssen Drug Regulatory Agency submission deadline for January 31, 2028), or (iv) the BTO CDx is not an Approved IVD by the later of either</w:t>
      </w:r>
    </w:p>
    <w:p>
      <w:pPr>
        <w:spacing w:after="0" w:line="1" w:lineRule="exact"/>
        <w:rPr>
          <w:sz w:val="20"/>
          <w:szCs w:val="20"/>
          <w:color w:val="auto"/>
        </w:rPr>
      </w:pPr>
    </w:p>
    <w:p>
      <w:pPr>
        <w:ind w:left="4460" w:right="359" w:hanging="2527"/>
        <w:spacing w:after="0" w:line="432" w:lineRule="auto"/>
        <w:tabs>
          <w:tab w:leader="none" w:pos="2114"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December 31, 2029 or (b) within one (1) year after the Janssen Drug obtains Regulatory Approval for the Indication. 7</w:t>
      </w:r>
    </w:p>
    <w:p>
      <w:pPr>
        <w:sectPr>
          <w:pgSz w:w="11900" w:h="16838" w:orient="portrait"/>
          <w:cols w:equalWidth="0" w:num="1">
            <w:col w:w="9019"/>
          </w:cols>
          <w:pgMar w:left="1440" w:top="241" w:right="1440" w:bottom="1440" w:gutter="0" w:footer="0" w:header="0"/>
        </w:sectPr>
      </w:pPr>
    </w:p>
    <w:bookmarkStart w:id="786" w:name="page787"/>
    <w:bookmarkEnd w:id="786"/>
    <w:p>
      <w:pPr>
        <w:ind w:left="1940" w:right="319" w:hanging="597"/>
        <w:spacing w:after="0" w:line="275"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1.43</w:t>
      </w:r>
      <w:r>
        <w:rPr>
          <w:sz w:val="20"/>
          <w:szCs w:val="20"/>
          <w:color w:val="auto"/>
        </w:rPr>
        <w:tab/>
      </w:r>
      <w:r>
        <w:rPr>
          <w:rFonts w:ascii="Times New Roman" w:cs="Times New Roman" w:eastAsia="Times New Roman" w:hAnsi="Times New Roman"/>
          <w:sz w:val="13"/>
          <w:szCs w:val="13"/>
          <w:color w:val="auto"/>
        </w:rPr>
        <w:t>“First Commercial Sale” means (i) with respect to the BTO CDx, the first transfer in the Territory by BTO or its Affiliates, sublicensees or distributors of the BTO CDx, as a device or as a service, to a Third Party for monetary consideration, or (ii) with respect to Janssen Drug, the first commercial sale in any country in the Territory by Janssen or its Affiliates, sublicensees or distributors of the Janssen Drug to a Third Party for monetary consideration, in both (i) and</w:t>
      </w:r>
    </w:p>
    <w:p>
      <w:pPr>
        <w:spacing w:after="0" w:line="1" w:lineRule="exact"/>
        <w:rPr>
          <w:sz w:val="20"/>
          <w:szCs w:val="20"/>
          <w:color w:val="auto"/>
        </w:rPr>
      </w:pPr>
    </w:p>
    <w:p>
      <w:pPr>
        <w:ind w:left="1940" w:right="559" w:hanging="7"/>
        <w:spacing w:after="0" w:line="255" w:lineRule="auto"/>
        <w:tabs>
          <w:tab w:leader="none" w:pos="2146"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such BTO CDx or Janssen Drug has been granted Regulatory Approval for the sale and marketing of such product for the Intended Use or the Indication for which such Janssen Drug first receives such Regulatory Approval, respectively, by the competent Regulatory Authorities in the Territory.</w:t>
      </w:r>
    </w:p>
    <w:p>
      <w:pPr>
        <w:spacing w:after="0" w:line="70"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3"/>
          <w:szCs w:val="13"/>
          <w:color w:val="auto"/>
        </w:rPr>
        <w:t>“GCP” means Good Clinical Practice as defined in ICH GCP.</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1.45</w:t>
      </w:r>
      <w:r>
        <w:rPr>
          <w:sz w:val="20"/>
          <w:szCs w:val="20"/>
          <w:color w:val="auto"/>
        </w:rPr>
        <w:tab/>
      </w:r>
      <w:r>
        <w:rPr>
          <w:rFonts w:ascii="Times New Roman" w:cs="Times New Roman" w:eastAsia="Times New Roman" w:hAnsi="Times New Roman"/>
          <w:sz w:val="13"/>
          <w:szCs w:val="13"/>
          <w:color w:val="auto"/>
        </w:rPr>
        <w:t>“GMP” means Good Manufacturing Practice as defined in 21 CFR Parts 210 and 211, and Parts 600 through 680.</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1.46</w:t>
      </w:r>
      <w:r>
        <w:rPr>
          <w:sz w:val="20"/>
          <w:szCs w:val="20"/>
          <w:color w:val="auto"/>
        </w:rPr>
        <w:tab/>
      </w:r>
      <w:r>
        <w:rPr>
          <w:rFonts w:ascii="Times New Roman" w:cs="Times New Roman" w:eastAsia="Times New Roman" w:hAnsi="Times New Roman"/>
          <w:sz w:val="13"/>
          <w:szCs w:val="13"/>
          <w:color w:val="auto"/>
        </w:rPr>
        <w:t>“IDE” means an Investigational Device Exemption Application filed with the FDA, as described under 21 CFR Part 812.</w:t>
      </w:r>
    </w:p>
    <w:p>
      <w:pPr>
        <w:spacing w:after="0" w:line="101" w:lineRule="exact"/>
        <w:rPr>
          <w:sz w:val="20"/>
          <w:szCs w:val="20"/>
          <w:color w:val="auto"/>
        </w:rPr>
      </w:pPr>
    </w:p>
    <w:p>
      <w:pPr>
        <w:ind w:left="1940" w:right="23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1.47</w:t>
      </w:r>
      <w:r>
        <w:rPr>
          <w:sz w:val="20"/>
          <w:szCs w:val="20"/>
          <w:color w:val="auto"/>
        </w:rPr>
        <w:tab/>
      </w:r>
      <w:r>
        <w:rPr>
          <w:rFonts w:ascii="Times New Roman" w:cs="Times New Roman" w:eastAsia="Times New Roman" w:hAnsi="Times New Roman"/>
          <w:sz w:val="14"/>
          <w:szCs w:val="14"/>
          <w:color w:val="auto"/>
        </w:rPr>
        <w:t>“Indication” means, (i) for the Janssen Drug, Hemolytic Disease of the Fetus and Newborn (HDFN) for which the Janssen Drug can be used to treat, monitor or prevent HDFN, and (ii) for a BTO CDx, identifying patients at risk for HDFN, in each case the use of which is the subject of a Clinical Trial or is otherwise specified in a Regulatory Approval and for which a BTO CDx is intended to be Developed and obtain Regulatory Approval under this Agreement.</w:t>
      </w:r>
    </w:p>
    <w:p>
      <w:pPr>
        <w:spacing w:after="0" w:line="66" w:lineRule="exact"/>
        <w:rPr>
          <w:sz w:val="20"/>
          <w:szCs w:val="20"/>
          <w:color w:val="auto"/>
        </w:rPr>
      </w:pPr>
    </w:p>
    <w:p>
      <w:pPr>
        <w:ind w:left="1940" w:right="31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1.48</w:t>
      </w:r>
      <w:r>
        <w:rPr>
          <w:sz w:val="20"/>
          <w:szCs w:val="20"/>
          <w:color w:val="auto"/>
        </w:rPr>
        <w:tab/>
      </w:r>
      <w:r>
        <w:rPr>
          <w:rFonts w:ascii="Times New Roman" w:cs="Times New Roman" w:eastAsia="Times New Roman" w:hAnsi="Times New Roman"/>
          <w:sz w:val="14"/>
          <w:szCs w:val="14"/>
          <w:color w:val="auto"/>
        </w:rPr>
        <w:t>“Intended Use” means the use of a BTO CDx to facilitate prescription, administration, or dosing of the Janssen Drug to a patient for the treatment of the Indication.</w:t>
      </w:r>
    </w:p>
    <w:p>
      <w:pPr>
        <w:spacing w:after="0" w:line="52" w:lineRule="exact"/>
        <w:rPr>
          <w:sz w:val="20"/>
          <w:szCs w:val="20"/>
          <w:color w:val="auto"/>
        </w:rPr>
      </w:pPr>
    </w:p>
    <w:p>
      <w:pPr>
        <w:ind w:left="1940" w:right="2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1.49</w:t>
      </w:r>
      <w:r>
        <w:rPr>
          <w:sz w:val="20"/>
          <w:szCs w:val="20"/>
          <w:color w:val="auto"/>
        </w:rPr>
        <w:tab/>
      </w:r>
      <w:r>
        <w:rPr>
          <w:rFonts w:ascii="Times New Roman" w:cs="Times New Roman" w:eastAsia="Times New Roman" w:hAnsi="Times New Roman"/>
          <w:sz w:val="14"/>
          <w:szCs w:val="14"/>
          <w:color w:val="auto"/>
        </w:rPr>
        <w:t>“Intellectual Property Rights” means a Party’s Patent Rights and/or Know-How Rights whether such rights are Controlled by a Party or generated during the Term and pursuant to this Agreement.</w:t>
      </w:r>
    </w:p>
    <w:p>
      <w:pPr>
        <w:spacing w:after="0" w:line="52" w:lineRule="exact"/>
        <w:rPr>
          <w:sz w:val="20"/>
          <w:szCs w:val="20"/>
          <w:color w:val="auto"/>
        </w:rPr>
      </w:pPr>
    </w:p>
    <w:p>
      <w:pPr>
        <w:ind w:left="1940" w:right="23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1.50</w:t>
      </w:r>
      <w:r>
        <w:rPr>
          <w:sz w:val="20"/>
          <w:szCs w:val="20"/>
          <w:color w:val="auto"/>
        </w:rPr>
        <w:tab/>
      </w:r>
      <w:r>
        <w:rPr>
          <w:rFonts w:ascii="Times New Roman" w:cs="Times New Roman" w:eastAsia="Times New Roman" w:hAnsi="Times New Roman"/>
          <w:sz w:val="14"/>
          <w:szCs w:val="14"/>
          <w:color w:val="auto"/>
        </w:rPr>
        <w:t>“In Vitro Diagnostic” or “IVD” means a product or service for in vitro testing of patient or subject specimens, or other biological materials, for use in the diagnosis or evaluation of a disease, including to identify any genomic alterations or signatures, or for the prediction or monitoring of a response to any therapeutic agent or other prognostic use, whether used for research, exploratory purposes, or as a clinical diagnostic. The term “IVDs” includes “Investigation Use Only” products, Companion Diagnostics, and other IVDs.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787" w:name="page788"/>
    <w:bookmarkEnd w:id="787"/>
    <w:p>
      <w:pPr>
        <w:ind w:left="1940" w:right="2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1.51</w:t>
      </w:r>
      <w:r>
        <w:rPr>
          <w:sz w:val="20"/>
          <w:szCs w:val="20"/>
          <w:color w:val="auto"/>
        </w:rPr>
        <w:tab/>
      </w:r>
      <w:r>
        <w:rPr>
          <w:rFonts w:ascii="Times New Roman" w:cs="Times New Roman" w:eastAsia="Times New Roman" w:hAnsi="Times New Roman"/>
          <w:sz w:val="14"/>
          <w:szCs w:val="14"/>
          <w:color w:val="auto"/>
        </w:rPr>
        <w:t>“Janssen Background Technology” means Technology Controlled by Janssen prior to the Effective Date and used in performance of this Agreement, but excluding Janssen Development Technology and Joint Development Technology. For purposes of this Agreement, Janssen Background Technology is deemed Janssen’s Confidential Information hereunder, subject to the exceptions specified in Section 12.2.</w:t>
      </w:r>
    </w:p>
    <w:p>
      <w:pPr>
        <w:spacing w:after="0" w:line="66" w:lineRule="exact"/>
        <w:rPr>
          <w:sz w:val="20"/>
          <w:szCs w:val="20"/>
          <w:color w:val="auto"/>
        </w:rPr>
      </w:pPr>
    </w:p>
    <w:p>
      <w:pPr>
        <w:ind w:left="1940" w:right="23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4"/>
          <w:szCs w:val="14"/>
          <w:color w:val="auto"/>
        </w:rPr>
        <w:t>“Janssen Data” means any and all (i) Clinical Data that is generated, compiled or acquired by either Party, its Affiliates, or its Third Party contractors during the Term and pursuant to this Agreement, (ii) Non-Clinical Trial Testing Data related to the Janssen Drug Controlled by Janssen or generated, compiled or acquired by Janssen, its Affiliates, or its Third Party contractors during the Term and pursuant to this Agreement, and (iii) Non-Clinical Trial Testing Data resulting from the bridging and concordance studies referenced in Section 14.4.2</w:t>
      </w:r>
    </w:p>
    <w:p>
      <w:pPr>
        <w:spacing w:after="0" w:line="69" w:lineRule="exact"/>
        <w:rPr>
          <w:sz w:val="20"/>
          <w:szCs w:val="20"/>
          <w:color w:val="auto"/>
        </w:rPr>
      </w:pPr>
    </w:p>
    <w:p>
      <w:pPr>
        <w:ind w:left="1940" w:right="379" w:hanging="597"/>
        <w:spacing w:after="0" w:line="281" w:lineRule="auto"/>
        <w:tabs>
          <w:tab w:leader="none" w:pos="192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3"/>
          <w:szCs w:val="13"/>
          <w:color w:val="auto"/>
        </w:rPr>
        <w:t>“Janssen Development Technology” means any Technology and related information conceived of or reduced to practice by either Party (including its Affiliates or Third Party contractors) pursuant to this Agreement and during its Term that</w:t>
      </w:r>
    </w:p>
    <w:p>
      <w:pPr>
        <w:ind w:left="1940" w:right="339" w:hanging="7"/>
        <w:spacing w:after="0" w:line="251" w:lineRule="auto"/>
        <w:tabs>
          <w:tab w:leader="none" w:pos="2107"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Janssen Confidential Information or Janssen Background Technology (and not BTO Confidential Information or BTO Background Technology), or was generated by use of Janssen Confidential Information or Janssen Background Technology (and not BTO Confidential Information or BTO Background Technology), or (ii) relates to or arises from (A) the Janssen Drug or use thereof, (B) the Clinical Trial or use of Clinical Samples, or (C) data mining activities concerning any or all of (A) and (B). Janssen Development Technology is deemed Janssen Confidential Information hereunder, subject to the exceptions specified in Section 12.2. For purposes of clarity, Janssen Development Technology includes diagnostic uses of assays to facilitate prescription, administration or dosing of the Janssen Drug without the use of BTO Background Technology, and BTO Development Technology.</w:t>
      </w:r>
    </w:p>
    <w:p>
      <w:pPr>
        <w:spacing w:after="0" w:line="76" w:lineRule="exact"/>
        <w:rPr>
          <w:sz w:val="20"/>
          <w:szCs w:val="20"/>
          <w:color w:val="auto"/>
        </w:rPr>
      </w:pPr>
    </w:p>
    <w:p>
      <w:pPr>
        <w:ind w:left="1940" w:right="55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4"/>
          <w:szCs w:val="14"/>
          <w:color w:val="auto"/>
        </w:rPr>
        <w:t>“Janssen Drug” means Nipocalimab (M281) and any combination of pharmaceutical products, or combination of pharmaceutical product(s) and delivery system(s), that constitutes, or contains, Nipocalimab (M281) for treatment or prevention of disease.</w:t>
      </w:r>
    </w:p>
    <w:p>
      <w:pPr>
        <w:spacing w:after="0" w:line="6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1.55</w:t>
      </w:r>
      <w:r>
        <w:rPr>
          <w:sz w:val="20"/>
          <w:szCs w:val="20"/>
          <w:color w:val="auto"/>
        </w:rPr>
        <w:tab/>
      </w:r>
      <w:r>
        <w:rPr>
          <w:rFonts w:ascii="Times New Roman" w:cs="Times New Roman" w:eastAsia="Times New Roman" w:hAnsi="Times New Roman"/>
          <w:sz w:val="13"/>
          <w:szCs w:val="13"/>
          <w:color w:val="auto"/>
        </w:rPr>
        <w:t>“Janssen Indemnitees” has the meaning set forth in Section 11.2.</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1.56</w:t>
      </w:r>
      <w:r>
        <w:rPr>
          <w:sz w:val="20"/>
          <w:szCs w:val="20"/>
          <w:color w:val="auto"/>
        </w:rPr>
        <w:tab/>
      </w:r>
      <w:r>
        <w:rPr>
          <w:rFonts w:ascii="Times New Roman" w:cs="Times New Roman" w:eastAsia="Times New Roman" w:hAnsi="Times New Roman"/>
          <w:sz w:val="13"/>
          <w:szCs w:val="13"/>
          <w:color w:val="auto"/>
        </w:rPr>
        <w:t>“Janssen Inventions” has the meaning set forth in Section 9.8.3.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788" w:name="page789"/>
    <w:bookmarkEnd w:id="788"/>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1.57</w:t>
      </w:r>
      <w:r>
        <w:rPr>
          <w:sz w:val="20"/>
          <w:szCs w:val="20"/>
          <w:color w:val="auto"/>
        </w:rPr>
        <w:tab/>
      </w:r>
      <w:r>
        <w:rPr>
          <w:rFonts w:ascii="Times New Roman" w:cs="Times New Roman" w:eastAsia="Times New Roman" w:hAnsi="Times New Roman"/>
          <w:sz w:val="13"/>
          <w:szCs w:val="13"/>
          <w:color w:val="auto"/>
        </w:rPr>
        <w:t>“Joint Commercial Committee” or “JCC” has the meaning set forth in Section 7.5.1.</w:t>
      </w:r>
    </w:p>
    <w:p>
      <w:pPr>
        <w:spacing w:after="0" w:line="101" w:lineRule="exact"/>
        <w:rPr>
          <w:sz w:val="20"/>
          <w:szCs w:val="20"/>
          <w:color w:val="auto"/>
        </w:rPr>
      </w:pPr>
    </w:p>
    <w:p>
      <w:pPr>
        <w:ind w:left="1940" w:right="29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4"/>
          <w:szCs w:val="14"/>
          <w:color w:val="auto"/>
        </w:rPr>
        <w:t>“Joint Data” means any Data generated during the Term and pursuant to this Agreement, other than Janssen Data or BTO Data.</w:t>
      </w:r>
    </w:p>
    <w:p>
      <w:pPr>
        <w:spacing w:after="0" w:line="52" w:lineRule="exact"/>
        <w:rPr>
          <w:sz w:val="20"/>
          <w:szCs w:val="20"/>
          <w:color w:val="auto"/>
        </w:rPr>
      </w:pPr>
    </w:p>
    <w:p>
      <w:pPr>
        <w:ind w:left="1940" w:right="23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1.59</w:t>
      </w:r>
      <w:r>
        <w:rPr>
          <w:sz w:val="20"/>
          <w:szCs w:val="20"/>
          <w:color w:val="auto"/>
        </w:rPr>
        <w:tab/>
      </w:r>
      <w:r>
        <w:rPr>
          <w:rFonts w:ascii="Times New Roman" w:cs="Times New Roman" w:eastAsia="Times New Roman" w:hAnsi="Times New Roman"/>
          <w:sz w:val="14"/>
          <w:szCs w:val="14"/>
          <w:color w:val="auto"/>
        </w:rPr>
        <w:t>“Joint Development Technology” means any Technology generated by either Party (including its Affiliates or Third Party contractors) during the Term and pursuant to this Agreement that is not BTO Development Technology, BTO Background Technology, Janssen Background Technology, or Janssen Development Technology. For purposes of clarity, Joint Development Technology excludes diagnostic, screening, and other uses of assays to facilitate prescription, administration or dosing of drugs other than the Janssen Drug for the Indication, developed without the use of BTO Development Technology, BTO Background Technology, Janssen Background Technology, or Janssen Development Technology. Joint Development Technology is deemed the Confidential Information of each and both Parties, subject to the exceptions specified in Section 12.2 and subject to the rights specified in Section 9.1.3.</w:t>
      </w:r>
    </w:p>
    <w:p>
      <w:pPr>
        <w:spacing w:after="0" w:line="75"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1.60</w:t>
      </w:r>
      <w:r>
        <w:rPr>
          <w:sz w:val="20"/>
          <w:szCs w:val="20"/>
          <w:color w:val="auto"/>
        </w:rPr>
        <w:tab/>
      </w:r>
      <w:r>
        <w:rPr>
          <w:rFonts w:ascii="Times New Roman" w:cs="Times New Roman" w:eastAsia="Times New Roman" w:hAnsi="Times New Roman"/>
          <w:sz w:val="13"/>
          <w:szCs w:val="13"/>
          <w:color w:val="auto"/>
        </w:rPr>
        <w:t>“Joint Patent Right(s)” has the meaning set forth in Section 9.8.5.</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3"/>
          <w:szCs w:val="13"/>
          <w:color w:val="auto"/>
        </w:rPr>
        <w:t>“Joint Project Team” or “JPT” has the meaning set forth in Section 7.4.1.</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“Joint Steering Committee” or “JSC” has the meaning set forth in Section 7.1.</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“JPT Leads” has the meaning set forth in Section 7.4.1.</w:t>
      </w:r>
    </w:p>
    <w:p>
      <w:pPr>
        <w:spacing w:after="0" w:line="101" w:lineRule="exact"/>
        <w:rPr>
          <w:sz w:val="20"/>
          <w:szCs w:val="20"/>
          <w:color w:val="auto"/>
        </w:rPr>
      </w:pPr>
    </w:p>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4"/>
          <w:szCs w:val="14"/>
          <w:color w:val="auto"/>
        </w:rPr>
        <w:t>“Know-How” means any non-public technical, scientific or business information, practices, test and other procedures, processes, methods, know-how, techniques (including synthesis, purification and isolation techniques), designs and other knowledge, skills and materials, in written, electronic or other form, now known or hereafter developed, whether or not patentable or copyrightable, but in all cases excluding any patents.</w:t>
      </w:r>
    </w:p>
    <w:p>
      <w:pPr>
        <w:spacing w:after="0" w:line="66" w:lineRule="exact"/>
        <w:rPr>
          <w:sz w:val="20"/>
          <w:szCs w:val="20"/>
          <w:color w:val="auto"/>
        </w:rPr>
      </w:pPr>
    </w:p>
    <w:p>
      <w:pPr>
        <w:ind w:left="1940" w:right="31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4"/>
          <w:szCs w:val="14"/>
          <w:color w:val="auto"/>
        </w:rPr>
        <w:t>“Know-How Rights” means a right to unpatented Technology under either the common law or the statutory protection of any county.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789" w:name="page790"/>
    <w:bookmarkEnd w:id="789"/>
    <w:p>
      <w:pPr>
        <w:ind w:left="1940" w:right="23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1.66</w:t>
      </w:r>
      <w:r>
        <w:rPr>
          <w:sz w:val="20"/>
          <w:szCs w:val="20"/>
          <w:color w:val="auto"/>
        </w:rPr>
        <w:tab/>
      </w:r>
      <w:r>
        <w:rPr>
          <w:rFonts w:ascii="Times New Roman" w:cs="Times New Roman" w:eastAsia="Times New Roman" w:hAnsi="Times New Roman"/>
          <w:sz w:val="14"/>
          <w:szCs w:val="14"/>
          <w:color w:val="auto"/>
        </w:rPr>
        <w:t>“Labeling” or “Label(s)” means, with respect to any product that is a BTO CDx or Janssen Drug, all written, printed or graphic matter (1) upon such product or any of its containers or wrappers, or (2) accompanying such product at any time while such product is held for sale after shipment or delivery for shipment in interstate commerce as required by the applicable Regulatory Authority in the Territory of Commercialization to the extent that such material specifically relates to the BTO CDx and to the extent relating to the safety, efficacy or intended use of the Janssen Drug or the interpretation of Data generated in the conduct of Clinical Trials concerning the Janssen Drug and as otherwise necessary for Commercialization of the BTO CDx. The term ‘accompanying’ is interpreted liberally to mean more than physical association with the product. It extends to posters, tags, pamphlets, circulars, booklets, brochures, instruction books, direction sheets, fillers, etc. The term ‘accompanying’ also includes such written, printed or graphic matter that is brought together with the product after shipment or delivery for shipment in interstate commerce and includes promotional and educational materials (any written, audio, or visual materials, in any media, provided or used for purposes of promoting or marketing the BTO CDx or the Janssen Drug, or educating or training potential customers or users of a BTO CDx or Janssen Drug).</w:t>
      </w:r>
    </w:p>
    <w:p>
      <w:pPr>
        <w:spacing w:after="0" w:line="80" w:lineRule="exact"/>
        <w:rPr>
          <w:sz w:val="20"/>
          <w:szCs w:val="20"/>
          <w:color w:val="auto"/>
        </w:rPr>
      </w:pPr>
    </w:p>
    <w:p>
      <w:pPr>
        <w:ind w:left="1940" w:right="51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1.67</w:t>
      </w:r>
      <w:r>
        <w:rPr>
          <w:sz w:val="20"/>
          <w:szCs w:val="20"/>
          <w:color w:val="auto"/>
        </w:rPr>
        <w:tab/>
      </w:r>
      <w:r>
        <w:rPr>
          <w:rFonts w:ascii="Times New Roman" w:cs="Times New Roman" w:eastAsia="Times New Roman" w:hAnsi="Times New Roman"/>
          <w:sz w:val="14"/>
          <w:szCs w:val="14"/>
          <w:color w:val="auto"/>
        </w:rPr>
        <w:t>“Losses” means liabilities, damages, penalties, fines, expenses and/or losses, including reasonable legal expenses and attorneys’ fees.</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1.68</w:t>
      </w:r>
      <w:r>
        <w:rPr>
          <w:sz w:val="20"/>
          <w:szCs w:val="20"/>
          <w:color w:val="auto"/>
        </w:rPr>
        <w:tab/>
      </w:r>
      <w:r>
        <w:rPr>
          <w:rFonts w:ascii="Times New Roman" w:cs="Times New Roman" w:eastAsia="Times New Roman" w:hAnsi="Times New Roman"/>
          <w:sz w:val="13"/>
          <w:szCs w:val="13"/>
          <w:color w:val="auto"/>
        </w:rPr>
        <w:t>“Materials” has the meaning set forth in Section 2.4.1.</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1.69</w:t>
      </w:r>
      <w:r>
        <w:rPr>
          <w:sz w:val="20"/>
          <w:szCs w:val="20"/>
          <w:color w:val="auto"/>
        </w:rPr>
        <w:tab/>
      </w:r>
      <w:r>
        <w:rPr>
          <w:rFonts w:ascii="Times New Roman" w:cs="Times New Roman" w:eastAsia="Times New Roman" w:hAnsi="Times New Roman"/>
          <w:sz w:val="13"/>
          <w:szCs w:val="13"/>
          <w:color w:val="auto"/>
        </w:rPr>
        <w:t>“MDR” shall have the meaning ascribed to it in Section 3.3.</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1.70</w:t>
      </w:r>
      <w:r>
        <w:rPr>
          <w:sz w:val="20"/>
          <w:szCs w:val="20"/>
          <w:color w:val="auto"/>
        </w:rPr>
        <w:tab/>
      </w:r>
      <w:r>
        <w:rPr>
          <w:rFonts w:ascii="Times New Roman" w:cs="Times New Roman" w:eastAsia="Times New Roman" w:hAnsi="Times New Roman"/>
          <w:sz w:val="13"/>
          <w:szCs w:val="13"/>
          <w:color w:val="auto"/>
        </w:rPr>
        <w:t>“Milestone” shall have the meaning ascribed to it in Exhibit 1.36.</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1.71</w:t>
      </w:r>
      <w:r>
        <w:rPr>
          <w:sz w:val="20"/>
          <w:szCs w:val="20"/>
          <w:color w:val="auto"/>
        </w:rPr>
        <w:tab/>
      </w:r>
      <w:r>
        <w:rPr>
          <w:rFonts w:ascii="Times New Roman" w:cs="Times New Roman" w:eastAsia="Times New Roman" w:hAnsi="Times New Roman"/>
          <w:sz w:val="13"/>
          <w:szCs w:val="13"/>
          <w:color w:val="auto"/>
        </w:rPr>
        <w:t>“Milestone Event” shall have the meaning ascribed to it in Exhibit 1.36.</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3"/>
          <w:szCs w:val="13"/>
          <w:color w:val="auto"/>
        </w:rPr>
        <w:t>“Milestone Payment” shall have the meaning ascribed to it in Exhibit 1.36.</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1.73</w:t>
      </w:r>
      <w:r>
        <w:rPr>
          <w:sz w:val="20"/>
          <w:szCs w:val="20"/>
          <w:color w:val="auto"/>
        </w:rPr>
        <w:tab/>
      </w:r>
      <w:r>
        <w:rPr>
          <w:rFonts w:ascii="Times New Roman" w:cs="Times New Roman" w:eastAsia="Times New Roman" w:hAnsi="Times New Roman"/>
          <w:sz w:val="13"/>
          <w:szCs w:val="13"/>
          <w:color w:val="auto"/>
        </w:rPr>
        <w:t>“Non-Breaching Party” has the meaning set for in Section 13.2.2.</w:t>
      </w:r>
    </w:p>
    <w:p>
      <w:pPr>
        <w:spacing w:after="0" w:line="101" w:lineRule="exact"/>
        <w:rPr>
          <w:sz w:val="20"/>
          <w:szCs w:val="20"/>
          <w:color w:val="auto"/>
        </w:rPr>
      </w:pPr>
    </w:p>
    <w:p>
      <w:pPr>
        <w:ind w:left="1940" w:right="4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1.74</w:t>
      </w:r>
      <w:r>
        <w:rPr>
          <w:sz w:val="20"/>
          <w:szCs w:val="20"/>
          <w:color w:val="auto"/>
        </w:rPr>
        <w:tab/>
      </w:r>
      <w:r>
        <w:rPr>
          <w:rFonts w:ascii="Times New Roman" w:cs="Times New Roman" w:eastAsia="Times New Roman" w:hAnsi="Times New Roman"/>
          <w:sz w:val="14"/>
          <w:szCs w:val="14"/>
          <w:color w:val="auto"/>
        </w:rPr>
        <w:t>“Non-Clinical Trial Samples” means patient samples acquired from sources other than patient samples from a Clinical Trial.</w:t>
      </w:r>
    </w:p>
    <w:p>
      <w:pPr>
        <w:spacing w:after="0" w:line="52" w:lineRule="exact"/>
        <w:rPr>
          <w:sz w:val="20"/>
          <w:szCs w:val="20"/>
          <w:color w:val="auto"/>
        </w:rPr>
      </w:pPr>
    </w:p>
    <w:p>
      <w:pPr>
        <w:ind w:left="1940" w:right="35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1.75</w:t>
      </w:r>
      <w:r>
        <w:rPr>
          <w:sz w:val="20"/>
          <w:szCs w:val="20"/>
          <w:color w:val="auto"/>
        </w:rPr>
        <w:tab/>
      </w:r>
      <w:r>
        <w:rPr>
          <w:rFonts w:ascii="Times New Roman" w:cs="Times New Roman" w:eastAsia="Times New Roman" w:hAnsi="Times New Roman"/>
          <w:sz w:val="14"/>
          <w:szCs w:val="14"/>
          <w:color w:val="auto"/>
        </w:rPr>
        <w:t>“Non-Clinical Trial Testing Data” means Data generated, acquired or obtained by the use of Non-Clinical Trial Samples with a BTO Assay. For purposes of clarity, Non-Clinical Trial Testing Data excludes Clinical Data and Analytical Validation Data.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2" w:right="1440" w:bottom="1440" w:gutter="0" w:footer="0" w:header="0"/>
        </w:sectPr>
      </w:pPr>
    </w:p>
    <w:bookmarkStart w:id="790" w:name="page791"/>
    <w:bookmarkEnd w:id="790"/>
    <w:p>
      <w:pPr>
        <w:ind w:left="1940" w:right="27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1.76</w:t>
      </w:r>
      <w:r>
        <w:rPr>
          <w:sz w:val="20"/>
          <w:szCs w:val="20"/>
          <w:color w:val="auto"/>
        </w:rPr>
        <w:tab/>
      </w:r>
      <w:r>
        <w:rPr>
          <w:rFonts w:ascii="Times New Roman" w:cs="Times New Roman" w:eastAsia="Times New Roman" w:hAnsi="Times New Roman"/>
          <w:sz w:val="14"/>
          <w:szCs w:val="14"/>
          <w:color w:val="auto"/>
        </w:rPr>
        <w:t>“Patent Right” means a Party’s rights to its Technology under any and all (i) patents, (ii) pending patent applications, including all provisional applications, substitutions, continuations, continuations-in-part, divisionals, renewals, and all patents granted thereon, (iii) all patents-of-addition, reissues, reexaminations and extensions or restorations by existing or future extension or restoration mechanisms, including patent term extensions, supplementary protection certificates or the equivalent thereof, and (iv) all foreign counterparts of any of the foregoing.</w:t>
      </w:r>
    </w:p>
    <w:p>
      <w:pPr>
        <w:spacing w:after="0" w:line="69" w:lineRule="exact"/>
        <w:rPr>
          <w:sz w:val="20"/>
          <w:szCs w:val="20"/>
          <w:color w:val="auto"/>
        </w:rPr>
      </w:pPr>
    </w:p>
    <w:p>
      <w:pPr>
        <w:ind w:left="1940" w:right="33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1.77</w:t>
      </w:r>
      <w:r>
        <w:rPr>
          <w:sz w:val="20"/>
          <w:szCs w:val="20"/>
          <w:color w:val="auto"/>
        </w:rPr>
        <w:tab/>
      </w:r>
      <w:r>
        <w:rPr>
          <w:rFonts w:ascii="Times New Roman" w:cs="Times New Roman" w:eastAsia="Times New Roman" w:hAnsi="Times New Roman"/>
          <w:sz w:val="14"/>
          <w:szCs w:val="14"/>
          <w:color w:val="auto"/>
        </w:rPr>
        <w:t>“Person” means any natural person, entity, corporation, unincorporated organization, partnership, association, joint stock company, joint venture, limited liability company, trust or government, or any agency or political subdivision of any government, or any other entity.</w:t>
      </w:r>
    </w:p>
    <w:p>
      <w:pPr>
        <w:spacing w:after="0" w:line="6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1.78</w:t>
      </w:r>
      <w:r>
        <w:rPr>
          <w:sz w:val="20"/>
          <w:szCs w:val="20"/>
          <w:color w:val="auto"/>
        </w:rPr>
        <w:tab/>
      </w:r>
      <w:r>
        <w:rPr>
          <w:rFonts w:ascii="Times New Roman" w:cs="Times New Roman" w:eastAsia="Times New Roman" w:hAnsi="Times New Roman"/>
          <w:sz w:val="13"/>
          <w:szCs w:val="13"/>
          <w:color w:val="auto"/>
        </w:rPr>
        <w:t>“Personal Data” has the meaning set forth in Section 2.4.3.</w:t>
      </w:r>
    </w:p>
    <w:p>
      <w:pPr>
        <w:spacing w:after="0" w:line="101" w:lineRule="exact"/>
        <w:rPr>
          <w:sz w:val="20"/>
          <w:szCs w:val="20"/>
          <w:color w:val="auto"/>
        </w:rPr>
      </w:pPr>
    </w:p>
    <w:p>
      <w:pPr>
        <w:ind w:left="1940" w:right="2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1.79</w:t>
      </w:r>
      <w:r>
        <w:rPr>
          <w:sz w:val="20"/>
          <w:szCs w:val="20"/>
          <w:color w:val="auto"/>
        </w:rPr>
        <w:tab/>
      </w:r>
      <w:r>
        <w:rPr>
          <w:rFonts w:ascii="Times New Roman" w:cs="Times New Roman" w:eastAsia="Times New Roman" w:hAnsi="Times New Roman"/>
          <w:sz w:val="14"/>
          <w:szCs w:val="14"/>
          <w:color w:val="auto"/>
        </w:rPr>
        <w:t>“Regulatory Submission” means any submission filed by BTO to the FDA seeking Regulatory Approval for marketing of the BTO CDx in the United States as will be included in Exhibit 1.36: Development Plan. The Regulatory Submission may be a Premarket Approval application, as defined in 21 CFR Part 814 or a De Novo 510K request as defined in 21 CFR 860.</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1.80</w:t>
      </w:r>
      <w:r>
        <w:rPr>
          <w:sz w:val="20"/>
          <w:szCs w:val="20"/>
          <w:color w:val="auto"/>
        </w:rPr>
        <w:tab/>
      </w:r>
      <w:r>
        <w:rPr>
          <w:rFonts w:ascii="Times New Roman" w:cs="Times New Roman" w:eastAsia="Times New Roman" w:hAnsi="Times New Roman"/>
          <w:sz w:val="13"/>
          <w:szCs w:val="13"/>
          <w:color w:val="auto"/>
        </w:rPr>
        <w:t>“Project Manager” has the meaning set forth in Section 7.4.1.</w:t>
      </w:r>
    </w:p>
    <w:p>
      <w:pPr>
        <w:spacing w:after="0" w:line="101" w:lineRule="exact"/>
        <w:rPr>
          <w:sz w:val="20"/>
          <w:szCs w:val="20"/>
          <w:color w:val="auto"/>
        </w:rPr>
      </w:pPr>
    </w:p>
    <w:p>
      <w:pPr>
        <w:ind w:left="1940" w:right="4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1.81</w:t>
      </w:r>
      <w:r>
        <w:rPr>
          <w:sz w:val="20"/>
          <w:szCs w:val="20"/>
          <w:color w:val="auto"/>
        </w:rPr>
        <w:tab/>
      </w:r>
      <w:r>
        <w:rPr>
          <w:rFonts w:ascii="Times New Roman" w:cs="Times New Roman" w:eastAsia="Times New Roman" w:hAnsi="Times New Roman"/>
          <w:sz w:val="14"/>
          <w:szCs w:val="14"/>
          <w:color w:val="auto"/>
        </w:rPr>
        <w:t>“QSR” means the applicable FDA Quality System Regulations (21 CFR Part 820), as the same may be amended from time to time, and comparable regulations for other Regulatory Authorities.</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1.82</w:t>
      </w:r>
      <w:r>
        <w:rPr>
          <w:sz w:val="20"/>
          <w:szCs w:val="20"/>
          <w:color w:val="auto"/>
        </w:rPr>
        <w:tab/>
      </w:r>
      <w:r>
        <w:rPr>
          <w:rFonts w:ascii="Times New Roman" w:cs="Times New Roman" w:eastAsia="Times New Roman" w:hAnsi="Times New Roman"/>
          <w:sz w:val="13"/>
          <w:szCs w:val="13"/>
          <w:color w:val="auto"/>
        </w:rPr>
        <w:t>“Receiving Party” has the meaning set forth in Section 12.1.</w:t>
      </w:r>
    </w:p>
    <w:p>
      <w:pPr>
        <w:spacing w:after="0" w:line="101" w:lineRule="exact"/>
        <w:rPr>
          <w:sz w:val="20"/>
          <w:szCs w:val="20"/>
          <w:color w:val="auto"/>
        </w:rPr>
      </w:pPr>
    </w:p>
    <w:p>
      <w:pPr>
        <w:ind w:left="1940" w:right="25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1.83</w:t>
      </w:r>
      <w:r>
        <w:rPr>
          <w:sz w:val="20"/>
          <w:szCs w:val="20"/>
          <w:color w:val="auto"/>
        </w:rPr>
        <w:tab/>
      </w:r>
      <w:r>
        <w:rPr>
          <w:rFonts w:ascii="Times New Roman" w:cs="Times New Roman" w:eastAsia="Times New Roman" w:hAnsi="Times New Roman"/>
          <w:sz w:val="14"/>
          <w:szCs w:val="14"/>
          <w:color w:val="auto"/>
        </w:rPr>
        <w:t>“Regulatory Approval” means and includes all licenses, permits, authorizations, clearances and approvals of (including, if required for sale in any country, pricing approval), and all registrations, filings and other notifications to any Regulatory Authority, governmental agency or department within the Territory (including applications therefor) necessary for the performance of the Development Plan in accordance with Applicable Law. This includes Regulatory Approval of (i) the BTO CDx , and (ii) for Commercialization of the Janssen Drug for the Indication.</w:t>
      </w:r>
    </w:p>
    <w:p>
      <w:pPr>
        <w:spacing w:after="0" w:line="69" w:lineRule="exact"/>
        <w:rPr>
          <w:sz w:val="20"/>
          <w:szCs w:val="20"/>
          <w:color w:val="auto"/>
        </w:rPr>
      </w:pPr>
    </w:p>
    <w:p>
      <w:pPr>
        <w:ind w:left="1940" w:right="23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1.84</w:t>
      </w:r>
      <w:r>
        <w:rPr>
          <w:sz w:val="20"/>
          <w:szCs w:val="20"/>
          <w:color w:val="auto"/>
        </w:rPr>
        <w:tab/>
      </w:r>
      <w:r>
        <w:rPr>
          <w:rFonts w:ascii="Times New Roman" w:cs="Times New Roman" w:eastAsia="Times New Roman" w:hAnsi="Times New Roman"/>
          <w:sz w:val="14"/>
          <w:szCs w:val="14"/>
          <w:color w:val="auto"/>
        </w:rPr>
        <w:t>“Regulatory Authority” means any national, supra-national, regional, state or local regulatory agency, department, bureau, commission, council or other governmental entity in the Territory involved in the reviewing, granting or revoking of Regulatory Approvals for IVDs or Janssen Drugs or otherwise enforcing the requirements to which such Regulatory Approvals are subject and with respect to the United States, means the FDA.</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791" w:name="page792"/>
    <w:bookmarkEnd w:id="791"/>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1.85</w:t>
      </w:r>
      <w:r>
        <w:rPr>
          <w:sz w:val="20"/>
          <w:szCs w:val="20"/>
          <w:color w:val="auto"/>
        </w:rPr>
        <w:tab/>
      </w:r>
      <w:r>
        <w:rPr>
          <w:rFonts w:ascii="Times New Roman" w:cs="Times New Roman" w:eastAsia="Times New Roman" w:hAnsi="Times New Roman"/>
          <w:sz w:val="13"/>
          <w:szCs w:val="13"/>
          <w:color w:val="auto"/>
        </w:rPr>
        <w:t>“Regulatory Leader” has the meaning set forth in Section 7.4.1.</w:t>
      </w:r>
    </w:p>
    <w:p>
      <w:pPr>
        <w:spacing w:after="0" w:line="101" w:lineRule="exact"/>
        <w:rPr>
          <w:sz w:val="20"/>
          <w:szCs w:val="20"/>
          <w:color w:val="auto"/>
        </w:rPr>
      </w:pPr>
    </w:p>
    <w:p>
      <w:pPr>
        <w:ind w:left="1940" w:right="3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1.86</w:t>
      </w:r>
      <w:r>
        <w:rPr>
          <w:sz w:val="20"/>
          <w:szCs w:val="20"/>
          <w:color w:val="auto"/>
        </w:rPr>
        <w:tab/>
      </w:r>
      <w:r>
        <w:rPr>
          <w:rFonts w:ascii="Times New Roman" w:cs="Times New Roman" w:eastAsia="Times New Roman" w:hAnsi="Times New Roman"/>
          <w:sz w:val="14"/>
          <w:szCs w:val="14"/>
          <w:color w:val="auto"/>
        </w:rPr>
        <w:t>“Samples” means biological material obtained from a human subject, including Clinical Samples and Non-Clinical Trial Samples, to be used in a BTO Assay to detect a Biomarker.</w:t>
      </w:r>
    </w:p>
    <w:p>
      <w:pPr>
        <w:spacing w:after="0" w:line="52" w:lineRule="exact"/>
        <w:rPr>
          <w:sz w:val="20"/>
          <w:szCs w:val="20"/>
          <w:color w:val="auto"/>
        </w:rPr>
      </w:pPr>
    </w:p>
    <w:p>
      <w:pPr>
        <w:jc w:val="both"/>
        <w:ind w:left="1940" w:right="23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1.87</w:t>
      </w:r>
      <w:r>
        <w:rPr>
          <w:sz w:val="20"/>
          <w:szCs w:val="20"/>
          <w:color w:val="auto"/>
        </w:rPr>
        <w:tab/>
      </w:r>
      <w:r>
        <w:rPr>
          <w:rFonts w:ascii="Times New Roman" w:cs="Times New Roman" w:eastAsia="Times New Roman" w:hAnsi="Times New Roman"/>
          <w:sz w:val="14"/>
          <w:szCs w:val="14"/>
          <w:color w:val="auto"/>
        </w:rPr>
        <w:t>“Sponsor” means a Person who takes responsibility for and initiates a clinical investigation or who takes responsibility for a Regulatory Submission. By way of example Janssen is the Sponsor for the Clinical Trial and BTO is the Sponsor for the IDE.</w:t>
      </w:r>
    </w:p>
    <w:p>
      <w:pPr>
        <w:spacing w:after="0" w:line="63" w:lineRule="exact"/>
        <w:rPr>
          <w:sz w:val="20"/>
          <w:szCs w:val="20"/>
          <w:color w:val="auto"/>
        </w:rPr>
      </w:pPr>
    </w:p>
    <w:p>
      <w:pPr>
        <w:ind w:left="1940" w:right="4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1.88</w:t>
      </w:r>
      <w:r>
        <w:rPr>
          <w:sz w:val="20"/>
          <w:szCs w:val="20"/>
          <w:color w:val="auto"/>
        </w:rPr>
        <w:tab/>
      </w:r>
      <w:r>
        <w:rPr>
          <w:rFonts w:ascii="Times New Roman" w:cs="Times New Roman" w:eastAsia="Times New Roman" w:hAnsi="Times New Roman"/>
          <w:sz w:val="14"/>
          <w:szCs w:val="14"/>
          <w:color w:val="auto"/>
        </w:rPr>
        <w:t>“Tax” or “Taxes” means any present or future taxes, levies, imposts, duties, charges, assessments or fees of any nature (including any interest thereon).</w:t>
      </w:r>
    </w:p>
    <w:p>
      <w:pPr>
        <w:spacing w:after="0" w:line="52" w:lineRule="exact"/>
        <w:rPr>
          <w:sz w:val="20"/>
          <w:szCs w:val="20"/>
          <w:color w:val="auto"/>
        </w:rPr>
      </w:pPr>
    </w:p>
    <w:p>
      <w:pPr>
        <w:ind w:left="1940" w:right="35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1.89</w:t>
      </w:r>
      <w:r>
        <w:rPr>
          <w:sz w:val="20"/>
          <w:szCs w:val="20"/>
          <w:color w:val="auto"/>
        </w:rPr>
        <w:tab/>
      </w:r>
      <w:r>
        <w:rPr>
          <w:rFonts w:ascii="Times New Roman" w:cs="Times New Roman" w:eastAsia="Times New Roman" w:hAnsi="Times New Roman"/>
          <w:sz w:val="14"/>
          <w:szCs w:val="14"/>
          <w:color w:val="auto"/>
        </w:rPr>
        <w:t>“Technology” means any process, machine, article of manufacture, composition of matter, concepts and methods, that is Controlled by a Party or generated pursuant to this Agreement. Examples of Technology include but are not limited to Know-How (including trade secrets), as well as concepts, discoveries, formulae, ideas, inventions, improvements, materials, reagents, assays, research plans, assay development and manufacturing procedures.</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1.90</w:t>
      </w:r>
      <w:r>
        <w:rPr>
          <w:sz w:val="20"/>
          <w:szCs w:val="20"/>
          <w:color w:val="auto"/>
        </w:rPr>
        <w:tab/>
      </w:r>
      <w:r>
        <w:rPr>
          <w:rFonts w:ascii="Times New Roman" w:cs="Times New Roman" w:eastAsia="Times New Roman" w:hAnsi="Times New Roman"/>
          <w:sz w:val="13"/>
          <w:szCs w:val="13"/>
          <w:color w:val="auto"/>
        </w:rPr>
        <w:t>“Term” means the term of this Agreement, as set forth in Section 13.1.</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3"/>
          <w:szCs w:val="13"/>
          <w:color w:val="auto"/>
        </w:rPr>
        <w:t>“Territory” means the United States of America and its territories and possessions.</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1.92</w:t>
      </w:r>
      <w:r>
        <w:rPr>
          <w:sz w:val="20"/>
          <w:szCs w:val="20"/>
          <w:color w:val="auto"/>
        </w:rPr>
        <w:tab/>
      </w:r>
      <w:r>
        <w:rPr>
          <w:rFonts w:ascii="Times New Roman" w:cs="Times New Roman" w:eastAsia="Times New Roman" w:hAnsi="Times New Roman"/>
          <w:sz w:val="13"/>
          <w:szCs w:val="13"/>
          <w:color w:val="auto"/>
        </w:rPr>
        <w:t>“Third Party” means any Person other than Janssen or BTO (or their respective Affiliates).</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1.93</w:t>
      </w:r>
      <w:r>
        <w:rPr>
          <w:sz w:val="20"/>
          <w:szCs w:val="20"/>
          <w:color w:val="auto"/>
        </w:rPr>
        <w:tab/>
      </w:r>
      <w:r>
        <w:rPr>
          <w:rFonts w:ascii="Times New Roman" w:cs="Times New Roman" w:eastAsia="Times New Roman" w:hAnsi="Times New Roman"/>
          <w:sz w:val="13"/>
          <w:szCs w:val="13"/>
          <w:color w:val="auto"/>
        </w:rPr>
        <w:t>“Third Party Claims” has the meaning set forth in Section 11.1.</w:t>
      </w:r>
    </w:p>
    <w:p>
      <w:pPr>
        <w:spacing w:after="0" w:line="101" w:lineRule="exact"/>
        <w:rPr>
          <w:sz w:val="20"/>
          <w:szCs w:val="20"/>
          <w:color w:val="auto"/>
        </w:rPr>
      </w:pPr>
    </w:p>
    <w:p>
      <w:pPr>
        <w:ind w:left="1940" w:right="27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1.94</w:t>
      </w:r>
      <w:r>
        <w:rPr>
          <w:sz w:val="20"/>
          <w:szCs w:val="20"/>
          <w:color w:val="auto"/>
        </w:rPr>
        <w:tab/>
      </w:r>
      <w:r>
        <w:rPr>
          <w:rFonts w:ascii="Times New Roman" w:cs="Times New Roman" w:eastAsia="Times New Roman" w:hAnsi="Times New Roman"/>
          <w:sz w:val="14"/>
          <w:szCs w:val="14"/>
          <w:color w:val="auto"/>
        </w:rPr>
        <w:t>“Trademarks” means all registered and unregistered trademarks (including all common law rights thereto), service marks, trade names, brand names, logos, taglines, slogans, certification marks, Internet domain names, trade dress, corporate names, business names and other indicia of origin, together with the goodwill associated with any of the foregoing and all applications, registrations, extensions and renewals thereof throughout the world, and all rights therein provided by international treaties and conventions.</w:t>
      </w:r>
    </w:p>
    <w:p>
      <w:pPr>
        <w:spacing w:after="0" w:line="69"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1.95</w:t>
      </w:r>
      <w:r>
        <w:rPr>
          <w:sz w:val="20"/>
          <w:szCs w:val="20"/>
          <w:color w:val="auto"/>
        </w:rPr>
        <w:tab/>
      </w:r>
      <w:r>
        <w:rPr>
          <w:rFonts w:ascii="Times New Roman" w:cs="Times New Roman" w:eastAsia="Times New Roman" w:hAnsi="Times New Roman"/>
          <w:sz w:val="13"/>
          <w:szCs w:val="13"/>
          <w:color w:val="auto"/>
        </w:rPr>
        <w:t>“Unpaid Amounts” has the meaning set forth in Section 13.3.1(b)(i).</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1.96</w:t>
      </w:r>
      <w:r>
        <w:rPr>
          <w:sz w:val="20"/>
          <w:szCs w:val="20"/>
          <w:color w:val="auto"/>
        </w:rPr>
        <w:tab/>
      </w:r>
      <w:r>
        <w:rPr>
          <w:rFonts w:ascii="Times New Roman" w:cs="Times New Roman" w:eastAsia="Times New Roman" w:hAnsi="Times New Roman"/>
          <w:sz w:val="13"/>
          <w:szCs w:val="13"/>
          <w:color w:val="auto"/>
        </w:rPr>
        <w:t>“USD” means the official currency of the United States of America, US Dollars ($).</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792" w:name="page793"/>
    <w:bookmarkEnd w:id="792"/>
    <w:p>
      <w:pPr>
        <w:ind w:left="8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Defined terms may be used in the singular or plural as appropriate to the context.</w:t>
      </w:r>
    </w:p>
    <w:p>
      <w:pPr>
        <w:spacing w:after="0" w:line="288" w:lineRule="exact"/>
        <w:rPr>
          <w:sz w:val="20"/>
          <w:szCs w:val="20"/>
          <w:color w:val="auto"/>
        </w:rPr>
      </w:pPr>
    </w:p>
    <w:p>
      <w:pPr>
        <w:ind w:left="820" w:hanging="597"/>
        <w:spacing w:after="0"/>
        <w:tabs>
          <w:tab w:leader="none" w:pos="820" w:val="left"/>
        </w:tabs>
        <w:numPr>
          <w:ilvl w:val="0"/>
          <w:numId w:val="5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BTO CDx DEVELOPMENT</w:t>
      </w:r>
    </w:p>
    <w:p>
      <w:pPr>
        <w:spacing w:after="0" w:line="103" w:lineRule="exact"/>
        <w:rPr>
          <w:sz w:val="20"/>
          <w:szCs w:val="20"/>
          <w:color w:val="auto"/>
        </w:rPr>
      </w:pPr>
    </w:p>
    <w:p>
      <w:pPr>
        <w:ind w:left="1940" w:right="539" w:hanging="597"/>
        <w:spacing w:after="0" w:line="296" w:lineRule="auto"/>
        <w:tabs>
          <w:tab w:leader="none" w:pos="192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u w:val="single" w:color="auto"/>
          <w:color w:val="auto"/>
        </w:rPr>
        <w:t>Overview</w:t>
      </w:r>
      <w:r>
        <w:rPr>
          <w:rFonts w:ascii="Times New Roman" w:cs="Times New Roman" w:eastAsia="Times New Roman" w:hAnsi="Times New Roman"/>
          <w:sz w:val="13"/>
          <w:szCs w:val="13"/>
          <w:color w:val="auto"/>
        </w:rPr>
        <w:t>. The Parties desire to: (i) undertake the Development of the BTO CDx: and (ii) to Commercialize the BTO</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CDx. For the avoidance of doubt, Janssen shall have the sole and exclusive responsibility for and right, at its sole discretion and authority, to design, develop, obtain Regulatory Approval for, and Commercialize the Janssen Drug.</w:t>
      </w:r>
    </w:p>
    <w:p>
      <w:pPr>
        <w:spacing w:after="0" w:line="45" w:lineRule="exact"/>
        <w:rPr>
          <w:sz w:val="20"/>
          <w:szCs w:val="20"/>
          <w:color w:val="auto"/>
        </w:rPr>
      </w:pPr>
    </w:p>
    <w:p>
      <w:pPr>
        <w:jc w:val="center"/>
        <w:ind w:right="-800"/>
        <w:spacing w:after="0"/>
        <w:tabs>
          <w:tab w:leader="none" w:pos="4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u w:val="single" w:color="auto"/>
          <w:color w:val="auto"/>
        </w:rPr>
        <w:t>Conduct of BTO CDx Development Activities</w:t>
      </w:r>
      <w:r>
        <w:rPr>
          <w:rFonts w:ascii="Times New Roman" w:cs="Times New Roman" w:eastAsia="Times New Roman" w:hAnsi="Times New Roman"/>
          <w:sz w:val="13"/>
          <w:szCs w:val="13"/>
          <w:color w:val="auto"/>
        </w:rPr>
        <w:t>. BTO, with Janssen’s collaboration and cooperation, shall develop the</w:t>
      </w:r>
    </w:p>
    <w:p>
      <w:pPr>
        <w:spacing w:after="0" w:line="2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color w:val="auto"/>
        </w:rPr>
        <w:t>BTO CDx pursuant to the provisions of the Development Plan, which shall set forth, among other things:</w:t>
      </w:r>
    </w:p>
    <w:p>
      <w:pPr>
        <w:spacing w:after="0" w:line="87" w:lineRule="exact"/>
        <w:rPr>
          <w:sz w:val="20"/>
          <w:szCs w:val="20"/>
          <w:color w:val="auto"/>
        </w:rPr>
      </w:pPr>
    </w:p>
    <w:p>
      <w:pPr>
        <w:ind w:left="2440" w:right="33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color w:val="auto"/>
        </w:rPr>
        <w:t>the roles and responsibilities of and Development activities to be performed by each Party under the Development Plan and associated performance standards, including, without limitation, each Party’s responsibility for Regulatory Approval of the BTO CDx and post-Regulatory Approval commitments regarding the BTO CDx;</w:t>
      </w:r>
    </w:p>
    <w:p>
      <w:pPr>
        <w:spacing w:after="0" w:line="66"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2.2.2</w:t>
      </w:r>
      <w:r>
        <w:rPr>
          <w:sz w:val="20"/>
          <w:szCs w:val="20"/>
          <w:color w:val="auto"/>
        </w:rPr>
        <w:tab/>
      </w:r>
      <w:r>
        <w:rPr>
          <w:rFonts w:ascii="Times New Roman" w:cs="Times New Roman" w:eastAsia="Times New Roman" w:hAnsi="Times New Roman"/>
          <w:sz w:val="13"/>
          <w:szCs w:val="13"/>
          <w:color w:val="auto"/>
        </w:rPr>
        <w:t>the Milestone payments to be made by Janssen;</w:t>
      </w:r>
    </w:p>
    <w:p>
      <w:pPr>
        <w:spacing w:after="0" w:line="10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2.2.3</w:t>
      </w:r>
      <w:r>
        <w:rPr>
          <w:sz w:val="20"/>
          <w:szCs w:val="20"/>
          <w:color w:val="auto"/>
        </w:rPr>
        <w:tab/>
      </w:r>
      <w:r>
        <w:rPr>
          <w:rFonts w:ascii="Times New Roman" w:cs="Times New Roman" w:eastAsia="Times New Roman" w:hAnsi="Times New Roman"/>
          <w:sz w:val="13"/>
          <w:szCs w:val="13"/>
          <w:color w:val="auto"/>
        </w:rPr>
        <w:t>the timelines for Development activities and the associated Milestones; and</w:t>
      </w:r>
    </w:p>
    <w:p>
      <w:pPr>
        <w:spacing w:after="0" w:line="10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2.2.4</w:t>
      </w:r>
      <w:r>
        <w:rPr>
          <w:sz w:val="20"/>
          <w:szCs w:val="20"/>
          <w:color w:val="auto"/>
        </w:rPr>
        <w:tab/>
      </w:r>
      <w:r>
        <w:rPr>
          <w:rFonts w:ascii="Times New Roman" w:cs="Times New Roman" w:eastAsia="Times New Roman" w:hAnsi="Times New Roman"/>
          <w:sz w:val="13"/>
          <w:szCs w:val="13"/>
          <w:color w:val="auto"/>
        </w:rPr>
        <w:t>target specifications for the BTO CDx.</w:t>
      </w:r>
    </w:p>
    <w:p>
      <w:pPr>
        <w:spacing w:after="0" w:line="91" w:lineRule="exact"/>
        <w:rPr>
          <w:sz w:val="20"/>
          <w:szCs w:val="20"/>
          <w:color w:val="auto"/>
        </w:rPr>
      </w:pPr>
    </w:p>
    <w:p>
      <w:pPr>
        <w:ind w:left="1340" w:right="239"/>
        <w:spacing w:after="0" w:line="253" w:lineRule="auto"/>
        <w:rPr>
          <w:sz w:val="20"/>
          <w:szCs w:val="20"/>
          <w:color w:val="auto"/>
        </w:rPr>
      </w:pPr>
      <w:r>
        <w:rPr>
          <w:rFonts w:ascii="Times New Roman" w:cs="Times New Roman" w:eastAsia="Times New Roman" w:hAnsi="Times New Roman"/>
          <w:sz w:val="14"/>
          <w:szCs w:val="14"/>
          <w:color w:val="auto"/>
        </w:rPr>
        <w:t xml:space="preserve">The initial Development Plan, as mutually agreed by the Parties, is attached as </w:t>
      </w:r>
      <w:r>
        <w:rPr>
          <w:rFonts w:ascii="Times New Roman" w:cs="Times New Roman" w:eastAsia="Times New Roman" w:hAnsi="Times New Roman"/>
          <w:sz w:val="14"/>
          <w:szCs w:val="14"/>
          <w:u w:val="single" w:color="auto"/>
          <w:color w:val="auto"/>
        </w:rPr>
        <w:t>Exhibit 1.36</w:t>
      </w:r>
      <w:r>
        <w:rPr>
          <w:rFonts w:ascii="Times New Roman" w:cs="Times New Roman" w:eastAsia="Times New Roman" w:hAnsi="Times New Roman"/>
          <w:sz w:val="14"/>
          <w:szCs w:val="14"/>
          <w:color w:val="auto"/>
        </w:rPr>
        <w:t>. As may be necessary from time-to-time and to pursue additional activities as the Parties may agree respecting Development of the BTO CDx in the territories not included in the initial Development Plan, the Joint Project Team (“JPT”) may suggest appropriate revisions to the Development Plan to the Joint Steering Committee (“JSC”) for its prior written review and approval. If the JSC approves such revisions, and the Parties consent in writing to such revisions, then the JPT shall revise the Development Plan accordingly with appropriate amendments. The revised Development Plan shall thereafter be the Development Plan for all purposes of this Agreement, unless further revised as provided in this Section 2.2. The Parties shall each use their Commercially Reasonable Efforts to perform their obligations under the Development Plan in compliance with Applicable Law. Each Party will reasonably assist and support the other Party with communications necessary for the conduct of Development ascribed to the other Party; provided that, this shall not imply any obligation to provide monetary compensation, incur costs or expenses, or perform activities that are not outlined in the Development Plan.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2" w:right="1440" w:bottom="1440" w:gutter="0" w:footer="0" w:header="0"/>
        </w:sectPr>
      </w:pPr>
    </w:p>
    <w:bookmarkStart w:id="793" w:name="page794"/>
    <w:bookmarkEnd w:id="793"/>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3"/>
          <w:szCs w:val="13"/>
          <w:u w:val="single" w:color="auto"/>
          <w:color w:val="auto"/>
        </w:rPr>
        <w:t>Materials (including Data)</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5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color w:val="auto"/>
        </w:rPr>
        <w:t>In the event that a Party requires tangible Samples, components, Data and the like, to conduct the Development Plan that are in the possession of the other Party (collectively “Materials”), the Parties shall identify the needed quantity and type of such Materials in the Development Plan. Each Party will furnish to the other Party Materials identified in the Development Plan to the extent possible. BTO and Janssen will each comply with all Applicable Laws relating to Materials. Without limiting the foregoing, to the extent that such Materials include Samples and/or Personal Data, the Party providing the Materials, Samples, and/or Personal Data, represents and warrants that, based on information available to that Party that either the providing Party, its Affiliates or its Third Party contractors has obtained all informed consents required by Applicable Law with respect to such Materials or that it is not required under Applicable Law to obtain such informed consents.</w:t>
      </w:r>
    </w:p>
    <w:p>
      <w:pPr>
        <w:spacing w:after="0" w:line="72" w:lineRule="exact"/>
        <w:rPr>
          <w:sz w:val="20"/>
          <w:szCs w:val="20"/>
          <w:color w:val="auto"/>
        </w:rPr>
      </w:pPr>
    </w:p>
    <w:p>
      <w:pPr>
        <w:ind w:left="2440" w:right="29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color w:val="auto"/>
        </w:rPr>
        <w:t>Each Party receiving Materials hereunder shall use such Materials solely in connection with conducting the Development Plan, or to exercise a right or perform an obligation explicitly provided under this Agreement, and for no other purpose and such use shall be in full compliance with all Applicable Laws. Such receiving Party agrees to retain possession of the Materials and not to provide such Materials to any Third Party without the providing Party’s prior written consent, provided such consent is not required for providing Materials to a Third Party if such provision is necessary for the receiving Party to exercise a right or perform an obligation explicitly provided under this Agreement. All rights, title and interest in the Materials and any Intellectual Property Rights therein, shall remain the sole property of the Party providing such Materials notwithstanding the transfer to and use by the Party receiving such Materials.</w:t>
      </w:r>
    </w:p>
    <w:p>
      <w:pPr>
        <w:spacing w:after="0" w:line="72" w:lineRule="exact"/>
        <w:rPr>
          <w:sz w:val="20"/>
          <w:szCs w:val="20"/>
          <w:color w:val="auto"/>
        </w:rPr>
      </w:pPr>
    </w:p>
    <w:p>
      <w:pPr>
        <w:ind w:left="2440" w:right="37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4"/>
          <w:szCs w:val="14"/>
          <w:u w:val="single" w:color="auto"/>
          <w:color w:val="auto"/>
        </w:rPr>
        <w:t>Obligations Concerning Personal Data</w:t>
      </w:r>
      <w:r>
        <w:rPr>
          <w:rFonts w:ascii="Times New Roman" w:cs="Times New Roman" w:eastAsia="Times New Roman" w:hAnsi="Times New Roman"/>
          <w:sz w:val="14"/>
          <w:szCs w:val="14"/>
          <w:color w:val="auto"/>
        </w:rPr>
        <w:t>. As applicable to its performance hereunder, each Party shall (i) hold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confidence all Materials that it receives and that identifies or could be used to identify an individual (“Personal Data”), except as required or permitted under this Agreement or to the extent necessary to be disclosed to Regulatory Authorities as part of the review</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2" w:right="1440" w:bottom="1440" w:gutter="0" w:footer="0" w:header="0"/>
        </w:sectPr>
      </w:pPr>
    </w:p>
    <w:bookmarkStart w:id="794" w:name="page795"/>
    <w:bookmarkEnd w:id="794"/>
    <w:p>
      <w:pPr>
        <w:ind w:left="244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process; (ii) comply with all Applicable Laws, as amended from time to time, with respect to the collection, use, storage, and disclosure of any Personal Data, including without limitation, the U.S. Health Insurance Portability and Accountability Act (HIPAA) and the regulations promulgated thereunder. BTO shall take all appropriate technical and organizational measures to protect Personal Data against loss, misuse, and any unauthorized, accidental, or unlawful access, disclosure, alteration, or destruction, including without limitation, implementation and enforcement of administrative, technical, and physical security policies and procedures applicable to Personal Data, and BTO shall comply with </w:t>
      </w:r>
      <w:r>
        <w:rPr>
          <w:rFonts w:ascii="Times New Roman" w:cs="Times New Roman" w:eastAsia="Times New Roman" w:hAnsi="Times New Roman"/>
          <w:sz w:val="14"/>
          <w:szCs w:val="14"/>
          <w:u w:val="single" w:color="auto"/>
          <w:color w:val="auto"/>
        </w:rPr>
        <w:t>Exhibit 2.3.3</w:t>
      </w:r>
      <w:r>
        <w:rPr>
          <w:rFonts w:ascii="Times New Roman" w:cs="Times New Roman" w:eastAsia="Times New Roman" w:hAnsi="Times New Roman"/>
          <w:sz w:val="14"/>
          <w:szCs w:val="14"/>
          <w:color w:val="auto"/>
        </w:rPr>
        <w:t xml:space="preserve">, Protection of Personal Information. To the extent that BTO is permitted under the terms of this Agreement to share Personal Data with any Third Party, BTO shall assure that such Third Party complies in full with the provisions of this Section 2.3.3 and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2.3.3</w:t>
      </w:r>
      <w:r>
        <w:rPr>
          <w:rFonts w:ascii="Times New Roman" w:cs="Times New Roman" w:eastAsia="Times New Roman" w:hAnsi="Times New Roman"/>
          <w:sz w:val="14"/>
          <w:szCs w:val="14"/>
          <w:color w:val="auto"/>
        </w:rPr>
        <w:t>.</w:t>
      </w:r>
    </w:p>
    <w:p>
      <w:pPr>
        <w:spacing w:after="0" w:line="76" w:lineRule="exact"/>
        <w:rPr>
          <w:sz w:val="20"/>
          <w:szCs w:val="20"/>
          <w:color w:val="auto"/>
        </w:rPr>
      </w:pPr>
    </w:p>
    <w:p>
      <w:pPr>
        <w:jc w:val="both"/>
        <w:ind w:left="2440" w:right="33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2.3.4</w:t>
      </w:r>
      <w:r>
        <w:rPr>
          <w:sz w:val="20"/>
          <w:szCs w:val="20"/>
          <w:color w:val="auto"/>
        </w:rPr>
        <w:tab/>
      </w:r>
      <w:r>
        <w:rPr>
          <w:rFonts w:ascii="Times New Roman" w:cs="Times New Roman" w:eastAsia="Times New Roman" w:hAnsi="Times New Roman"/>
          <w:sz w:val="14"/>
          <w:szCs w:val="14"/>
          <w:u w:val="single" w:color="auto"/>
          <w:color w:val="auto"/>
        </w:rPr>
        <w:t>BTO’s Additional Obligations Concerning Janssen Data</w:t>
      </w:r>
      <w:r>
        <w:rPr>
          <w:rFonts w:ascii="Times New Roman" w:cs="Times New Roman" w:eastAsia="Times New Roman" w:hAnsi="Times New Roman"/>
          <w:sz w:val="14"/>
          <w:szCs w:val="14"/>
          <w:color w:val="auto"/>
        </w:rPr>
        <w:t>. In addition to the obligations respecting Personal Data</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as specified above, BTO shall comply with Janssen’s Data Safeguards policy as set forth in </w:t>
      </w:r>
      <w:r>
        <w:rPr>
          <w:rFonts w:ascii="Times New Roman" w:cs="Times New Roman" w:eastAsia="Times New Roman" w:hAnsi="Times New Roman"/>
          <w:sz w:val="14"/>
          <w:szCs w:val="14"/>
          <w:u w:val="single" w:color="auto"/>
          <w:color w:val="auto"/>
        </w:rPr>
        <w:t>Exhibit 2.3.4</w:t>
      </w:r>
      <w:r>
        <w:rPr>
          <w:rFonts w:ascii="Times New Roman" w:cs="Times New Roman" w:eastAsia="Times New Roman" w:hAnsi="Times New Roman"/>
          <w:sz w:val="14"/>
          <w:szCs w:val="14"/>
          <w:color w:val="auto"/>
        </w:rPr>
        <w:t>, Data Safeguards, for all Janssen Data, including Personal Data.</w:t>
      </w:r>
    </w:p>
    <w:p>
      <w:pPr>
        <w:spacing w:after="0" w:line="63" w:lineRule="exact"/>
        <w:rPr>
          <w:sz w:val="20"/>
          <w:szCs w:val="20"/>
          <w:color w:val="auto"/>
        </w:rPr>
      </w:pPr>
    </w:p>
    <w:p>
      <w:pPr>
        <w:ind w:left="1940" w:right="25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u w:val="single" w:color="auto"/>
          <w:color w:val="auto"/>
        </w:rPr>
        <w:t>Access to Clinical Trial Protocol and Other Related Documents</w:t>
      </w:r>
      <w:r>
        <w:rPr>
          <w:rFonts w:ascii="Times New Roman" w:cs="Times New Roman" w:eastAsia="Times New Roman" w:hAnsi="Times New Roman"/>
          <w:sz w:val="14"/>
          <w:szCs w:val="14"/>
          <w:color w:val="auto"/>
        </w:rPr>
        <w:t>. As necessary and relevant for BTO to perform its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Development activities and obtain Regulatory Approval for the BTO CDx, Janssen shall promptly, within timelines as agreed and revised from time-to-time by the JSC in accordance with Article 7, provide Regulatory Authorities access to or copies of the applicable sections of the current Clinical Trial Protocol(s) and Clinical Trial report(s), including the informed consent forms, relevant parts of the investigators brochure or any other Clinical Trial document, as applicable to the BTO Assay.</w:t>
      </w:r>
    </w:p>
    <w:p>
      <w:pPr>
        <w:spacing w:after="0" w:line="71" w:lineRule="exact"/>
        <w:rPr>
          <w:sz w:val="20"/>
          <w:szCs w:val="20"/>
          <w:color w:val="auto"/>
        </w:rPr>
      </w:pPr>
    </w:p>
    <w:p>
      <w:pPr>
        <w:ind w:left="1940" w:right="259" w:hanging="597"/>
        <w:spacing w:after="0" w:line="278" w:lineRule="auto"/>
        <w:tabs>
          <w:tab w:leader="none" w:pos="192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3"/>
          <w:szCs w:val="13"/>
          <w:u w:val="single" w:color="auto"/>
          <w:color w:val="auto"/>
        </w:rPr>
        <w:t>Delays</w:t>
      </w:r>
      <w:r>
        <w:rPr>
          <w:rFonts w:ascii="Times New Roman" w:cs="Times New Roman" w:eastAsia="Times New Roman" w:hAnsi="Times New Roman"/>
          <w:sz w:val="13"/>
          <w:szCs w:val="13"/>
          <w:color w:val="auto"/>
        </w:rPr>
        <w:t>. If it is expected that a delay might occur which may impact a Party’s completion of any Development activities</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according to the schedule of the Development Plan, the Party anticipating the delay shall promptly bring it to the attention of the other Party and provide notice to the JPT within [***] of becoming aware of any risk of delay. The Parties acknowledge that BTO may incur certain project maintenance and stand-by costs during a delay in the Development Plan timeline related to the Janssen Drug. Parties shall discuss in good faith such delay and attempt to reach mutual agreement on any necessary adjustments or amendments to the Development Plan. Such discussions shall take place within the JPT, provided that any amendments to the Development Plan shall be made in accordance with the provisions in Article 7.</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795" w:name="page796"/>
    <w:bookmarkEnd w:id="795"/>
    <w:tbl>
      <w:tblPr>
        <w:tblLayout w:type="fixed"/>
        <w:tblInd w:w="1340" w:type="dxa"/>
        <w:tblCellMar>
          <w:top w:w="0" w:type="dxa"/>
          <w:left w:w="0" w:type="dxa"/>
          <w:bottom w:w="0" w:type="dxa"/>
          <w:right w:w="0" w:type="dxa"/>
        </w:tblCellMar>
      </w:tblPr>
      <w:tr>
        <w:trPr>
          <w:trHeight w:val="161"/>
        </w:trPr>
        <w:tc>
          <w:tcPr>
            <w:tcW w:w="6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91"/>
              </w:rPr>
              <w:t>2.6</w:t>
            </w: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Reporting. The Parties shall keep each other promptly informed on an ongoing basis through the JPT and the JSC on the</w:t>
            </w: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79"/>
        </w:trPr>
        <w:tc>
          <w:tcPr>
            <w:tcW w:w="600" w:type="dxa"/>
            <w:vAlign w:val="bottom"/>
          </w:tcPr>
          <w:p>
            <w:pPr>
              <w:spacing w:after="0"/>
              <w:rPr>
                <w:sz w:val="15"/>
                <w:szCs w:val="15"/>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progress of the Development Plan, including forecasts of expected performance and completion of activities.</w:t>
            </w:r>
          </w:p>
        </w:tc>
      </w:tr>
      <w:tr>
        <w:trPr>
          <w:trHeight w:val="231"/>
        </w:trPr>
        <w:tc>
          <w:tcPr>
            <w:tcW w:w="6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91"/>
              </w:rPr>
              <w:t>2.7</w:t>
            </w: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Documentation. All deliverable documents shall comply with Applicable Laws, including requirements in (i) the (EU)</w:t>
            </w:r>
          </w:p>
        </w:tc>
      </w:tr>
      <w:tr>
        <w:trPr>
          <w:trHeight w:val="20"/>
        </w:trPr>
        <w:tc>
          <w:tcPr>
            <w:tcW w:w="6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65"/>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2017/746 of the European Parliament (IVDR) and of the Council of 5 April 2017 on in vitro diagnostic medical devices</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and repealing Directive 98/79/EC and Commission Decision 2010/227/EU, to the extent that these regulations and</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directives apply to clinical studies, (ii) ISO 13485: requirements, (iii) QMSR (21 CFR 820) and (iv) applicable GMP and</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GCP standards, as defined as of the Effective Date and any subsequent updates hereto, in each case as reasonably</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interpreted by the JSC. Each Party must maintain and store documentation in a timely manner providing relevant</w:t>
            </w:r>
          </w:p>
        </w:tc>
      </w:tr>
      <w:tr>
        <w:trPr>
          <w:trHeight w:val="183"/>
        </w:trPr>
        <w:tc>
          <w:tcPr>
            <w:tcW w:w="600" w:type="dxa"/>
            <w:vAlign w:val="bottom"/>
          </w:tcPr>
          <w:p>
            <w:pPr>
              <w:spacing w:after="0"/>
              <w:rPr>
                <w:sz w:val="15"/>
                <w:szCs w:val="15"/>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Regulatory Authorities with reasonable access to requested information during audits.</w:t>
            </w:r>
          </w:p>
        </w:tc>
      </w:tr>
      <w:tr>
        <w:trPr>
          <w:trHeight w:val="231"/>
        </w:trPr>
        <w:tc>
          <w:tcPr>
            <w:tcW w:w="6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91"/>
              </w:rPr>
              <w:t>2.8</w:t>
            </w: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Traceability. Traceability shall be provided regarding relevant documents during the Development Activities through</w:t>
            </w:r>
          </w:p>
        </w:tc>
      </w:tr>
      <w:tr>
        <w:trPr>
          <w:trHeight w:val="20"/>
        </w:trPr>
        <w:tc>
          <w:tcPr>
            <w:tcW w:w="6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65"/>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verification to validate results, in accordance with Applicable Laws, including without limitation, (i) European Union</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Regulation 2017/746 (IVDR), (ii) ISO 13485 requirements, to the extent that these regulations and directives apply to</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clinical studies, (ii) QMSR (21 CFR 820) and (iii) applicable GMP and GCP standards, as in effect as of the Effective</w:t>
            </w:r>
          </w:p>
        </w:tc>
      </w:tr>
      <w:tr>
        <w:trPr>
          <w:trHeight w:val="183"/>
        </w:trPr>
        <w:tc>
          <w:tcPr>
            <w:tcW w:w="600" w:type="dxa"/>
            <w:vAlign w:val="bottom"/>
          </w:tcPr>
          <w:p>
            <w:pPr>
              <w:spacing w:after="0"/>
              <w:rPr>
                <w:sz w:val="15"/>
                <w:szCs w:val="15"/>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Date and any subsequent updates and/or amendments thereto.</w:t>
            </w:r>
          </w:p>
        </w:tc>
      </w:tr>
      <w:tr>
        <w:trPr>
          <w:trHeight w:val="231"/>
        </w:trPr>
        <w:tc>
          <w:tcPr>
            <w:tcW w:w="6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91"/>
              </w:rPr>
              <w:t>2.9</w:t>
            </w: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9"/>
              </w:rPr>
              <w:t>Use of Third Parties and Affiliates. Unless otherwise expressly provided in this Agreement, the activities to be performed</w:t>
            </w:r>
          </w:p>
        </w:tc>
      </w:tr>
      <w:tr>
        <w:trPr>
          <w:trHeight w:val="20"/>
        </w:trPr>
        <w:tc>
          <w:tcPr>
            <w:tcW w:w="600" w:type="dxa"/>
            <w:vAlign w:val="bottom"/>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65"/>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by a Party under this Agreement (other than any activities pertaining to the development and Commercialization of the</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Janssen Drug by Janssen, which, for the avoidance of doubt, shall be outside the scope of this Agreement) may be</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performed by an Affiliate of a Party and by a Third Party contractor on such Party’s behalf, provided that a Third Party</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9"/>
              </w:rPr>
              <w:t>contractor may be used only if (i) the Party soliciting such performance shall obtain the other Party’s prior written consent</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(such prior written consent shall not be unreasonably withheld), and (ii) the Third Party is bound and agrees to comply</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with the terms and conditions of this Agreement, including but not limited to Article 9 (Intellectual Property) and Article</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12 (Confidentiality) of this Agreement, and (iii) such performance of activities by the Third Party is consistent with the</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rights and obligations of the Parties under this Agreement. The Party who solicits the performance of any Third Party</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contractor or uses an Affiliate, shall be liable for the breach of any of the provisions of this Agreement by such Third</w:t>
            </w:r>
          </w:p>
        </w:tc>
      </w:tr>
      <w:tr>
        <w:trPr>
          <w:trHeight w:val="168"/>
        </w:trPr>
        <w:tc>
          <w:tcPr>
            <w:tcW w:w="600" w:type="dxa"/>
            <w:vAlign w:val="bottom"/>
          </w:tcPr>
          <w:p>
            <w:pPr>
              <w:spacing w:after="0"/>
              <w:rPr>
                <w:sz w:val="14"/>
                <w:szCs w:val="14"/>
                <w:color w:val="auto"/>
              </w:rPr>
            </w:pPr>
          </w:p>
        </w:tc>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Party contractor or Affiliate. Notwithstanding the foregoing, Janssen hereby approves of BTO’s use of the Third Party</w:t>
            </w:r>
          </w:p>
        </w:tc>
      </w:tr>
      <w:tr>
        <w:trPr>
          <w:trHeight w:val="151"/>
        </w:trPr>
        <w:tc>
          <w:tcPr>
            <w:tcW w:w="600" w:type="dxa"/>
            <w:vAlign w:val="bottom"/>
          </w:tcPr>
          <w:p>
            <w:pPr>
              <w:spacing w:after="0"/>
              <w:rPr>
                <w:sz w:val="13"/>
                <w:szCs w:val="13"/>
                <w:color w:val="auto"/>
              </w:rPr>
            </w:pPr>
          </w:p>
        </w:tc>
        <w:tc>
          <w:tcPr>
            <w:tcW w:w="6820" w:type="dxa"/>
            <w:vAlign w:val="bottom"/>
            <w:gridSpan w:val="7"/>
          </w:tcPr>
          <w:p>
            <w:pPr>
              <w:spacing w:after="0" w:line="151" w:lineRule="exact"/>
              <w:rPr>
                <w:sz w:val="20"/>
                <w:szCs w:val="20"/>
                <w:color w:val="auto"/>
              </w:rPr>
            </w:pPr>
            <w:r>
              <w:rPr>
                <w:rFonts w:ascii="Times New Roman" w:cs="Times New Roman" w:eastAsia="Times New Roman" w:hAnsi="Times New Roman"/>
                <w:sz w:val="14"/>
                <w:szCs w:val="14"/>
                <w:color w:val="auto"/>
              </w:rPr>
              <w:t>contractors listed on Exhibit 2.9.</w:t>
            </w:r>
          </w:p>
        </w:tc>
      </w:tr>
      <w:tr>
        <w:trPr>
          <w:trHeight w:val="295"/>
        </w:trPr>
        <w:tc>
          <w:tcPr>
            <w:tcW w:w="600" w:type="dxa"/>
            <w:vAlign w:val="bottom"/>
          </w:tcPr>
          <w:p>
            <w:pPr>
              <w:spacing w:after="0"/>
              <w:rPr>
                <w:sz w:val="24"/>
                <w:szCs w:val="24"/>
                <w:color w:val="auto"/>
              </w:rPr>
            </w:pPr>
          </w:p>
        </w:tc>
        <w:tc>
          <w:tcPr>
            <w:tcW w:w="1160" w:type="dxa"/>
            <w:vAlign w:val="bottom"/>
            <w:gridSpan w:val="4"/>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40" w:type="dxa"/>
            <w:vAlign w:val="bottom"/>
            <w:gridSpan w:val="2"/>
          </w:tcPr>
          <w:p>
            <w:pPr>
              <w:jc w:val="right"/>
              <w:ind w:right="4180"/>
              <w:spacing w:after="0"/>
              <w:rPr>
                <w:sz w:val="20"/>
                <w:szCs w:val="20"/>
                <w:color w:val="auto"/>
              </w:rPr>
            </w:pPr>
            <w:r>
              <w:rPr>
                <w:rFonts w:ascii="Times New Roman" w:cs="Times New Roman" w:eastAsia="Times New Roman" w:hAnsi="Times New Roman"/>
                <w:sz w:val="14"/>
                <w:szCs w:val="14"/>
                <w:color w:val="auto"/>
              </w:rPr>
              <w:t>17</w:t>
            </w:r>
          </w:p>
        </w:tc>
      </w:tr>
    </w:tbl>
    <w:p>
      <w:pPr>
        <w:jc w:val="right"/>
        <w:ind w:right="4180"/>
        <w:spacing w:after="0"/>
        <w:rPr>
          <w:sz w:val="20"/>
          <w:szCs w:val="20"/>
          <w:color w:val="auto"/>
        </w:rPr>
        <w:sectPr>
          <w:pgSz w:w="11900" w:h="16838" w:orient="portrait"/>
          <w:cols w:equalWidth="0" w:num="1">
            <w:col w:w="9019"/>
          </w:cols>
          <w:pgMar w:left="1440" w:top="232"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796" w:name="page797"/>
    <w:bookmarkEnd w:id="796"/>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2.10</w:t>
      </w:r>
      <w:r>
        <w:rPr>
          <w:sz w:val="20"/>
          <w:szCs w:val="20"/>
          <w:color w:val="auto"/>
        </w:rPr>
        <w:tab/>
      </w:r>
      <w:r>
        <w:rPr>
          <w:rFonts w:ascii="Times New Roman" w:cs="Times New Roman" w:eastAsia="Times New Roman" w:hAnsi="Times New Roman"/>
          <w:sz w:val="13"/>
          <w:szCs w:val="13"/>
          <w:u w:val="single" w:color="auto"/>
          <w:color w:val="auto"/>
        </w:rPr>
        <w:t>Compensation</w:t>
      </w:r>
      <w:r>
        <w:rPr>
          <w:rFonts w:ascii="Times New Roman" w:cs="Times New Roman" w:eastAsia="Times New Roman" w:hAnsi="Times New Roman"/>
          <w:sz w:val="13"/>
          <w:szCs w:val="13"/>
          <w:color w:val="auto"/>
        </w:rPr>
        <w:t>. Janssen shall compensate BTO for the Development performed by BTO in accordance with Article 8.</w:t>
      </w:r>
    </w:p>
    <w:p>
      <w:pPr>
        <w:spacing w:after="0" w:line="288" w:lineRule="exact"/>
        <w:rPr>
          <w:sz w:val="20"/>
          <w:szCs w:val="20"/>
          <w:color w:val="auto"/>
        </w:rPr>
      </w:pPr>
    </w:p>
    <w:p>
      <w:pPr>
        <w:ind w:left="820" w:hanging="597"/>
        <w:spacing w:after="0"/>
        <w:tabs>
          <w:tab w:leader="none" w:pos="820" w:val="left"/>
        </w:tabs>
        <w:numPr>
          <w:ilvl w:val="0"/>
          <w:numId w:val="5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REGULATORY MATTERS</w:t>
      </w:r>
    </w:p>
    <w:p>
      <w:pPr>
        <w:spacing w:after="0" w:line="10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u w:val="single" w:color="auto"/>
          <w:color w:val="auto"/>
        </w:rPr>
        <w:t>BTO CDx Approvals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59" w:hanging="503"/>
        <w:spacing w:after="0" w:line="251" w:lineRule="auto"/>
        <w:tabs>
          <w:tab w:leader="none" w:pos="242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As between the Parties, and subject to the other provisions of this Article 3 and the Development Plan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or Commercialization Plan, BTO, at its own expense, shall have the sole right and responsibility to prepare, obtain and maintain Regulatory Approvals for, and to conduct communications with Regulatory Authorities regarding Regulatory Approvals for, the BTO CDx. BTO shall develop the BTO CDx under the Development Plan or Commercialize under the Commercialization Plan to comply with all Applicable Laws and fulfill all statutory requirements. BTO shall use Commercially Reasonable Efforts toward obtaining Regulatory Approval of the BTO CDx in the Territory in the time specified in the applicable Development Plan or Commercialization Plan. As it becomes available or known to Janssen, Janssen shall provide BTO with its relevant launch plans and its release timelines for each applicable Janssen Drug for the Territory specified in the Development Plan or Commercialization Plan. The Parties shall cooperate and assist each other reasonably in the Regulatory Approval process to coordinate and align their Regulatory Approval filings, or equivalents, and activities pertaining thereto, and subject to the other provisions of this Section 3.1.1. By way of non-limiting example, BTO shall be responsible for: (A) ISO13485 certification: design, development, manufacture, and servicing of next generation sequencing (“NGS”) fetal RBC antigen detection in vitro diagnostic test system; (B) FDA establishment, registration and device listing; (C) generation of all data and documentation required for the Regulatory Submission including but not limited to protocols, test reports, and raw data files related to: test protocols, test reports, specifications, test methods, test method validation, equipment IQ/OQ/PQ, manufacturing facility environmental controls, access controls, supplier management, personnel training records, analytical validation, clinical validation, manufacturing validations, risk analysis, labelling, quality system documentation, software validation, etc.; (D)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797" w:name="page798"/>
    <w:bookmarkEnd w:id="797"/>
    <w:p>
      <w:pPr>
        <w:ind w:left="2440" w:right="2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planning, preparation, and management of pre-submission meetings with FDA; (E) compiling the Regulatory Submission shell and submitting it to FDA; (F) compiling the Regulatory Submission and submitting it to FDA;</w:t>
      </w:r>
    </w:p>
    <w:p>
      <w:pPr>
        <w:jc w:val="both"/>
        <w:ind w:left="2440" w:right="479" w:firstLine="7"/>
        <w:spacing w:after="0" w:line="250" w:lineRule="auto"/>
        <w:tabs>
          <w:tab w:leader="none" w:pos="2669"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responding to all FDA requests for information within the timeline established by FDA; (H) hosting and managing pre-approval inspections and responding to audit findings within the timeline established by FDA;</w:t>
      </w:r>
    </w:p>
    <w:p>
      <w:pPr>
        <w:ind w:left="2440" w:right="239" w:firstLine="7"/>
        <w:spacing w:after="0" w:line="252" w:lineRule="auto"/>
        <w:tabs>
          <w:tab w:leader="none" w:pos="2615"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Submission, including submission of supplements and annual reports and any other reports if required by FDA; (J) Compliance with FDA post-marketing surveillance requirements, including complaint handling, MDR reporting, recalls &amp; correction and CAPA; (K) applicable FDA Quality System Regulations (21 CFR Part 820), as the same may be amended from time to time, and comparable regulations for other Regulatory Authorities; and (L) applicable GMP and GCP standards.</w:t>
      </w:r>
    </w:p>
    <w:p>
      <w:pPr>
        <w:spacing w:after="0" w:line="74" w:lineRule="exact"/>
        <w:rPr>
          <w:sz w:val="20"/>
          <w:szCs w:val="20"/>
          <w:color w:val="auto"/>
        </w:rPr>
      </w:pPr>
    </w:p>
    <w:p>
      <w:pPr>
        <w:ind w:left="2440" w:right="25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color w:val="auto"/>
        </w:rPr>
        <w:t>As between the Parties, all applications for Regulatory Approval, together with related documentation, generated by BTO or any of its Affiliates with respect to the BTO CDx anywhere in the world shall be owned by, and shall be the sole property and held in the name of, BTO or its designee. Janssen shall provide BTO with any applications for Regulatory Approval and other information in the Control and possession of Janssen or any of its Affiliates with respect to the Janssen Drug as may be necessary for BTO or any of its Affiliates to refer to such Janssen Drug to obtain or maintain Regulatory Approvals for the BTO CDx, developed under this Agreement. In addition to the foregoing, at BTO’s request, Janssen shall perform and provide to BTO any analyses of Clinical Data that are reasonably necessary to perform any testing required to obtain or maintain Regulatory Approval of the BTO CDx, for use with the applicable Janssen Drug for the applicable Indication.</w:t>
      </w:r>
    </w:p>
    <w:p>
      <w:pPr>
        <w:spacing w:after="0" w:line="72" w:lineRule="exact"/>
        <w:rPr>
          <w:sz w:val="20"/>
          <w:szCs w:val="20"/>
          <w:color w:val="auto"/>
        </w:rPr>
      </w:pPr>
    </w:p>
    <w:p>
      <w:pPr>
        <w:ind w:left="2440" w:right="299" w:hanging="503"/>
        <w:spacing w:after="0" w:line="255" w:lineRule="auto"/>
        <w:tabs>
          <w:tab w:leader="none" w:pos="2420" w:val="left"/>
        </w:tabs>
        <w:rPr>
          <w:sz w:val="20"/>
          <w:szCs w:val="20"/>
          <w:color w:val="auto"/>
        </w:rPr>
      </w:pPr>
      <w:r>
        <w:rPr>
          <w:rFonts w:ascii="Times New Roman" w:cs="Times New Roman" w:eastAsia="Times New Roman" w:hAnsi="Times New Roman"/>
          <w:sz w:val="14"/>
          <w:szCs w:val="14"/>
          <w:color w:val="auto"/>
        </w:rPr>
        <w:t>3.1.3</w:t>
      </w:r>
      <w:r>
        <w:rPr>
          <w:sz w:val="20"/>
          <w:szCs w:val="20"/>
          <w:color w:val="auto"/>
        </w:rPr>
        <w:tab/>
      </w:r>
      <w:r>
        <w:rPr>
          <w:rFonts w:ascii="Times New Roman" w:cs="Times New Roman" w:eastAsia="Times New Roman" w:hAnsi="Times New Roman"/>
          <w:sz w:val="14"/>
          <w:szCs w:val="14"/>
          <w:u w:val="single" w:color="auto"/>
          <w:color w:val="auto"/>
        </w:rPr>
        <w:t>Pre-Submission Review</w:t>
      </w:r>
      <w:r>
        <w:rPr>
          <w:rFonts w:ascii="Times New Roman" w:cs="Times New Roman" w:eastAsia="Times New Roman" w:hAnsi="Times New Roman"/>
          <w:sz w:val="14"/>
          <w:szCs w:val="14"/>
          <w:color w:val="auto"/>
        </w:rPr>
        <w:t>. BTO shall provide Janssen with copies of all pre-submission communications from a</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Regulatory Authority with a minimum of [***] (or such shorter time period as may be required for BTO to comply with any applicable regulatory deadline) to review and comment on all regulatory filings that are required to be made to obtain Regulatory Approval of the BTO CDx in the Territory, in each case, to the extent any such filing involves a substantive discussion of such Janssen Drug or Janssen’s Data. Janssen shall be entitled to review and comment on (and shall prioritize its review of) any regulatory filings and communications by BTO that are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2" w:right="1440" w:bottom="1440" w:gutter="0" w:footer="0" w:header="0"/>
        </w:sectPr>
      </w:pPr>
    </w:p>
    <w:bookmarkStart w:id="798" w:name="page799"/>
    <w:bookmarkEnd w:id="798"/>
    <w:p>
      <w:pPr>
        <w:ind w:left="2440" w:right="2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reasonably likely to result in any material delay to, or otherwise have a material effect on obtaining or maintaining Regulatory Approval of the BTO CDx in the Territory or Regulatory Approval of such Janssen Drug in the Territory. BTO shall incorporate Janssen’s reasonable comments with respect to the foregoing regulatory filings and communications to the extent relating to the safety, efficacy or intended use of such Janssen Drug or the interpretation of data generated in the conduct of Clinical Trials concerning the applicable Janssen Drug; </w:t>
      </w:r>
      <w:r>
        <w:rPr>
          <w:rFonts w:ascii="Times New Roman" w:cs="Times New Roman" w:eastAsia="Times New Roman" w:hAnsi="Times New Roman"/>
          <w:sz w:val="14"/>
          <w:szCs w:val="14"/>
          <w:i w:val="1"/>
          <w:iCs w:val="1"/>
          <w:color w:val="auto"/>
        </w:rPr>
        <w:t xml:space="preserve">provided that </w:t>
      </w:r>
      <w:r>
        <w:rPr>
          <w:rFonts w:ascii="Times New Roman" w:cs="Times New Roman" w:eastAsia="Times New Roman" w:hAnsi="Times New Roman"/>
          <w:sz w:val="14"/>
          <w:szCs w:val="14"/>
          <w:color w:val="auto"/>
        </w:rPr>
        <w:t>in no event shall BTO be obligated to delay the submission of any required regulatory response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Janssen’s failure to provide its comments in a timely manner.</w:t>
      </w:r>
    </w:p>
    <w:p>
      <w:pPr>
        <w:spacing w:after="0" w:line="72" w:lineRule="exact"/>
        <w:rPr>
          <w:sz w:val="20"/>
          <w:szCs w:val="20"/>
          <w:color w:val="auto"/>
        </w:rPr>
      </w:pPr>
    </w:p>
    <w:p>
      <w:pPr>
        <w:ind w:left="2440" w:right="25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3.1.4</w:t>
      </w:r>
      <w:r>
        <w:rPr>
          <w:sz w:val="20"/>
          <w:szCs w:val="20"/>
          <w:color w:val="auto"/>
        </w:rPr>
        <w:tab/>
      </w:r>
      <w:r>
        <w:rPr>
          <w:rFonts w:ascii="Times New Roman" w:cs="Times New Roman" w:eastAsia="Times New Roman" w:hAnsi="Times New Roman"/>
          <w:sz w:val="14"/>
          <w:szCs w:val="14"/>
          <w:u w:val="single" w:color="auto"/>
          <w:color w:val="auto"/>
        </w:rPr>
        <w:t>Janssen Attendance at Meetings</w:t>
      </w:r>
      <w:r>
        <w:rPr>
          <w:rFonts w:ascii="Times New Roman" w:cs="Times New Roman" w:eastAsia="Times New Roman" w:hAnsi="Times New Roman"/>
          <w:sz w:val="14"/>
          <w:szCs w:val="14"/>
          <w:color w:val="auto"/>
        </w:rPr>
        <w:t>. To the extent legally permissible, BTO shall provide Janssen with a reasonable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opportunity to attend any scheduled meeting with a Regulatory Authority regarding obtaining Regulatory Approval of the applicable BTO CDx solely to the extent such meeting includes (or is reasonably anticipated to include) a material discussion of such Janssen Drug or Janssen’s related Data or is reasonably likely to result in any material delay to, or otherwise have a material effect on obtaining or maintaining, Regulatory Approval of such BTO CDx within the Territory or Regulatory Approval of such Janssen Drug within the Territory and for the Indication. At BTO’s reasonable request, Janssen shall participate in any such scheduled meeting at Janssen’s sole cost and expense.</w:t>
      </w:r>
    </w:p>
    <w:p>
      <w:pPr>
        <w:spacing w:after="0" w:line="75" w:lineRule="exact"/>
        <w:rPr>
          <w:sz w:val="20"/>
          <w:szCs w:val="20"/>
          <w:color w:val="auto"/>
        </w:rPr>
      </w:pPr>
    </w:p>
    <w:p>
      <w:pPr>
        <w:ind w:left="2440" w:right="23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t>3.1.5</w:t>
      </w:r>
      <w:r>
        <w:rPr>
          <w:sz w:val="20"/>
          <w:szCs w:val="20"/>
          <w:color w:val="auto"/>
        </w:rPr>
        <w:tab/>
      </w:r>
      <w:r>
        <w:rPr>
          <w:rFonts w:ascii="Times New Roman" w:cs="Times New Roman" w:eastAsia="Times New Roman" w:hAnsi="Times New Roman"/>
          <w:sz w:val="14"/>
          <w:szCs w:val="14"/>
          <w:u w:val="single" w:color="auto"/>
          <w:color w:val="auto"/>
        </w:rPr>
        <w:t>Limitations on Review</w:t>
      </w:r>
      <w:r>
        <w:rPr>
          <w:rFonts w:ascii="Times New Roman" w:cs="Times New Roman" w:eastAsia="Times New Roman" w:hAnsi="Times New Roman"/>
          <w:sz w:val="14"/>
          <w:szCs w:val="14"/>
          <w:color w:val="auto"/>
        </w:rPr>
        <w:t>. Notwithstanding anything contained in this Section 3.1 or any other term or condition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this Agreement to the contrary, Janssen acknowledges and agrees that BTO shall have no obligation to provide or disclose to Janssen any documents, materials or other information (including applications for Regulatory Approval and supporting or related information) with respect to (A) any therapeutic product that is not the Janssen Drug, (B) any confidential or proprietary information of any Third Party, (C) BTO Background Technology, or (D) other Know-How, in each case ((A) through (D)), to the extent (I) they do not relate specifically to the BTO CDx developed pursuant to this Agreement or (II) they contain information that BTO protects as a trade secret and is not necessary for Janssen or its Affiliates to possess in order to refer to any such BTO Assay that is subject to the Development Plan and the Commercialization Plan or the BTO CDx in obtaining or maintaining Regulatory Approval for the Janssen Drug for the applicable Indication; provided, however, that nothing in this sentence is intended or shall be construed to limit (i)</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799" w:name="page800"/>
    <w:bookmarkEnd w:id="799"/>
    <w:p>
      <w:pPr>
        <w:ind w:left="2440" w:right="379"/>
        <w:spacing w:after="0" w:line="28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obligation of BTO hereunder to provide or disclose to Janssen any documents, materials or other information (including applications for Regulatory Approval and supporting or related information) that are necessary for Janssen or its Affiliates to possess in order to obtain or maintain Regulatory Approval for the Janssen Drug for which the BTO CDx is used or (ii) Janssen’s rights or BTO’s obligations under Section 3.4.2.</w:t>
      </w:r>
    </w:p>
    <w:p>
      <w:pPr>
        <w:spacing w:after="0" w:line="51" w:lineRule="exact"/>
        <w:rPr>
          <w:sz w:val="20"/>
          <w:szCs w:val="20"/>
          <w:color w:val="auto"/>
        </w:rPr>
      </w:pPr>
    </w:p>
    <w:p>
      <w:pPr>
        <w:ind w:left="2440" w:right="239" w:hanging="503"/>
        <w:spacing w:after="0" w:line="255" w:lineRule="auto"/>
        <w:tabs>
          <w:tab w:leader="none" w:pos="2420" w:val="left"/>
        </w:tabs>
        <w:rPr>
          <w:sz w:val="20"/>
          <w:szCs w:val="20"/>
          <w:color w:val="auto"/>
        </w:rPr>
      </w:pPr>
      <w:r>
        <w:rPr>
          <w:rFonts w:ascii="Times New Roman" w:cs="Times New Roman" w:eastAsia="Times New Roman" w:hAnsi="Times New Roman"/>
          <w:sz w:val="14"/>
          <w:szCs w:val="14"/>
          <w:color w:val="auto"/>
        </w:rPr>
        <w:t>3.1.6</w:t>
      </w:r>
      <w:r>
        <w:rPr>
          <w:sz w:val="20"/>
          <w:szCs w:val="20"/>
          <w:color w:val="auto"/>
        </w:rPr>
        <w:tab/>
      </w:r>
      <w:r>
        <w:rPr>
          <w:rFonts w:ascii="Times New Roman" w:cs="Times New Roman" w:eastAsia="Times New Roman" w:hAnsi="Times New Roman"/>
          <w:sz w:val="14"/>
          <w:szCs w:val="14"/>
          <w:u w:val="single" w:color="auto"/>
          <w:color w:val="auto"/>
        </w:rPr>
        <w:t>Pre and Post-Submission Copies</w:t>
      </w:r>
      <w:r>
        <w:rPr>
          <w:rFonts w:ascii="Times New Roman" w:cs="Times New Roman" w:eastAsia="Times New Roman" w:hAnsi="Times New Roman"/>
          <w:sz w:val="14"/>
          <w:szCs w:val="14"/>
          <w:color w:val="auto"/>
        </w:rPr>
        <w:t>. Within [***] after submission of any regulatory filing and communications that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are made to obtain Regulatory Approval of the BTO CDx pursuant to the Development Plan or the Commercialization Plan, BTO shall provide Janssen with a copy of such submitted regulatory filing (for clarity, without any obligation to translate such filing into any language other than the language in which such filing was made). Additionally, BTO shall share with Janssen any FDA observations, audit-related findings, external audits with any observations, legal injunctions, or any issues that can impact the Janssen Drug approval timelines within [***] of receiving such feedback.</w:t>
      </w:r>
    </w:p>
    <w:p>
      <w:pPr>
        <w:spacing w:after="0" w:line="7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u w:val="single" w:color="auto"/>
          <w:color w:val="auto"/>
        </w:rPr>
        <w:t>Janssen Drug Approvals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5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As between the Parties, and subject to the other provisions of this Article 3 and the applicable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Development or Commercialization Plan, Janssen shall, at its own expense, have the sole right and responsibility to prepare, obtain and maintain Regulatory Approvals for, and to conduct communications with Regulatory Authorities regarding Regulatory Approvals for, the Janssen Drug.</w:t>
      </w:r>
    </w:p>
    <w:p>
      <w:pPr>
        <w:spacing w:after="0" w:line="66" w:lineRule="exact"/>
        <w:rPr>
          <w:sz w:val="20"/>
          <w:szCs w:val="20"/>
          <w:color w:val="auto"/>
        </w:rPr>
      </w:pPr>
    </w:p>
    <w:p>
      <w:pPr>
        <w:ind w:left="2440" w:right="23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auto"/>
        </w:rPr>
        <w:t>Regulatory Documentation</w:t>
      </w:r>
      <w:r>
        <w:rPr>
          <w:rFonts w:ascii="Times New Roman" w:cs="Times New Roman" w:eastAsia="Times New Roman" w:hAnsi="Times New Roman"/>
          <w:sz w:val="14"/>
          <w:szCs w:val="14"/>
          <w:color w:val="auto"/>
        </w:rPr>
        <w:t>. As between the Parties, all applications for Regulatory Approval, together with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related documentation, generated by Janssen or any of its Affiliates with respect to the Janssen Drug anywhere in the world shall be owned by, and shall be the sole property and held in the name of, Janssen or its designee. At Janssen’s reasonable request, BTO shall provide Janssen with any applications for Regulatory Approval and other information in the Control and possession of BTO or any of its Affiliates with respect to the BTO CDx developed pursuant to this Agreement as may be necessary for, or reasonably requested by, Janssen or any of its Affiliates to refer to such BTO CDx that is the subject of the Development Plan and the Commercialization Plan or the BTO CDx in obtaining or maintaining Regulatory Approvals for the Janssen Drug for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800" w:name="page801"/>
    <w:bookmarkEnd w:id="800"/>
    <w:p>
      <w:pPr>
        <w:ind w:left="2440" w:right="239"/>
        <w:spacing w:after="0" w:line="27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Indication. Janssen shall have the right to prepare and submit to Regulatory Authorities, and conduct communications with Regulatory Authorities regarding, clinical documentation specific to study risk determination of the BTO CDx developed or Commercialized under the applicable Development Plan or Commercialization Plan that is being used in the Clinical Trials; provided, however, that such right shall be without limitation to BTO’s rights to prepare and submit to Regulatory Authorities, and conduct communications with Regulatory Authorities regarding, any study risk determination with respect to the BTO CDx that is the subject of the Development Plan and the Commercialization Plan, and further provided, however, that BTO’s rights to prepare and submit such risk determination do not supersede BTO’s obligations under Section 3.1 with respect to Janssen’s right to review regulatory filings and participate in meetings with Regulatory Authorities.</w:t>
      </w:r>
    </w:p>
    <w:p>
      <w:pPr>
        <w:spacing w:after="0" w:line="58" w:lineRule="exact"/>
        <w:rPr>
          <w:sz w:val="20"/>
          <w:szCs w:val="20"/>
          <w:color w:val="auto"/>
        </w:rPr>
      </w:pPr>
    </w:p>
    <w:p>
      <w:pPr>
        <w:ind w:left="2440" w:right="239" w:hanging="503"/>
        <w:spacing w:after="0" w:line="273" w:lineRule="auto"/>
        <w:tabs>
          <w:tab w:leader="none" w:pos="2420" w:val="left"/>
        </w:tabs>
        <w:rPr>
          <w:sz w:val="20"/>
          <w:szCs w:val="20"/>
          <w:color w:val="auto"/>
        </w:rPr>
      </w:pPr>
      <w:r>
        <w:rPr>
          <w:rFonts w:ascii="Times New Roman" w:cs="Times New Roman" w:eastAsia="Times New Roman" w:hAnsi="Times New Roman"/>
          <w:sz w:val="14"/>
          <w:szCs w:val="14"/>
          <w:color w:val="auto"/>
        </w:rPr>
        <w:t>3.2.3</w:t>
      </w:r>
      <w:r>
        <w:rPr>
          <w:sz w:val="20"/>
          <w:szCs w:val="20"/>
          <w:color w:val="auto"/>
        </w:rPr>
        <w:tab/>
      </w:r>
      <w:r>
        <w:rPr>
          <w:rFonts w:ascii="Times New Roman" w:cs="Times New Roman" w:eastAsia="Times New Roman" w:hAnsi="Times New Roman"/>
          <w:sz w:val="13"/>
          <w:szCs w:val="13"/>
          <w:u w:val="single" w:color="auto"/>
          <w:color w:val="auto"/>
        </w:rPr>
        <w:t>Pre-Submission Review</w:t>
      </w:r>
      <w:r>
        <w:rPr>
          <w:rFonts w:ascii="Times New Roman" w:cs="Times New Roman" w:eastAsia="Times New Roman" w:hAnsi="Times New Roman"/>
          <w:sz w:val="13"/>
          <w:szCs w:val="13"/>
          <w:color w:val="auto"/>
        </w:rPr>
        <w:t>. Janssen shall provide BTO with a minimum of [***] (or such shorter time period as</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 xml:space="preserve">may be required for Janssen to comply with any applicable regulatory deadline) to review and comment on all regulatory filings that are required to be made to obtain Regulatory Approval of the applicable Janssen Drug in the Territory for use with the BTO CDx (and any filings of clinical documentation specific to risk determination of a BTO CDx developed under the applicable Development Plan or Commercialization Plan that is being used in Janssen’s Clinical Trials), in each case, to the extent any such filing involves a substantive discussion of such BTO Assay or BTO CDx or BTO’s related data. BTO shall be entitled to review and comment on (and shall prioritize its review of) any regulatory filings and communication by Janssen that are reasonably likely to result in any material delay to, or otherwise have a material effect on obtaining or maintaining Regulatory Approval of the applicable BTO CDx. Janssen shall incorporate BTO’s comments with respect to the foregoing regulatory filings and communications to the extent relating to the BTO CDx subject to the Development Plan and the Commercialization Plan or the BTO CDx;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in no event shall Janssen be obligated to delay the submission of any required regulatory response due to BTO’s failure to provide its comments in a timely manner.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801" w:name="page802"/>
    <w:bookmarkEnd w:id="801"/>
    <w:p>
      <w:pPr>
        <w:ind w:left="2440" w:right="259" w:hanging="503"/>
        <w:spacing w:after="0" w:line="274"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3.2.4</w:t>
      </w:r>
      <w:r>
        <w:rPr>
          <w:sz w:val="20"/>
          <w:szCs w:val="20"/>
          <w:color w:val="auto"/>
        </w:rPr>
        <w:tab/>
      </w:r>
      <w:r>
        <w:rPr>
          <w:rFonts w:ascii="Times New Roman" w:cs="Times New Roman" w:eastAsia="Times New Roman" w:hAnsi="Times New Roman"/>
          <w:sz w:val="13"/>
          <w:szCs w:val="13"/>
          <w:u w:val="single" w:color="auto"/>
          <w:color w:val="auto"/>
        </w:rPr>
        <w:t>Communications and Meetings with Authorities</w:t>
      </w:r>
      <w:r>
        <w:rPr>
          <w:rFonts w:ascii="Times New Roman" w:cs="Times New Roman" w:eastAsia="Times New Roman" w:hAnsi="Times New Roman"/>
          <w:sz w:val="13"/>
          <w:szCs w:val="13"/>
          <w:color w:val="auto"/>
        </w:rPr>
        <w:t>. To the extent legally permissible, Janssen shall provide BTO</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with a reasonable opportunity to attend any scheduled meeting with a Regulatory Authority that is anticipated to involve a Material Discussion of the BTO CDx, or BTO’s related Data in the Territory. For purposes of this Section 3.2.4, a “Material Discussion” is a discussion of Analytical Validation Data, design specifications, pre-analytical specifications, manufacturing specifications, and manufacturing Data. At Janssen’s reasonable request, BTO shall participate in any such scheduled meeting at BTO’s sole cost and expense. To the extent legally permissible, if Regulatory Authorities outside the Territory seek a Material Discussion of the BTO Assay in the context of Janssen seeking Regulatory Approval of the Janssen Drug, then Janssen shall invite BTO to participate in the review of the information to be communicated to the Regulatory Authority. BTO acknowledges and agrees that the need to submit timely communications to Regulatory Authorities outside the Territory may not permit extensive advanced notice, but Janssen shall invite BTO to participate in the review of any such communications within a commercially reasonable period after the necessity for such a communication arises.</w:t>
      </w:r>
    </w:p>
    <w:p>
      <w:pPr>
        <w:spacing w:after="0" w:line="61" w:lineRule="exact"/>
        <w:rPr>
          <w:sz w:val="20"/>
          <w:szCs w:val="20"/>
          <w:color w:val="auto"/>
        </w:rPr>
      </w:pPr>
    </w:p>
    <w:p>
      <w:pPr>
        <w:ind w:left="2440" w:right="239" w:hanging="503"/>
        <w:spacing w:after="0" w:line="274" w:lineRule="auto"/>
        <w:tabs>
          <w:tab w:leader="none" w:pos="2420" w:val="left"/>
        </w:tabs>
        <w:rPr>
          <w:sz w:val="20"/>
          <w:szCs w:val="20"/>
          <w:color w:val="auto"/>
        </w:rPr>
      </w:pPr>
      <w:r>
        <w:rPr>
          <w:rFonts w:ascii="Times New Roman" w:cs="Times New Roman" w:eastAsia="Times New Roman" w:hAnsi="Times New Roman"/>
          <w:sz w:val="14"/>
          <w:szCs w:val="14"/>
          <w:color w:val="auto"/>
        </w:rPr>
        <w:t>3.2.5</w:t>
      </w:r>
      <w:r>
        <w:rPr>
          <w:sz w:val="20"/>
          <w:szCs w:val="20"/>
          <w:color w:val="auto"/>
        </w:rPr>
        <w:tab/>
      </w:r>
      <w:r>
        <w:rPr>
          <w:rFonts w:ascii="Times New Roman" w:cs="Times New Roman" w:eastAsia="Times New Roman" w:hAnsi="Times New Roman"/>
          <w:sz w:val="13"/>
          <w:szCs w:val="13"/>
          <w:u w:val="single" w:color="auto"/>
          <w:color w:val="auto"/>
        </w:rPr>
        <w:t>Limitations on Review</w:t>
      </w:r>
      <w:r>
        <w:rPr>
          <w:rFonts w:ascii="Times New Roman" w:cs="Times New Roman" w:eastAsia="Times New Roman" w:hAnsi="Times New Roman"/>
          <w:sz w:val="13"/>
          <w:szCs w:val="13"/>
          <w:color w:val="auto"/>
        </w:rPr>
        <w:t>. Notwithstanding anything contained in this Section 3.2 or any other term or condition of</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this Agreement to the contrary, BTO acknowledges and agrees that Janssen shall have no obligation to provide or disclose to BTO any documents, materials or other information (including applications for Regulatory Approval and supporting or related information) with respect to (i) any assay that is not a BTO CDx to be developed or Commercialized under this Agreement, (ii) any confidential or proprietary information of any Third Party,</w:t>
      </w:r>
    </w:p>
    <w:p>
      <w:pPr>
        <w:spacing w:after="0" w:line="1" w:lineRule="exact"/>
        <w:rPr>
          <w:sz w:val="20"/>
          <w:szCs w:val="20"/>
          <w:color w:val="auto"/>
        </w:rPr>
      </w:pPr>
    </w:p>
    <w:p>
      <w:pPr>
        <w:ind w:left="2680" w:hanging="243"/>
        <w:spacing w:after="0"/>
        <w:tabs>
          <w:tab w:leader="none" w:pos="2680"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aspects of Janssen Drugs, or (iv) other confidential or proprietary information of Janssen, in each case</w:t>
      </w:r>
    </w:p>
    <w:p>
      <w:pPr>
        <w:spacing w:after="0" w:line="6" w:lineRule="exact"/>
        <w:rPr>
          <w:rFonts w:ascii="Times New Roman" w:cs="Times New Roman" w:eastAsia="Times New Roman" w:hAnsi="Times New Roman"/>
          <w:sz w:val="14"/>
          <w:szCs w:val="14"/>
          <w:color w:val="auto"/>
        </w:rPr>
      </w:pPr>
    </w:p>
    <w:p>
      <w:pPr>
        <w:ind w:left="2600" w:hanging="163"/>
        <w:spacing w:after="0"/>
        <w:tabs>
          <w:tab w:leader="none" w:pos="26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(iv), to the extent (A) they do not relate specifically to the Janssen Drug for which a BTO CDx is</w:t>
      </w:r>
    </w:p>
    <w:p>
      <w:pPr>
        <w:spacing w:after="0" w:line="6" w:lineRule="exact"/>
        <w:rPr>
          <w:rFonts w:ascii="Times New Roman" w:cs="Times New Roman" w:eastAsia="Times New Roman" w:hAnsi="Times New Roman"/>
          <w:sz w:val="14"/>
          <w:szCs w:val="14"/>
          <w:color w:val="auto"/>
        </w:rPr>
      </w:pPr>
    </w:p>
    <w:p>
      <w:pPr>
        <w:ind w:left="2440" w:right="23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Developed or Commercialized pursuant to this Agreement or (B) they contain information that Janssen protects as a trade secret; provided, however, that nothing in this sentence is intended or shall be construed to limit (I) any obligation of Janssen hereunder to provide or disclose to BTO any documents, materials or other information (including applications for Regulatory Approval and supporting or related information) that are necessary for BTO or its Affiliates to possess in order to obtain or maintain Regulatory Approval for the BTO CDx or</w:t>
      </w:r>
    </w:p>
    <w:p>
      <w:pPr>
        <w:spacing w:after="0" w:line="1" w:lineRule="exact"/>
        <w:rPr>
          <w:rFonts w:ascii="Times New Roman" w:cs="Times New Roman" w:eastAsia="Times New Roman" w:hAnsi="Times New Roman"/>
          <w:sz w:val="14"/>
          <w:szCs w:val="14"/>
          <w:color w:val="auto"/>
        </w:rPr>
      </w:pPr>
    </w:p>
    <w:p>
      <w:pPr>
        <w:ind w:left="2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BTO’s rights or Janssen’s obligations under the last sentence of Section 3.1.2 or under Section 3.4.1.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802" w:name="page803"/>
    <w:bookmarkEnd w:id="802"/>
    <w:p>
      <w:pPr>
        <w:ind w:left="2440" w:right="279" w:hanging="503"/>
        <w:spacing w:after="0" w:line="258"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3.2.6</w:t>
      </w:r>
      <w:r>
        <w:rPr>
          <w:sz w:val="20"/>
          <w:szCs w:val="20"/>
          <w:color w:val="auto"/>
        </w:rPr>
        <w:tab/>
      </w:r>
      <w:r>
        <w:rPr>
          <w:rFonts w:ascii="Times New Roman" w:cs="Times New Roman" w:eastAsia="Times New Roman" w:hAnsi="Times New Roman"/>
          <w:sz w:val="14"/>
          <w:szCs w:val="14"/>
          <w:u w:val="single" w:color="auto"/>
          <w:color w:val="auto"/>
        </w:rPr>
        <w:t>Post-Submission Copies</w:t>
      </w:r>
      <w:r>
        <w:rPr>
          <w:rFonts w:ascii="Times New Roman" w:cs="Times New Roman" w:eastAsia="Times New Roman" w:hAnsi="Times New Roman"/>
          <w:sz w:val="14"/>
          <w:szCs w:val="14"/>
          <w:color w:val="auto"/>
        </w:rPr>
        <w:t>. Within [***] after submission of any regulatory filing and communications that are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made to obtain Regulatory Approval of the Janssen Drug for the Indication(s) for use with the corresponding BTO CDx in the Territory, Janssen shall provide BTO with a copy of such submitted regulatory filing, limited to the portions of such filing that reference the BTO CDx (for clarity, without any obligation to translate such filing into any language other than the language in which such filing was made).</w:t>
      </w:r>
    </w:p>
    <w:p>
      <w:pPr>
        <w:spacing w:after="0" w:line="69" w:lineRule="exact"/>
        <w:rPr>
          <w:sz w:val="20"/>
          <w:szCs w:val="20"/>
          <w:color w:val="auto"/>
        </w:rPr>
      </w:pPr>
    </w:p>
    <w:p>
      <w:pPr>
        <w:ind w:left="1940" w:right="279" w:hanging="597"/>
        <w:spacing w:after="0" w:line="255" w:lineRule="auto"/>
        <w:tabs>
          <w:tab w:leader="none" w:pos="192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u w:val="single" w:color="auto"/>
          <w:color w:val="auto"/>
        </w:rPr>
        <w:t>Notice of Events or Recalls</w:t>
      </w:r>
      <w:r>
        <w:rPr>
          <w:rFonts w:ascii="Times New Roman" w:cs="Times New Roman" w:eastAsia="Times New Roman" w:hAnsi="Times New Roman"/>
          <w:sz w:val="14"/>
          <w:szCs w:val="14"/>
          <w:color w:val="auto"/>
        </w:rPr>
        <w:t>. Subject to Sections 6.2 and 6.3, each Party will promptly inform the other Party of any field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safety corrective actions, recalls, or removals of the BTO CDx for use with the Janssen Drug, or any similar material event concerning the BTO CDx or any field safety corrective actions, recalls, or removals of the Janssen Drug. Janssen shall have no liability for any costs or expenses respecting recalls of the BTO CDx absent any such recall attributed in whole or part to the Janssen Drug. In the event of a recall of the Janssen Drug in the Territory, BTO shall have no liability for any costs or expenses respecting such recalls of the Janssen Drug absent any such recall attributed in whole or part to the BTO CDx.</w:t>
      </w:r>
    </w:p>
    <w:p>
      <w:pPr>
        <w:spacing w:after="0" w:line="7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3"/>
          <w:szCs w:val="13"/>
          <w:u w:val="single" w:color="auto"/>
          <w:color w:val="auto"/>
        </w:rPr>
        <w:t>Rights of Reference</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99" w:hanging="503"/>
        <w:spacing w:after="0" w:line="256" w:lineRule="auto"/>
        <w:tabs>
          <w:tab w:leader="none" w:pos="2420" w:val="left"/>
        </w:tabs>
        <w:rPr>
          <w:sz w:val="20"/>
          <w:szCs w:val="20"/>
          <w:color w:val="auto"/>
        </w:rPr>
      </w:pPr>
      <w:r>
        <w:rPr>
          <w:rFonts w:ascii="Times New Roman" w:cs="Times New Roman" w:eastAsia="Times New Roman" w:hAnsi="Times New Roman"/>
          <w:sz w:val="14"/>
          <w:szCs w:val="14"/>
          <w:color w:val="auto"/>
        </w:rPr>
        <w:t>3.4.1</w:t>
      </w:r>
      <w:r>
        <w:rPr>
          <w:sz w:val="20"/>
          <w:szCs w:val="20"/>
          <w:color w:val="auto"/>
        </w:rPr>
        <w:tab/>
      </w:r>
      <w:r>
        <w:rPr>
          <w:rFonts w:ascii="Times New Roman" w:cs="Times New Roman" w:eastAsia="Times New Roman" w:hAnsi="Times New Roman"/>
          <w:sz w:val="14"/>
          <w:szCs w:val="14"/>
          <w:color w:val="auto"/>
        </w:rPr>
        <w:t>Janssen shall, upon reasonable request, provide BTO with any appropriate letters or other similar documentation necessary to authorize such entity to cross-reference and rely (on a non-exclusive basis) upon the contents of Janssen’s application for Regulatory Approval in the Territory and related documentation for the Janssen Drug which is the subject of the Development Plan or the Commercialization Plan, for the sole purposes of filing, obtaining and maintaining Regulatory Approval for the BTO Assay which is the subject of the applicable Development Plan or Commercialization Plan in the Territory.</w:t>
      </w:r>
    </w:p>
    <w:p>
      <w:pPr>
        <w:spacing w:after="0" w:line="71" w:lineRule="exact"/>
        <w:rPr>
          <w:sz w:val="20"/>
          <w:szCs w:val="20"/>
          <w:color w:val="auto"/>
        </w:rPr>
      </w:pPr>
    </w:p>
    <w:p>
      <w:pPr>
        <w:ind w:left="2440" w:right="25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3.4.2</w:t>
      </w:r>
      <w:r>
        <w:rPr>
          <w:sz w:val="20"/>
          <w:szCs w:val="20"/>
          <w:color w:val="auto"/>
        </w:rPr>
        <w:tab/>
      </w:r>
      <w:r>
        <w:rPr>
          <w:rFonts w:ascii="Times New Roman" w:cs="Times New Roman" w:eastAsia="Times New Roman" w:hAnsi="Times New Roman"/>
          <w:sz w:val="14"/>
          <w:szCs w:val="14"/>
          <w:color w:val="auto"/>
        </w:rPr>
        <w:t>BTO shall, and shall ensure that its Affiliates shall, upon reasonable request provide Janssen (and Janssen’s designated Affiliates and (sub)licensees) with any appropriate letters or other similar documentation necessary to authorize such entity to cross-reference and rely (on a non-exclusive basis) upon the contents of BTO’s or any of its Affiliate’s (or, to the extent Controlled by BTO or any of its Affiliates, any of their respective (sub)licensee’s) application for Regulatory Approval and related documentation for any BTO Assay which is the subject of the Development Plan or the Commercialization Plan, for the sole purposes of filing, obtaining and maintaining Regulatory Approvals for the Janssen Drug which is the subject of the applicable Development Plan or Commercialization Plan throughout the world.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2" w:right="1440" w:bottom="1440" w:gutter="0" w:footer="0" w:header="0"/>
        </w:sectPr>
      </w:pPr>
    </w:p>
    <w:bookmarkStart w:id="803" w:name="page804"/>
    <w:bookmarkEnd w:id="803"/>
    <w:p>
      <w:pPr>
        <w:ind w:left="820" w:hanging="597"/>
        <w:spacing w:after="0"/>
        <w:tabs>
          <w:tab w:leader="none" w:pos="820" w:val="left"/>
        </w:tabs>
        <w:numPr>
          <w:ilvl w:val="0"/>
          <w:numId w:val="5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CLINICAL TRIALS</w:t>
      </w:r>
    </w:p>
    <w:p>
      <w:pPr>
        <w:spacing w:after="0" w:line="103" w:lineRule="exact"/>
        <w:rPr>
          <w:sz w:val="20"/>
          <w:szCs w:val="20"/>
          <w:color w:val="auto"/>
        </w:rPr>
      </w:pPr>
    </w:p>
    <w:p>
      <w:pPr>
        <w:ind w:left="1940" w:right="27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auto"/>
        </w:rPr>
        <w:t>Supply of the BTO Assay</w:t>
      </w:r>
      <w:r>
        <w:rPr>
          <w:rFonts w:ascii="Times New Roman" w:cs="Times New Roman" w:eastAsia="Times New Roman" w:hAnsi="Times New Roman"/>
          <w:sz w:val="14"/>
          <w:szCs w:val="14"/>
          <w:color w:val="auto"/>
        </w:rPr>
        <w:t>. The Parties acknowledge that BTO and Janssen Research &amp; Development, LLC (“JRD”), an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Affiliate of Janssen, have entered into Prior Collaboration Agreement. Nothing in this Agreement is intended to amend or modify the Prior Collaboration Agreement, except to the extent expressly stated as such.</w:t>
      </w:r>
    </w:p>
    <w:p>
      <w:pPr>
        <w:spacing w:after="0" w:line="61" w:lineRule="exact"/>
        <w:rPr>
          <w:sz w:val="20"/>
          <w:szCs w:val="20"/>
          <w:color w:val="auto"/>
        </w:rPr>
      </w:pPr>
    </w:p>
    <w:p>
      <w:pPr>
        <w:ind w:left="820" w:hanging="597"/>
        <w:spacing w:after="0"/>
        <w:tabs>
          <w:tab w:leader="none" w:pos="820" w:val="left"/>
        </w:tabs>
        <w:numPr>
          <w:ilvl w:val="0"/>
          <w:numId w:val="5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COMMERCIALIZATION</w:t>
      </w:r>
    </w:p>
    <w:p>
      <w:pPr>
        <w:spacing w:after="0" w:line="10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u w:val="single" w:color="auto"/>
          <w:color w:val="auto"/>
        </w:rPr>
        <w:t>Commercialization</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5.1.1</w:t>
      </w:r>
      <w:r>
        <w:rPr>
          <w:sz w:val="20"/>
          <w:szCs w:val="20"/>
          <w:color w:val="auto"/>
        </w:rPr>
        <w:tab/>
      </w:r>
      <w:r>
        <w:rPr>
          <w:rFonts w:ascii="Times New Roman" w:cs="Times New Roman" w:eastAsia="Times New Roman" w:hAnsi="Times New Roman"/>
          <w:sz w:val="13"/>
          <w:szCs w:val="13"/>
          <w:u w:val="single" w:color="auto"/>
          <w:color w:val="auto"/>
        </w:rPr>
        <w:t>Generally</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3040" w:right="279" w:hanging="593"/>
        <w:spacing w:after="0" w:line="253" w:lineRule="auto"/>
        <w:tabs>
          <w:tab w:leader="none" w:pos="3040"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Commercialization shall be performed in accordance with the terms of this Agreement, including the Commercialization Plan. At least [***] prior to the First Commercial Sale, the JSC shall establish the JCC and BTO shall provide Janssen with its Commercialization Plan for review and discussion with Janssen. At least [***] prior to the First Commercial Sale of the Janssen Drug, the JCC shall commence discussions of the strategy for BTO to make or cause to be made commercially available the BTO CDx for the Territory. If BTO does not provide reasonable evidence to Janssen that it has satisfied each of the preceding obligations in this Section 5.1.1(a) within the time specified, any such failure will be deemed a Failure of Continuous Supply as provided in Section 5.3 with the consequent rights and obligations as provided under Section 5.3 in the event of such failure. If BTO and Janssen are unable to agree on a Commercialization Plan after good faith negotiations at least [***] prior to the First Commercial Sale, Janssen may terminate this Agreement pursuant to Section 13.2.9.</w:t>
      </w:r>
    </w:p>
    <w:p>
      <w:pPr>
        <w:spacing w:after="0" w:line="74" w:lineRule="exact"/>
        <w:rPr>
          <w:rFonts w:ascii="Times New Roman" w:cs="Times New Roman" w:eastAsia="Times New Roman" w:hAnsi="Times New Roman"/>
          <w:sz w:val="14"/>
          <w:szCs w:val="14"/>
          <w:color w:val="auto"/>
        </w:rPr>
      </w:pPr>
    </w:p>
    <w:p>
      <w:pPr>
        <w:ind w:left="3040" w:right="619" w:hanging="593"/>
        <w:spacing w:after="0" w:line="266" w:lineRule="auto"/>
        <w:tabs>
          <w:tab w:leader="none" w:pos="3040" w:val="left"/>
        </w:tabs>
        <w:numPr>
          <w:ilvl w:val="0"/>
          <w:numId w:val="5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Upon receipt of Regulatory Approval to market a BTO CDx in the Territory, BTO shall use Commercially Reasonable Efforts to make the BTO CDx and the results thereof available in the Territory for testing patients for the Indication during the CRE Period.</w:t>
      </w:r>
    </w:p>
    <w:p>
      <w:pPr>
        <w:spacing w:after="0" w:line="6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u w:val="single" w:color="auto"/>
          <w:color w:val="auto"/>
        </w:rPr>
        <w:t>Obligations and Roles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3040" w:right="259" w:hanging="593"/>
        <w:spacing w:after="0" w:line="266" w:lineRule="auto"/>
        <w:tabs>
          <w:tab w:leader="none" w:pos="30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between the Parties, and subject to the role specified for Janssen in Section 5.2(b), BTO shall be responsible, and shall exercise its Commercially Reasonable Efforts, for the Commercialization of the BTO CDx in the Territory in which BTO has made such BTO CDx available pursuant to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804" w:name="page805"/>
    <w:bookmarkEnd w:id="804"/>
    <w:p>
      <w:pPr>
        <w:ind w:left="3040" w:right="2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Commercialization Plan and undertaking the activities as set forth in the “Commercialization Plan, and shall continue using Commercially Reasonable Efforts to Commercialize the BTO CDx in the Territory subsequent to completion of the activities specified in the Commercialization Plan, during the CRE Period. The Commercialization Plan may include, by way of example, activities in the areas of marketing plans, pricing, market access, sales, reimbursement, training, medical affairs support, life cycle management, publications, medical congress support, medical education, field support and tools. BTO shall not provide or distribute any Labeling containing any information concerning the Janssen Drug unless such use satisfies the guidelines and approval process provided in Section 5.4. and related agreement by the Parties as provided in Section 5.4.</w:t>
      </w:r>
    </w:p>
    <w:p>
      <w:pPr>
        <w:spacing w:after="0" w:line="72" w:lineRule="exact"/>
        <w:rPr>
          <w:sz w:val="20"/>
          <w:szCs w:val="20"/>
          <w:color w:val="auto"/>
        </w:rPr>
      </w:pPr>
    </w:p>
    <w:p>
      <w:pPr>
        <w:ind w:left="3040" w:right="259" w:hanging="593"/>
        <w:spacing w:after="0" w:line="254" w:lineRule="auto"/>
        <w:tabs>
          <w:tab w:leader="none" w:pos="3040"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between the Parties, Janssen may, at its discretion, separately and independently inform and educate Janssen’s customers and related parties (including but not limited to Janssen Drug prescribing physicians, other health care practitioners, patients, and payors) regarding the BTO CDx with materials prepared by Janssen in areas including, but not limited to, sales and marketing, medical affairs, reimbursement, and market access. Janssen shall not provide or distribute any Label containing any information concerning the BTO CDx unless such use satisfies the guidelines and approval process provided in Section 5.4 and related agreement by the Parties as provided in Section 5.4.</w:t>
      </w:r>
    </w:p>
    <w:p>
      <w:pPr>
        <w:spacing w:after="0" w:line="75" w:lineRule="exact"/>
        <w:rPr>
          <w:sz w:val="20"/>
          <w:szCs w:val="20"/>
          <w:color w:val="auto"/>
        </w:rPr>
      </w:pPr>
    </w:p>
    <w:p>
      <w:pPr>
        <w:ind w:left="1940" w:right="239" w:hanging="597"/>
        <w:spacing w:after="0" w:line="253" w:lineRule="auto"/>
        <w:tabs>
          <w:tab w:leader="none" w:pos="192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u w:val="single" w:color="auto"/>
          <w:color w:val="auto"/>
        </w:rPr>
        <w:t>Inventory</w:t>
      </w:r>
      <w:r>
        <w:rPr>
          <w:rFonts w:ascii="Times New Roman" w:cs="Times New Roman" w:eastAsia="Times New Roman" w:hAnsi="Times New Roman"/>
          <w:sz w:val="14"/>
          <w:szCs w:val="14"/>
          <w:color w:val="auto"/>
        </w:rPr>
        <w:t>. During the CRE Period, BTO shall use Commercially Reasonable Efforts to build and maintain an inventory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necessary components of the BTO CDx for use in the Territory sufficient to meet the anticipated demand for such BTO CDx in the Territory as set forth in forecasts provided by Janssen. BTO shall promptly inform Janssen of any issues that may negatively impact its ability to maintain the required inventory. Upon notice of such issues, or in the event that BTO does not satisfy the inventory requirements specified in this Section 5.3, the JSC shall promptly discuss possible solutions and the Parties shall, in good faith negotiate terms to implement solutions to the issues if practicable solutions are identified, provided that such JSC discussions and obligation to negotiate terms are not in lieu of, or shall in any way delay or prevent Janssen from implementing, Janssen’s rights hereunder respecting BTO failure to satisfy inventory requirements specified in this Section 5.3. In the event that BTO does not satisfy the inventory requirements specified in this Section 5.3 and does not provide reasonable written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805" w:name="page806"/>
    <w:bookmarkEnd w:id="805"/>
    <w:p>
      <w:pPr>
        <w:ind w:left="1940" w:right="29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assurances to Janssen providing reasonable evidence that it can meet the supply requirements of Section 6.1.2, such failure of inventory requirements shall be deemed a “Failure of Continuous Supply” under Section 6.1.2 with the consequent effect as specified in the event of such failure. For clarity, BTO’s failure to meet the inventory requirements, despite its use of Commercially Reasonable Efforts does not impact or limit Janssen’s rights under Section 6.1.2 but shall not be considered a breach or default of this Agreement by BTO unless BTO fails to use Commercially Reasonable Efforts as required hereunder.</w:t>
      </w:r>
    </w:p>
    <w:p>
      <w:pPr>
        <w:spacing w:after="0" w:line="71" w:lineRule="exact"/>
        <w:rPr>
          <w:sz w:val="20"/>
          <w:szCs w:val="20"/>
          <w:color w:val="auto"/>
        </w:rPr>
      </w:pPr>
    </w:p>
    <w:p>
      <w:pPr>
        <w:ind w:left="1940" w:right="23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u w:val="single" w:color="auto"/>
          <w:color w:val="auto"/>
        </w:rPr>
        <w:t>Labeling</w:t>
      </w:r>
      <w:r>
        <w:rPr>
          <w:rFonts w:ascii="Times New Roman" w:cs="Times New Roman" w:eastAsia="Times New Roman" w:hAnsi="Times New Roman"/>
          <w:sz w:val="14"/>
          <w:szCs w:val="14"/>
          <w:color w:val="auto"/>
        </w:rPr>
        <w:t>. BTO shall incorporate Janssen’s comments with respect to Labeling of the BTO CDx (i) to the extent relating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safety, efficacy or intended use of the Janssen Drug for the Indication or the interpretation of data generated in the conduct of Clinical Trials concerning the Janssen Drug and (ii) as otherwise reasonably necessary for Commercialization of the BTO CDx. Prior to Commercialization of the BTO CDx or the Janssen Drug, the Parties will work together in good faith to define guidelines and a process for reviewing and approving the Labeling.</w:t>
      </w:r>
    </w:p>
    <w:p>
      <w:pPr>
        <w:spacing w:after="0" w:line="255" w:lineRule="exact"/>
        <w:rPr>
          <w:sz w:val="20"/>
          <w:szCs w:val="20"/>
          <w:color w:val="auto"/>
        </w:rPr>
      </w:pPr>
    </w:p>
    <w:p>
      <w:pPr>
        <w:ind w:left="820" w:hanging="597"/>
        <w:spacing w:after="0"/>
        <w:tabs>
          <w:tab w:leader="none" w:pos="820" w:val="left"/>
        </w:tabs>
        <w:numPr>
          <w:ilvl w:val="0"/>
          <w:numId w:val="5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INSPECTIONS, SUPPLY FAILURE, AND COMPLAINTS</w:t>
      </w:r>
    </w:p>
    <w:p>
      <w:pPr>
        <w:spacing w:after="0" w:line="103" w:lineRule="exact"/>
        <w:rPr>
          <w:rFonts w:ascii="Times New Roman" w:cs="Times New Roman" w:eastAsia="Times New Roman" w:hAnsi="Times New Roman"/>
          <w:sz w:val="14"/>
          <w:szCs w:val="14"/>
          <w:b w:val="1"/>
          <w:bCs w:val="1"/>
          <w:color w:val="auto"/>
        </w:rPr>
      </w:pPr>
    </w:p>
    <w:p>
      <w:pPr>
        <w:ind w:left="13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6.1</w:t>
      </w:r>
      <w:r>
        <w:rPr>
          <w:rFonts w:ascii="Times New Roman" w:cs="Times New Roman" w:eastAsia="Times New Roman" w:hAnsi="Times New Roman"/>
          <w:sz w:val="13"/>
          <w:szCs w:val="13"/>
          <w:u w:val="single" w:color="auto"/>
          <w:color w:val="auto"/>
        </w:rPr>
        <w:t>Inspections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xml:space="preserve"> Failure of Continuous Supply</w:t>
      </w:r>
    </w:p>
    <w:p>
      <w:pPr>
        <w:spacing w:after="0" w:line="101" w:lineRule="exact"/>
        <w:rPr>
          <w:rFonts w:ascii="Times New Roman" w:cs="Times New Roman" w:eastAsia="Times New Roman" w:hAnsi="Times New Roman"/>
          <w:sz w:val="14"/>
          <w:szCs w:val="14"/>
          <w:b w:val="1"/>
          <w:bCs w:val="1"/>
          <w:color w:val="auto"/>
        </w:rPr>
      </w:pPr>
    </w:p>
    <w:p>
      <w:pPr>
        <w:ind w:left="1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Inspections and Audits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b w:val="1"/>
          <w:bCs w:val="1"/>
          <w:color w:val="auto"/>
        </w:rPr>
      </w:pPr>
    </w:p>
    <w:p>
      <w:pPr>
        <w:ind w:left="3040" w:right="299" w:hanging="593"/>
        <w:spacing w:after="0" w:line="252" w:lineRule="auto"/>
        <w:tabs>
          <w:tab w:leader="none" w:pos="3040" w:val="left"/>
        </w:tabs>
        <w:numPr>
          <w:ilvl w:val="1"/>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during the Term, commencing on the first (1st) anniversary of the Effective Date, Janssen shall: (i) first have the right to request (upon no less than [***] prior notice, unless a shorter period is mutually agreed to by the Parties) access to non-confidential, published results from BTO’s most recent (i.e., closest to the date of the request) FDA and/or ISO audits or inspections and other non-confidential information relevant to BTO’s obligations under this Agreement; and (ii) if such non-confidential published results are not reasonably satisfactory to Janssen, in Janssen’s good faith opinion, to assure Janssen of BTO’s performance and ability to perform and satisfy its obligations under this Agreement, Janssen may have such results evaluated by an independent Third Party with relevant industry experience, reasonably acceptable to BTO. If the Parties cannot agree on the selection of such independent Third Party, the issue shall be escalated to the JSC for resolution. If such Third Party expert confirms the results to be below industry standard, Janssen may inspect and audit (either by itself, pursuant to Jansen’s own audit procedures, or through a Third Party reasonably acceptable to BTO) BTO’s laboratory testing service operation, manufacturing operation, and related facilities upon reasonable notice (which shall be no less than [***] prior notice, unless a shorter period is mutually agreed to by the Parties), and during normal business hours.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1" w:right="1440" w:bottom="1440" w:gutter="0" w:footer="0" w:header="0"/>
        </w:sectPr>
      </w:pPr>
    </w:p>
    <w:bookmarkStart w:id="806" w:name="page807"/>
    <w:bookmarkEnd w:id="806"/>
    <w:p>
      <w:pPr>
        <w:jc w:val="both"/>
        <w:ind w:left="3040" w:right="339" w:hanging="593"/>
        <w:spacing w:after="0" w:line="266" w:lineRule="auto"/>
        <w:tabs>
          <w:tab w:leader="none" w:pos="304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connection with any inspection or audit, BTO shall have no obligation to provide Janssen and/or a Third Party access to BTO confidential information related to any other BTO product or Technology under development that is not the BTO CDx subject to this Agreement.</w:t>
      </w:r>
    </w:p>
    <w:p>
      <w:pPr>
        <w:spacing w:after="0" w:line="62" w:lineRule="exact"/>
        <w:rPr>
          <w:rFonts w:ascii="Times New Roman" w:cs="Times New Roman" w:eastAsia="Times New Roman" w:hAnsi="Times New Roman"/>
          <w:sz w:val="14"/>
          <w:szCs w:val="14"/>
          <w:color w:val="auto"/>
        </w:rPr>
      </w:pPr>
    </w:p>
    <w:p>
      <w:pPr>
        <w:ind w:left="3040" w:right="259" w:hanging="593"/>
        <w:spacing w:after="0" w:line="255" w:lineRule="auto"/>
        <w:tabs>
          <w:tab w:leader="none" w:pos="304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this Agreement, BTO shall inform Janssen within [***] of its first notification of any audit or inspection by any Regulatory Authority which directly relates to the BTO Assay subject to the Development Plan and Commercialization Plan or the BTO CDx. BTO shall promptly provide to Janssen in writing the results of any such audits or inspections, and of any audits or inspections that reasonably can be expected to materially impact the Intended Use of the BTO CDx described in this Agreement, once the audit or inspection report is received and processed internally at BTO, but in any event within [***] of BTO’s receipt of the inspection report.</w:t>
      </w:r>
    </w:p>
    <w:p>
      <w:pPr>
        <w:spacing w:after="0" w:line="72" w:lineRule="exact"/>
        <w:rPr>
          <w:rFonts w:ascii="Times New Roman" w:cs="Times New Roman" w:eastAsia="Times New Roman" w:hAnsi="Times New Roman"/>
          <w:sz w:val="14"/>
          <w:szCs w:val="14"/>
          <w:color w:val="auto"/>
        </w:rPr>
      </w:pPr>
    </w:p>
    <w:p>
      <w:pPr>
        <w:ind w:left="3040" w:right="299" w:hanging="593"/>
        <w:spacing w:after="0" w:line="256" w:lineRule="auto"/>
        <w:tabs>
          <w:tab w:leader="none" w:pos="304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any inspection or audit by Janssen, or by a Third Party on behalf of Janssen, pursuant to this Section 6.1.1 shall not exceed [***] per site (“Audit Period”), unless Janssen provides a reasonable reason to extend such inspection or audit. Janssen shall issue to BTO a written report detailing Janssen’s observations and conclusions of any such inspection or audit and BTO shall use Commercially Reasonable Efforts to institute reasonable corrective measures to address deficiencies identified in Janssen’s inspection or audit.</w:t>
      </w:r>
    </w:p>
    <w:p>
      <w:pPr>
        <w:spacing w:after="0" w:line="71" w:lineRule="exact"/>
        <w:rPr>
          <w:rFonts w:ascii="Times New Roman" w:cs="Times New Roman" w:eastAsia="Times New Roman" w:hAnsi="Times New Roman"/>
          <w:sz w:val="14"/>
          <w:szCs w:val="14"/>
          <w:color w:val="auto"/>
        </w:rPr>
      </w:pPr>
    </w:p>
    <w:p>
      <w:pPr>
        <w:ind w:left="3040" w:right="359" w:hanging="593"/>
        <w:spacing w:after="0" w:line="261" w:lineRule="auto"/>
        <w:tabs>
          <w:tab w:leader="none" w:pos="304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representatives of Janssen participating in such inspection or audit shall comply with BTO’s instructions and policies related to work-place safety, and Janssen representatives that are Third Parties participating in such inspection or audit shall enter into confidentiality agreements with BTO in a form reasonably acceptable to BTO.</w:t>
      </w:r>
    </w:p>
    <w:p>
      <w:pPr>
        <w:spacing w:after="0" w:line="65" w:lineRule="exact"/>
        <w:rPr>
          <w:rFonts w:ascii="Times New Roman" w:cs="Times New Roman" w:eastAsia="Times New Roman" w:hAnsi="Times New Roman"/>
          <w:sz w:val="14"/>
          <w:szCs w:val="14"/>
          <w:color w:val="auto"/>
        </w:rPr>
      </w:pPr>
    </w:p>
    <w:p>
      <w:pPr>
        <w:ind w:left="3040" w:right="279" w:hanging="593"/>
        <w:spacing w:after="0" w:line="256" w:lineRule="auto"/>
        <w:tabs>
          <w:tab w:leader="none" w:pos="304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acknowledge that BTO may be subject to extraordinary circumstances that may render an audit within the timelines mentioned in this Section 6.1.1 impossible, e.g., in case of already planned Regulatory Authority inspections or Third Party audits at the relevant BTO or subcontractor facilities. In such case the Parties shall discuss in good faith alternative audit dates as soon as possible after the relevant timelines. The extension of such audit date shall to the extent possible not exceed [***] calendar days.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1" w:right="1440" w:bottom="1440" w:gutter="0" w:footer="0" w:header="0"/>
        </w:sectPr>
      </w:pPr>
    </w:p>
    <w:bookmarkStart w:id="807" w:name="page808"/>
    <w:bookmarkEnd w:id="807"/>
    <w:p>
      <w:pPr>
        <w:ind w:left="2440" w:right="239" w:hanging="503"/>
        <w:spacing w:after="0" w:line="252"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6.1.2</w:t>
      </w:r>
      <w:r>
        <w:rPr>
          <w:sz w:val="20"/>
          <w:szCs w:val="20"/>
          <w:color w:val="auto"/>
        </w:rPr>
        <w:tab/>
      </w:r>
      <w:r>
        <w:rPr>
          <w:rFonts w:ascii="Times New Roman" w:cs="Times New Roman" w:eastAsia="Times New Roman" w:hAnsi="Times New Roman"/>
          <w:sz w:val="14"/>
          <w:szCs w:val="14"/>
          <w:u w:val="single" w:color="auto"/>
          <w:color w:val="auto"/>
        </w:rPr>
        <w:t>Continuous Availability of the BTO CDx</w:t>
      </w:r>
      <w:r>
        <w:rPr>
          <w:rFonts w:ascii="Times New Roman" w:cs="Times New Roman" w:eastAsia="Times New Roman" w:hAnsi="Times New Roman"/>
          <w:sz w:val="14"/>
          <w:szCs w:val="14"/>
          <w:color w:val="auto"/>
        </w:rPr>
        <w:t>. During the CRE Period, BTO shall use Commercially Reasonable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Efforts to maintain the continued availability of the BTO CDx in the Territory sufficient to enable the number of tests forecasted by Janssen to be needed for Commercialization of the Janssen Drug in each such country. BTO shall not be discharged from its obligation to maintain such continued availability of the BTO CDx hereunder due to any reasons related to the lack of commercial viability of the BTO CDx in the Territory; provided, however, BTO shall not be liable to Janssen or any Third Party in any way for failure to make the BTO CDx available for one or more reasons not within BTO’s direct control. BTO shall provide Janssen at least [***] (or such shorter period as is reasonable under the particular circumstances) prior written notice of any possible shortfall in the BTO CDx that is expected. Upon Janssen’s receipt of such prior written notice, or upon BTO’s failure to supply the BTO CDx as required in this Section 6.1.2, the JSC shall promptly discuss possible solutions for any such possible shortfall or failure to supply and the Parties shall, in good faith negotiate terms to implement a solution to the possible shortfall or failure to supply if a practicable solution is identified, provided that such JSC discussions and obligation to negotiate terms are not in lieu of, or shall in any way delay or prevent Janssen from implementing, Janssen’s rights hereunder regarding BTO’s failure to supply the BTO CDx as required in this Section 6.1.2. BTO’s failure to supply the BTO CDx as required in this Section 6.1.2 will be deemed a Failure of Continuous Supply for which Janssen shall have the termination rights under Section 13.2.3 and remedies under Section 13.3.1(b) whether or not BTO has used Commercially Reasonable Efforts to supply the BTO CDx, but will not be considered a breach or default of this Agreement unless BTO fails to use Commercially Reasonable Efforts as required hereunder.</w:t>
      </w:r>
    </w:p>
    <w:p>
      <w:pPr>
        <w:spacing w:after="0" w:line="73" w:lineRule="exact"/>
        <w:rPr>
          <w:sz w:val="20"/>
          <w:szCs w:val="20"/>
          <w:color w:val="auto"/>
        </w:rPr>
      </w:pPr>
    </w:p>
    <w:p>
      <w:pPr>
        <w:ind w:left="1940" w:right="3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u w:val="single" w:color="auto"/>
          <w:color w:val="auto"/>
        </w:rPr>
        <w:t>BTO CDx Related Complaints, Corrections and Removals</w:t>
      </w:r>
      <w:r>
        <w:rPr>
          <w:rFonts w:ascii="Times New Roman" w:cs="Times New Roman" w:eastAsia="Times New Roman" w:hAnsi="Times New Roman"/>
          <w:sz w:val="14"/>
          <w:szCs w:val="14"/>
          <w:color w:val="auto"/>
        </w:rPr>
        <w:t>. BTO recognizes and accepts that Janssen does not have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will not establish a system for handling of BTO CDx complaints and adverse (device) events. In the event Janssen receives any product quality complaints and/or adverse (device) event reports pertaining to the BTO CDx, Janssen shall work diligently to forward to BTO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808" w:name="page809"/>
    <w:bookmarkEnd w:id="808"/>
    <w:p>
      <w:pPr>
        <w:ind w:left="194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complaint and/or report as soon as reasonably possible from receipt of such complaint or adverse event by Janssen, but in any event within [***] of such receipt. Janssen recognizes that BTO needs such information to comply with reporting requirements imposed by Applicable Laws. BTO shall be responsible for implementing and maintaining a post-market surveillance procedure and program in compliance with Applicable Laws. BTO shall provide Janssen with adverse event reports and complaint trending reports relating to the BTO CDx. BTO will notify Janssen promptly in the event of any field safety corrective actions, recalls, or removals in accordance with Section 3.3. The obligations in this Section 6.2 shall survive the expiration or termination of this Agreement for as long as any unexpired inventory of the applicable BTO CDx and the applicable Janssen Drug continue to be Commercialized and for one year thereafter.</w:t>
      </w:r>
    </w:p>
    <w:p>
      <w:pPr>
        <w:spacing w:after="0" w:line="75" w:lineRule="exact"/>
        <w:rPr>
          <w:sz w:val="20"/>
          <w:szCs w:val="20"/>
          <w:color w:val="auto"/>
        </w:rPr>
      </w:pPr>
    </w:p>
    <w:p>
      <w:pPr>
        <w:ind w:left="1940" w:right="439" w:hanging="597"/>
        <w:spacing w:after="0" w:line="275" w:lineRule="auto"/>
        <w:tabs>
          <w:tab w:leader="none" w:pos="192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3"/>
          <w:szCs w:val="13"/>
          <w:u w:val="single" w:color="auto"/>
          <w:color w:val="auto"/>
        </w:rPr>
        <w:t>Janssen Drug Complaints</w:t>
      </w:r>
      <w:r>
        <w:rPr>
          <w:rFonts w:ascii="Times New Roman" w:cs="Times New Roman" w:eastAsia="Times New Roman" w:hAnsi="Times New Roman"/>
          <w:sz w:val="13"/>
          <w:szCs w:val="13"/>
          <w:color w:val="auto"/>
        </w:rPr>
        <w:t>. Janssen recognizes and accepts that BTO does not have and will not establish a system for</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handling of Janssen Drug complaints. In the event BTO receives any product quality complaints and/or adverse event reports pertaining to the Janssen Drug, BTO shall work diligently to forward the complaint and/or report as soon as reasonably possible from receipt of such complaint or adverse event by BTO regulatory affairs, but in any event within</w:t>
      </w:r>
    </w:p>
    <w:p>
      <w:pPr>
        <w:spacing w:after="0" w:line="1" w:lineRule="exact"/>
        <w:rPr>
          <w:sz w:val="20"/>
          <w:szCs w:val="20"/>
          <w:color w:val="auto"/>
        </w:rPr>
      </w:pPr>
    </w:p>
    <w:p>
      <w:pPr>
        <w:jc w:val="both"/>
        <w:ind w:left="1940" w:right="339" w:hanging="7"/>
        <w:spacing w:after="0" w:line="253" w:lineRule="auto"/>
        <w:tabs>
          <w:tab w:leader="none" w:pos="2278"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such receipt. BTO recognizes that Janssen needs such information to comply with reporting requirements imposed by Applicable Laws. The obligations in this Section 6.3 shall survive the expiration or termination of this Agreement for as long as any unexpired inventory of the applicable BTO CDx and the applicable Janssen Drug continue to be Commercialized and for one year thereafter.</w:t>
      </w:r>
    </w:p>
    <w:p>
      <w:pPr>
        <w:spacing w:after="0" w:line="72" w:lineRule="exact"/>
        <w:rPr>
          <w:sz w:val="20"/>
          <w:szCs w:val="20"/>
          <w:color w:val="auto"/>
        </w:rPr>
      </w:pPr>
    </w:p>
    <w:p>
      <w:pPr>
        <w:ind w:left="1940" w:right="33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u w:val="single" w:color="auto"/>
          <w:color w:val="auto"/>
        </w:rPr>
        <w:t>BTO CDx Testing Adverse Events</w:t>
      </w:r>
      <w:r>
        <w:rPr>
          <w:rFonts w:ascii="Times New Roman" w:cs="Times New Roman" w:eastAsia="Times New Roman" w:hAnsi="Times New Roman"/>
          <w:sz w:val="14"/>
          <w:szCs w:val="14"/>
          <w:color w:val="auto"/>
        </w:rPr>
        <w:t>. BTO will be solely responsible for reporting any and all applicable adverse events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relation to any testing respecting the BTO CDx, whether used in a performance study or commercialized, outside of the Clinical Trial, per the Applicable Laws of the countries where the testing is being conducted or if appropriate per the Applicable Laws of the countries where the samples, used for testing, originate from. Such reporting shall be in accordance with Applicable Law (including, if applicable, Article 80 of EU IVDR [Recording and reporting of adverse events that occur during performance studies] and Article 83 of EU IVDR for reporting for commercialized BTO CDx).</w:t>
      </w:r>
    </w:p>
    <w:p>
      <w:pPr>
        <w:spacing w:after="0" w:line="71" w:lineRule="exact"/>
        <w:rPr>
          <w:sz w:val="20"/>
          <w:szCs w:val="20"/>
          <w:color w:val="auto"/>
        </w:rPr>
      </w:pPr>
    </w:p>
    <w:p>
      <w:pPr>
        <w:jc w:val="both"/>
        <w:ind w:left="1940" w:right="31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u w:val="single" w:color="auto"/>
          <w:color w:val="auto"/>
        </w:rPr>
        <w:t>Clinical Studies Adverse Events</w:t>
      </w:r>
      <w:r>
        <w:rPr>
          <w:rFonts w:ascii="Times New Roman" w:cs="Times New Roman" w:eastAsia="Times New Roman" w:hAnsi="Times New Roman"/>
          <w:sz w:val="14"/>
          <w:szCs w:val="14"/>
          <w:color w:val="auto"/>
        </w:rPr>
        <w:t>. Janssen will be solely responsible for reporting any and all applicable adverse events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relation to any Clinical Trial to all applicable Regulatory Authorities of the Territory in which the Clinical Trial is being conducted.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2" w:right="1440" w:bottom="1440" w:gutter="0" w:footer="0" w:header="0"/>
        </w:sectPr>
      </w:pPr>
    </w:p>
    <w:bookmarkStart w:id="809" w:name="page810"/>
    <w:bookmarkEnd w:id="809"/>
    <w:p>
      <w:pPr>
        <w:ind w:left="1940" w:right="239" w:hanging="597"/>
        <w:spacing w:after="0" w:line="255"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6.6</w:t>
      </w:r>
      <w:r>
        <w:rPr>
          <w:sz w:val="20"/>
          <w:szCs w:val="20"/>
          <w:color w:val="auto"/>
        </w:rPr>
        <w:tab/>
      </w:r>
      <w:r>
        <w:rPr>
          <w:rFonts w:ascii="Times New Roman" w:cs="Times New Roman" w:eastAsia="Times New Roman" w:hAnsi="Times New Roman"/>
          <w:sz w:val="14"/>
          <w:szCs w:val="14"/>
          <w:u w:val="single" w:color="auto"/>
          <w:color w:val="auto"/>
        </w:rPr>
        <w:t>Changes to Labeling</w:t>
      </w:r>
      <w:r>
        <w:rPr>
          <w:rFonts w:ascii="Times New Roman" w:cs="Times New Roman" w:eastAsia="Times New Roman" w:hAnsi="Times New Roman"/>
          <w:sz w:val="14"/>
          <w:szCs w:val="14"/>
          <w:color w:val="auto"/>
        </w:rPr>
        <w:t>. Each Party shall notify the other Party in writing or through the JSC of any relevant proposed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changes, e.g., based on notifications from Regulatory Authorities to the Labeling for their respective products under this Agreement (respectively Janssen Drugs for Janssen and BTO CDx for BTO) prior to implementing such proposed changes. Relevant proposed changes shall, for the purpose of this Section 6.6, mean changes that are related to or have the potential to impact the other Party’s corresponding product. Such relevant proposed changes will be implemented by the responsible Party as required or at the discretion of the responsible Party if not required, provided however that BTO shall not make any such relevant proposed changes without Janssen’s prior written approval.</w:t>
      </w:r>
    </w:p>
    <w:p>
      <w:pPr>
        <w:spacing w:after="0" w:line="259" w:lineRule="exact"/>
        <w:rPr>
          <w:sz w:val="20"/>
          <w:szCs w:val="20"/>
          <w:color w:val="auto"/>
        </w:rPr>
      </w:pPr>
    </w:p>
    <w:p>
      <w:pPr>
        <w:ind w:left="820" w:hanging="597"/>
        <w:spacing w:after="0"/>
        <w:tabs>
          <w:tab w:leader="none" w:pos="820" w:val="left"/>
        </w:tabs>
        <w:numPr>
          <w:ilvl w:val="0"/>
          <w:numId w:val="5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GOVERNANCE</w:t>
      </w:r>
    </w:p>
    <w:p>
      <w:pPr>
        <w:spacing w:after="0" w:line="103" w:lineRule="exact"/>
        <w:rPr>
          <w:sz w:val="20"/>
          <w:szCs w:val="20"/>
          <w:color w:val="auto"/>
        </w:rPr>
      </w:pPr>
    </w:p>
    <w:p>
      <w:pPr>
        <w:ind w:left="1940" w:right="23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u w:val="single" w:color="auto"/>
          <w:color w:val="auto"/>
        </w:rPr>
        <w:t>Joint Steering Committee</w:t>
      </w:r>
      <w:r>
        <w:rPr>
          <w:rFonts w:ascii="Times New Roman" w:cs="Times New Roman" w:eastAsia="Times New Roman" w:hAnsi="Times New Roman"/>
          <w:sz w:val="14"/>
          <w:szCs w:val="14"/>
          <w:color w:val="auto"/>
        </w:rPr>
        <w:t>. The Parties shall form a joint steering committee (the “Joint Steering Committee” or “JSC”),</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which shall have the primary role in monitoring and ensuring the overall success of the Development Plan and Commercialization Plan, including Development and Commercialization of the BTO CDx. The JSC shall be comprised of [***]. The JSC shall meet for the first time within [***] calendar days after the Effective Date and thereafter at least twice a year during the Term, unless the Parties or the JSC decide that more or less frequent meetings are required;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the event of an exigent situation, including a situation in which a decision by the JSC is required,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meeting shall be held within [***] calendar days after written request for such meeting by any Party; </w:t>
      </w:r>
      <w:r>
        <w:rPr>
          <w:rFonts w:ascii="Times New Roman" w:cs="Times New Roman" w:eastAsia="Times New Roman" w:hAnsi="Times New Roman"/>
          <w:sz w:val="14"/>
          <w:szCs w:val="14"/>
          <w:i w:val="1"/>
          <w:iCs w:val="1"/>
          <w:color w:val="auto"/>
        </w:rPr>
        <w:t>further 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a matter requires more prompt attention by the JSC in the reasonable judgment of a Party, that Party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call a meeting with [***] calendar days written notice to the other Party that describes the reason for urgency. The JSC shall be led by [***]. In the event of an impasse, the matter shall be resolved pursuant to Section 7.3. JSC meetings may be conducted in person, by telephone or by videoconference as agreed by the JSC co-chairs. Each Party shall provide the other Party with written notice of its representatives appointed to the JSC promptly after the Effective Date of this Agreement. Each of BTO and Janssen may substitute or replace any of its representatives on the JSC at any time and for any reason upon written notice to the other Party. Additionally, upon invitation by the JSC, the JPT Leads (or other JPT or JCC members) may attend JSC meetings as non-voting members, and each JSC member may reasonably invite other guests to the meetings, in order to discuss special technical or commercial topics relevant to the applicable agenda; provided, that any guests are subject to the confidentiality provisions set forth in Article 12.</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810" w:name="page811"/>
    <w:bookmarkEnd w:id="810"/>
    <w:p>
      <w:pPr>
        <w:ind w:left="1940" w:right="399" w:hanging="597"/>
        <w:spacing w:after="0" w:line="275"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3"/>
          <w:szCs w:val="13"/>
          <w:u w:val="single" w:color="auto"/>
          <w:color w:val="auto"/>
        </w:rPr>
        <w:t>JSC Responsibilities</w:t>
      </w:r>
      <w:r>
        <w:rPr>
          <w:rFonts w:ascii="Times New Roman" w:cs="Times New Roman" w:eastAsia="Times New Roman" w:hAnsi="Times New Roman"/>
          <w:sz w:val="13"/>
          <w:szCs w:val="13"/>
          <w:color w:val="auto"/>
        </w:rPr>
        <w:t>. The JSC shall be responsible for (a) reviewing the progress of the Development and ensuring that</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the Development commences and proceeds according to the Development Plan; (b) coordinating the Development and Commercialization activities under the Development Plan and Commercialization Plan; (c) discussing and suggesting amendments to the Development Plan and Commercialization Plan to a higher decision level for both Parties;</w:t>
      </w:r>
    </w:p>
    <w:p>
      <w:pPr>
        <w:spacing w:after="0" w:line="1" w:lineRule="exact"/>
        <w:rPr>
          <w:sz w:val="20"/>
          <w:szCs w:val="20"/>
          <w:color w:val="auto"/>
        </w:rPr>
      </w:pPr>
    </w:p>
    <w:p>
      <w:pPr>
        <w:ind w:left="1940" w:right="239" w:hanging="7"/>
        <w:spacing w:after="0" w:line="269" w:lineRule="auto"/>
        <w:tabs>
          <w:tab w:leader="none" w:pos="2138" w:val="left"/>
        </w:tabs>
        <w:numPr>
          <w:ilvl w:val="0"/>
          <w:numId w:val="5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exchanging information related to publication strategies and review of such information; (e) resolving issues or disagreements raised by the JCC, JPT or JPT Leads, subject to final approval by the Parties; (f) facilitating the transfer of information and data related to development, Commercialization and Regulatory Approval processes or other processes for completing activities respecting the Development Plan and Commercialization Plan; (g) facilitating the cooperation of the Parties, when requested, to provide information and support; (h) facilitating coordinated interpretation of Clinical Data and other Data; (i) discussing freedom to operate aspects and issues; (j) coordinating planned marketing activities; and</w:t>
      </w:r>
    </w:p>
    <w:p>
      <w:pPr>
        <w:spacing w:after="0" w:line="2" w:lineRule="exact"/>
        <w:rPr>
          <w:rFonts w:ascii="Times New Roman" w:cs="Times New Roman" w:eastAsia="Times New Roman" w:hAnsi="Times New Roman"/>
          <w:sz w:val="13"/>
          <w:szCs w:val="13"/>
          <w:color w:val="auto"/>
        </w:rPr>
      </w:pPr>
    </w:p>
    <w:p>
      <w:pPr>
        <w:ind w:left="1940" w:right="239" w:hanging="7"/>
        <w:spacing w:after="0" w:line="251" w:lineRule="auto"/>
        <w:tabs>
          <w:tab w:leader="none" w:pos="2138"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activities pertaining to the Development and Commercialization activities ascribed to the JSC in this Agreement or as mutually agreed between the Parties from time to time (including the formation or disbandment of any subcommittees (e.g., the JPT or JCC). The JSC shall keep accurate and complete confidential minutes of its meetings. The co-chairs for each meeting, or their respective designees, shall be responsible for taking such minutes and distributing a coordinated single draft agreed upon by the co-chairs to the other JSC members for their review and comment within [***] Business Days after the date of each meeting. The JSC members shall in good faith attempt as quickly as is reasonably possible to resolve any disputes as to the content of such minutes so as to have a final agreed version as quickly as is reasonably possible, but no later than [***] Business Days after the dispute is raised. Each of BTO and Janssen shall be responsible for all expenses incurred by its representatives on the JSC in connection with performing their duties hereunder, including all costs of travel, lodging and meals. For the avoidance of doubt, the JSC shall not have the authority to amend this Agreement and shall have authority to amend the Development Plan and Commercialization Plan only as expressly set forth herein, or with the written consent of the Parties.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1" w:right="1440" w:bottom="1440" w:gutter="0" w:footer="0" w:header="0"/>
        </w:sectPr>
      </w:pPr>
    </w:p>
    <w:bookmarkStart w:id="811" w:name="page812"/>
    <w:bookmarkEnd w:id="811"/>
    <w:p>
      <w:pPr>
        <w:ind w:left="1940" w:right="23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4"/>
          <w:szCs w:val="14"/>
          <w:u w:val="single" w:color="auto"/>
          <w:color w:val="auto"/>
        </w:rPr>
        <w:t>JSC Decisions</w:t>
      </w:r>
      <w:r>
        <w:rPr>
          <w:rFonts w:ascii="Times New Roman" w:cs="Times New Roman" w:eastAsia="Times New Roman" w:hAnsi="Times New Roman"/>
          <w:sz w:val="14"/>
          <w:szCs w:val="14"/>
          <w:color w:val="auto"/>
        </w:rPr>
        <w:t>. All decisions of the JSC shall be made in good faith in the interest of furthering the purposes of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and the JSC members shall use their reasonable efforts to make decisions unanimously. If the JSC is unable to reach a unanimous decision at any meeting the Parties shall attempt to reach such unanimous decision over the next [***]. If a unanimous decision is not reached within such [***], either of the co-chairs of the JSC may refer the disagreement to a meeting between senior executives of BTO and Janssen designated for this purpose and who have the authority to resolve the dispute on behalf of the Party they represent, which meeting shall take place as soon as practicable, but in no event later than [***] after the date of the relevant referral. If the senior executives cannot resolve such disagreement over such matter in a mutually acceptable manner within [***] after such meeting (or if the matter is not referred to a senior executive meeting), then the JSC shall be deemed not to have made any decision regarding the applicable matter, except as may be otherwise set forth in this Agreement; provided, that either Party may submit the matter to be decided in accordance with Section 14.17. During any dispute resolution under this Section 7.3, the Parties shall continue their efforts as regards Development or Commercialization activities under the Development Plan or Commercialization Plan, if any, not related to the relevant dispute.</w:t>
      </w:r>
    </w:p>
    <w:p>
      <w:pPr>
        <w:spacing w:after="0" w:line="80"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3"/>
          <w:szCs w:val="13"/>
          <w:u w:val="single" w:color="auto"/>
          <w:color w:val="auto"/>
        </w:rPr>
        <w:t>Joint Project Team; JPT Leads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3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t>7.4.1</w:t>
      </w:r>
      <w:r>
        <w:rPr>
          <w:sz w:val="20"/>
          <w:szCs w:val="20"/>
          <w:color w:val="auto"/>
        </w:rPr>
        <w:tab/>
      </w:r>
      <w:r>
        <w:rPr>
          <w:rFonts w:ascii="Times New Roman" w:cs="Times New Roman" w:eastAsia="Times New Roman" w:hAnsi="Times New Roman"/>
          <w:sz w:val="14"/>
          <w:szCs w:val="14"/>
          <w:color w:val="auto"/>
        </w:rPr>
        <w:t>The Parties shall form a joint project team (the “Joint Project Team” or “JPT”), which shall have responsibility of monitoring and coordinating all development, regulatory, and other business and technical activities under this Agreement (including the Development Plan). The JPT shall be comprised of [***]. Each Party shall designate a project manager (the “Project Manager”) who will be the principal point of contact for a Party and shall be responsible for implementing and coordinating all activities and facilitating the exchange of information between the Parties regarding the Development Plan, generally. As the Development Plan progresses, the Parties anticipate that each Party shall designate from among its representatives on the JPT (or appoint to the JPT) a development leader, a regulatory leader, and a commercial leader (respectively, the “Development Leader”, the “Regulatory Leader” and collectively, the “JPT Leads”) each of whom shall be the principal point of contact for such Party for matters relating to his or her respective function, and shall be responsible for implementing and coordinating all activities and facilitating the exchange of information between the Parties for his or her function. Members of the JPT may also be members of the JSC.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1" w:right="1440" w:bottom="1440" w:gutter="0" w:footer="0" w:header="0"/>
        </w:sectPr>
      </w:pPr>
    </w:p>
    <w:bookmarkStart w:id="812" w:name="page813"/>
    <w:bookmarkEnd w:id="812"/>
    <w:p>
      <w:pPr>
        <w:ind w:left="2440" w:right="35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7.4.2</w:t>
      </w:r>
      <w:r>
        <w:rPr>
          <w:sz w:val="20"/>
          <w:szCs w:val="20"/>
          <w:color w:val="auto"/>
        </w:rPr>
        <w:tab/>
      </w:r>
      <w:r>
        <w:rPr>
          <w:rFonts w:ascii="Times New Roman" w:cs="Times New Roman" w:eastAsia="Times New Roman" w:hAnsi="Times New Roman"/>
          <w:sz w:val="14"/>
          <w:szCs w:val="14"/>
          <w:color w:val="auto"/>
        </w:rPr>
        <w:t>BTO and Janssen shall each provide the other with the names of its JPT members, Project Manager (and JPT Leads, if appropriate) within 30 Business Days of the Effective Date. Each of BTO and Janssen may replace its JPT members, Project Manager and JPT Leads at any time and for any reason upon written notice to the other Party.</w:t>
      </w:r>
    </w:p>
    <w:p>
      <w:pPr>
        <w:spacing w:after="0" w:line="66" w:lineRule="exact"/>
        <w:rPr>
          <w:sz w:val="20"/>
          <w:szCs w:val="20"/>
          <w:color w:val="auto"/>
        </w:rPr>
      </w:pPr>
    </w:p>
    <w:p>
      <w:pPr>
        <w:ind w:left="2440" w:right="23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7.4.3</w:t>
      </w:r>
      <w:r>
        <w:rPr>
          <w:sz w:val="20"/>
          <w:szCs w:val="20"/>
          <w:color w:val="auto"/>
        </w:rPr>
        <w:tab/>
      </w:r>
      <w:r>
        <w:rPr>
          <w:rFonts w:ascii="Times New Roman" w:cs="Times New Roman" w:eastAsia="Times New Roman" w:hAnsi="Times New Roman"/>
          <w:sz w:val="14"/>
          <w:szCs w:val="14"/>
          <w:color w:val="auto"/>
        </w:rPr>
        <w:t>The JPT will perform the duties set forth in this Section 7.4, as well as additional responsibilities that may be assigned to them from time to time by the JSC. The JPT may delegate tasks and responsibilities to sub-managers, working groups and other team members as the JPT deems appropriate to efficiently and effectively perform its obligations hereunder.</w:t>
      </w:r>
    </w:p>
    <w:p>
      <w:pPr>
        <w:spacing w:after="0" w:line="66" w:lineRule="exact"/>
        <w:rPr>
          <w:sz w:val="20"/>
          <w:szCs w:val="20"/>
          <w:color w:val="auto"/>
        </w:rPr>
      </w:pPr>
    </w:p>
    <w:p>
      <w:pPr>
        <w:ind w:left="2440" w:right="41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7.4.4</w:t>
      </w:r>
      <w:r>
        <w:rPr>
          <w:sz w:val="20"/>
          <w:szCs w:val="20"/>
          <w:color w:val="auto"/>
        </w:rPr>
        <w:tab/>
      </w:r>
      <w:r>
        <w:rPr>
          <w:rFonts w:ascii="Times New Roman" w:cs="Times New Roman" w:eastAsia="Times New Roman" w:hAnsi="Times New Roman"/>
          <w:sz w:val="14"/>
          <w:szCs w:val="14"/>
          <w:color w:val="auto"/>
        </w:rPr>
        <w:t>Meetings of the JPT may be conducted in person, by telephone or by videoconference as agreed by the JPT or the Parties. Additionally, the JPT, Project Manager and the JPT Leads (or their designees) shall maintain close regular communications with each other as to the status of the ongoing and planned activities under the Development Plan.</w:t>
      </w:r>
    </w:p>
    <w:p>
      <w:pPr>
        <w:spacing w:after="0" w:line="66" w:lineRule="exact"/>
        <w:rPr>
          <w:sz w:val="20"/>
          <w:szCs w:val="20"/>
          <w:color w:val="auto"/>
        </w:rPr>
      </w:pPr>
    </w:p>
    <w:p>
      <w:pPr>
        <w:ind w:left="2440" w:right="43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7.4.5</w:t>
      </w:r>
      <w:r>
        <w:rPr>
          <w:sz w:val="20"/>
          <w:szCs w:val="20"/>
          <w:color w:val="auto"/>
        </w:rPr>
        <w:tab/>
      </w:r>
      <w:r>
        <w:rPr>
          <w:rFonts w:ascii="Times New Roman" w:cs="Times New Roman" w:eastAsia="Times New Roman" w:hAnsi="Times New Roman"/>
          <w:sz w:val="14"/>
          <w:szCs w:val="14"/>
          <w:color w:val="auto"/>
        </w:rPr>
        <w:t>The JPT, the Project Manager and the JPT Leads (or their designees) shall have no authority to amend this Agreement, the Development Plan, or the Commercialization Plan but may make recommendations regarding such amendments to the JSC.</w:t>
      </w:r>
    </w:p>
    <w:p>
      <w:pPr>
        <w:spacing w:after="0" w:line="63" w:lineRule="exact"/>
        <w:rPr>
          <w:sz w:val="20"/>
          <w:szCs w:val="20"/>
          <w:color w:val="auto"/>
        </w:rPr>
      </w:pPr>
    </w:p>
    <w:p>
      <w:pPr>
        <w:ind w:left="2440" w:right="23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7.4.6</w:t>
      </w:r>
      <w:r>
        <w:rPr>
          <w:sz w:val="20"/>
          <w:szCs w:val="20"/>
          <w:color w:val="auto"/>
        </w:rPr>
        <w:tab/>
      </w:r>
      <w:r>
        <w:rPr>
          <w:rFonts w:ascii="Times New Roman" w:cs="Times New Roman" w:eastAsia="Times New Roman" w:hAnsi="Times New Roman"/>
          <w:sz w:val="14"/>
          <w:szCs w:val="14"/>
          <w:color w:val="auto"/>
        </w:rPr>
        <w:t>The JPT, the Project Manager and the JPT Leads will cooperate with each other and work in good faith to resolve any disagreements between them or their respective teams. Any such disagreements that are not resolved by the JPT shall be referred to the JSC for resolution.</w:t>
      </w:r>
    </w:p>
    <w:p>
      <w:pPr>
        <w:spacing w:after="0" w:line="63" w:lineRule="exact"/>
        <w:rPr>
          <w:sz w:val="20"/>
          <w:szCs w:val="20"/>
          <w:color w:val="auto"/>
        </w:rPr>
      </w:pPr>
    </w:p>
    <w:p>
      <w:pPr>
        <w:ind w:left="2440" w:right="259" w:hanging="503"/>
        <w:spacing w:after="0" w:line="258" w:lineRule="auto"/>
        <w:tabs>
          <w:tab w:leader="none" w:pos="2420" w:val="left"/>
        </w:tabs>
        <w:rPr>
          <w:sz w:val="20"/>
          <w:szCs w:val="20"/>
          <w:color w:val="auto"/>
        </w:rPr>
      </w:pPr>
      <w:r>
        <w:rPr>
          <w:rFonts w:ascii="Times New Roman" w:cs="Times New Roman" w:eastAsia="Times New Roman" w:hAnsi="Times New Roman"/>
          <w:sz w:val="14"/>
          <w:szCs w:val="14"/>
          <w:color w:val="auto"/>
        </w:rPr>
        <w:t>7.4.7</w:t>
      </w:r>
      <w:r>
        <w:rPr>
          <w:sz w:val="20"/>
          <w:szCs w:val="20"/>
          <w:color w:val="auto"/>
        </w:rPr>
        <w:tab/>
      </w:r>
      <w:r>
        <w:rPr>
          <w:rFonts w:ascii="Times New Roman" w:cs="Times New Roman" w:eastAsia="Times New Roman" w:hAnsi="Times New Roman"/>
          <w:sz w:val="14"/>
          <w:szCs w:val="14"/>
          <w:color w:val="auto"/>
        </w:rPr>
        <w:t>The JPT shall keep accurate and complete records of their activities and meetings and shall, from time to time as requested by the JSC, provide the JSC with appropriate updates and information to keep the JSC apprised of the progress of the Development Plan. All records of the JPT that are disclosed to the other Party and which relate to the Development Plan shall be available at all times to the JSC and to each Party on a confidential basis solely for use with respect to such Party’s activities conducted pursuant to this Agreement.</w:t>
      </w:r>
    </w:p>
    <w:p>
      <w:pPr>
        <w:spacing w:after="0" w:line="69" w:lineRule="exact"/>
        <w:rPr>
          <w:sz w:val="20"/>
          <w:szCs w:val="20"/>
          <w:color w:val="auto"/>
        </w:rPr>
      </w:pPr>
    </w:p>
    <w:p>
      <w:pPr>
        <w:ind w:left="2440" w:right="23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7.4.8</w:t>
      </w:r>
      <w:r>
        <w:rPr>
          <w:sz w:val="20"/>
          <w:szCs w:val="20"/>
          <w:color w:val="auto"/>
        </w:rPr>
        <w:tab/>
      </w:r>
      <w:r>
        <w:rPr>
          <w:rFonts w:ascii="Times New Roman" w:cs="Times New Roman" w:eastAsia="Times New Roman" w:hAnsi="Times New Roman"/>
          <w:sz w:val="14"/>
          <w:szCs w:val="14"/>
          <w:color w:val="auto"/>
        </w:rPr>
        <w:t>Each Party shall be responsible for all expenses incurred by its JPT members in connection with performing their duties hereunder.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2" w:right="1440" w:bottom="1440" w:gutter="0" w:footer="0" w:header="0"/>
        </w:sectPr>
      </w:pPr>
    </w:p>
    <w:bookmarkStart w:id="813" w:name="page814"/>
    <w:bookmarkEnd w:id="813"/>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7.5</w:t>
      </w:r>
      <w:r>
        <w:rPr>
          <w:sz w:val="20"/>
          <w:szCs w:val="20"/>
          <w:color w:val="auto"/>
        </w:rPr>
        <w:tab/>
      </w:r>
      <w:r>
        <w:rPr>
          <w:rFonts w:ascii="Times New Roman" w:cs="Times New Roman" w:eastAsia="Times New Roman" w:hAnsi="Times New Roman"/>
          <w:sz w:val="13"/>
          <w:szCs w:val="13"/>
          <w:u w:val="single" w:color="auto"/>
          <w:color w:val="auto"/>
        </w:rPr>
        <w:t>Joint Commercial Committee</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39" w:hanging="503"/>
        <w:spacing w:after="0" w:line="255" w:lineRule="auto"/>
        <w:tabs>
          <w:tab w:leader="none" w:pos="2420" w:val="left"/>
        </w:tabs>
        <w:rPr>
          <w:sz w:val="20"/>
          <w:szCs w:val="20"/>
          <w:color w:val="auto"/>
        </w:rPr>
      </w:pPr>
      <w:r>
        <w:rPr>
          <w:rFonts w:ascii="Times New Roman" w:cs="Times New Roman" w:eastAsia="Times New Roman" w:hAnsi="Times New Roman"/>
          <w:sz w:val="14"/>
          <w:szCs w:val="14"/>
          <w:color w:val="auto"/>
        </w:rPr>
        <w:t>7.5.1</w:t>
      </w:r>
      <w:r>
        <w:rPr>
          <w:sz w:val="20"/>
          <w:szCs w:val="20"/>
          <w:color w:val="auto"/>
        </w:rPr>
        <w:tab/>
      </w:r>
      <w:r>
        <w:rPr>
          <w:rFonts w:ascii="Times New Roman" w:cs="Times New Roman" w:eastAsia="Times New Roman" w:hAnsi="Times New Roman"/>
          <w:sz w:val="14"/>
          <w:szCs w:val="14"/>
          <w:color w:val="auto"/>
        </w:rPr>
        <w:t>Formation. Once authorized by the JSC, the Parties will establish a joint commercial committee (the “Joint Commercial Committee” or “JCC”), comprised of a reasonable number of representatives from each Party, as appointed by each Party with written notice to the other Party. The JCC will include a cross-functional team of individuals with appropriate professional and technical qualifications, and ongoing familiarity with the aspects of the Agreement for which it is responsible and such other areas as may be necessitated by the duties prescribed to the JCC in Section 7.5.2 below. Either Party may change its representatives to the JCC from time to time, in its sole discretion, effective upon written notice to the other Party of such change.</w:t>
      </w:r>
    </w:p>
    <w:p>
      <w:pPr>
        <w:spacing w:after="0" w:line="72" w:lineRule="exact"/>
        <w:rPr>
          <w:sz w:val="20"/>
          <w:szCs w:val="20"/>
          <w:color w:val="auto"/>
        </w:rPr>
      </w:pPr>
    </w:p>
    <w:p>
      <w:pPr>
        <w:ind w:left="2440" w:right="25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7.5.2</w:t>
      </w:r>
      <w:r>
        <w:rPr>
          <w:sz w:val="20"/>
          <w:szCs w:val="20"/>
          <w:color w:val="auto"/>
        </w:rPr>
        <w:tab/>
      </w:r>
      <w:r>
        <w:rPr>
          <w:rFonts w:ascii="Times New Roman" w:cs="Times New Roman" w:eastAsia="Times New Roman" w:hAnsi="Times New Roman"/>
          <w:sz w:val="14"/>
          <w:szCs w:val="14"/>
          <w:color w:val="auto"/>
        </w:rPr>
        <w:t>Duties. The JCC will manage the delegated aspects of this Agreement and will confer on a regular basis regarding: (i) the status and progress of the activities performed pursuant to this Agreement, (ii) the development of the Commercialization Plan, (ii) tracking and managing the Agreement as it pertains to commercial activities, Milestones, and investment timelines, and (iii) otherwise managing adherence with this Agreement related to commercial matters. The JCC is responsible for all such aspects of this Agreement directed toward applicable commercial aspects that are not otherwise addressed by the JPT and subject to the JSC duties. Each Party shall designate an individual to serve as a “JCC Co-Chairpersons” for the JCC. The JCC Co-Chairpersons and each joint sub-program team will report to the JCC, at each meeting of the JCC, on the progress under this Agreement and otherwise with respect to the collaboration of the Parties hereunder.</w:t>
      </w:r>
    </w:p>
    <w:p>
      <w:pPr>
        <w:spacing w:after="0" w:line="72" w:lineRule="exact"/>
        <w:rPr>
          <w:sz w:val="20"/>
          <w:szCs w:val="20"/>
          <w:color w:val="auto"/>
        </w:rPr>
      </w:pPr>
    </w:p>
    <w:p>
      <w:pPr>
        <w:ind w:left="2440" w:right="359" w:hanging="503"/>
        <w:spacing w:after="0" w:line="256" w:lineRule="auto"/>
        <w:tabs>
          <w:tab w:leader="none" w:pos="2420" w:val="left"/>
        </w:tabs>
        <w:rPr>
          <w:sz w:val="20"/>
          <w:szCs w:val="20"/>
          <w:color w:val="auto"/>
        </w:rPr>
      </w:pPr>
      <w:r>
        <w:rPr>
          <w:rFonts w:ascii="Times New Roman" w:cs="Times New Roman" w:eastAsia="Times New Roman" w:hAnsi="Times New Roman"/>
          <w:sz w:val="14"/>
          <w:szCs w:val="14"/>
          <w:color w:val="auto"/>
        </w:rPr>
        <w:t>7.5.3</w:t>
      </w:r>
      <w:r>
        <w:rPr>
          <w:sz w:val="20"/>
          <w:szCs w:val="20"/>
          <w:color w:val="auto"/>
        </w:rPr>
        <w:tab/>
      </w:r>
      <w:r>
        <w:rPr>
          <w:rFonts w:ascii="Times New Roman" w:cs="Times New Roman" w:eastAsia="Times New Roman" w:hAnsi="Times New Roman"/>
          <w:sz w:val="14"/>
          <w:szCs w:val="14"/>
          <w:color w:val="auto"/>
        </w:rPr>
        <w:t>Meetings. The JCC will meet in accordance with a schedule to be established by JCC members, as needed. During the meetings, the JCC shall review the progress of commercial activities performed pursuant to this Agreement, including key objectives and any operational challenges. The JCC may conduct meetings in person or by teleconference or video conference and may also act without a meeting when other means of communication are appropriate and uncontested by all members of the JCC. The JCC may establish procedures for its internal operation at meetings.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1" w:right="1440" w:bottom="1440" w:gutter="0" w:footer="0" w:header="0"/>
        </w:sectPr>
      </w:pPr>
    </w:p>
    <w:bookmarkStart w:id="814" w:name="page815"/>
    <w:bookmarkEnd w:id="814"/>
    <w:p>
      <w:pPr>
        <w:ind w:left="2440" w:right="239" w:hanging="503"/>
        <w:spacing w:after="0" w:line="277"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7.5.4</w:t>
      </w:r>
      <w:r>
        <w:rPr>
          <w:sz w:val="20"/>
          <w:szCs w:val="20"/>
          <w:color w:val="auto"/>
        </w:rPr>
        <w:tab/>
      </w:r>
      <w:r>
        <w:rPr>
          <w:rFonts w:ascii="Times New Roman" w:cs="Times New Roman" w:eastAsia="Times New Roman" w:hAnsi="Times New Roman"/>
          <w:sz w:val="13"/>
          <w:szCs w:val="13"/>
          <w:color w:val="auto"/>
        </w:rPr>
        <w:t>Management. The JCC Co-Chairpersons will set the agendas for each JCC meeting. The JCC Co-Chairpersons will have no greater authority than any other JCC representative. At each meeting, the JCC will elect a secretary selected by BTO who will prepare written minutes in the form of a memo promptly after such meeting, reporting in reasonable detail the actions and decisions taken by the JCC during such meeting, issues requiring resolution, and resolutions of previously reported issues. The said secretary shall catalogue and track such minutes and establish a shared document repository for the JCC to access the same. Such Within ten (10) calendar days of any said meeting, minutes are to be reviewed, commented on if needed, and updated per the JCC Co-Chairpersons’ feedback, and sent prior to being sent to the JCC. The secretary will revise such minutes as necessary.</w:t>
      </w:r>
    </w:p>
    <w:p>
      <w:pPr>
        <w:spacing w:after="0" w:line="57" w:lineRule="exact"/>
        <w:rPr>
          <w:sz w:val="20"/>
          <w:szCs w:val="20"/>
          <w:color w:val="auto"/>
        </w:rPr>
      </w:pPr>
    </w:p>
    <w:p>
      <w:pPr>
        <w:ind w:left="2440" w:right="27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7.5.5</w:t>
      </w:r>
      <w:r>
        <w:rPr>
          <w:sz w:val="20"/>
          <w:szCs w:val="20"/>
          <w:color w:val="auto"/>
        </w:rPr>
        <w:tab/>
      </w:r>
      <w:r>
        <w:rPr>
          <w:rFonts w:ascii="Times New Roman" w:cs="Times New Roman" w:eastAsia="Times New Roman" w:hAnsi="Times New Roman"/>
          <w:sz w:val="14"/>
          <w:szCs w:val="14"/>
          <w:color w:val="auto"/>
        </w:rPr>
        <w:t>Decisions. Decisions of the JCC must be made by [***]. If the JCC is unable to agree on any matter, such matter will be referred to the JSC for resolution.</w:t>
      </w:r>
    </w:p>
    <w:p>
      <w:pPr>
        <w:spacing w:after="0" w:line="52" w:lineRule="exact"/>
        <w:rPr>
          <w:sz w:val="20"/>
          <w:szCs w:val="20"/>
          <w:color w:val="auto"/>
        </w:rPr>
      </w:pPr>
    </w:p>
    <w:p>
      <w:pPr>
        <w:ind w:left="2440" w:right="25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7.5.6</w:t>
      </w:r>
      <w:r>
        <w:rPr>
          <w:sz w:val="20"/>
          <w:szCs w:val="20"/>
          <w:color w:val="auto"/>
        </w:rPr>
        <w:tab/>
      </w:r>
      <w:r>
        <w:rPr>
          <w:rFonts w:ascii="Times New Roman" w:cs="Times New Roman" w:eastAsia="Times New Roman" w:hAnsi="Times New Roman"/>
          <w:sz w:val="14"/>
          <w:szCs w:val="14"/>
          <w:color w:val="auto"/>
        </w:rPr>
        <w:t>Sub-Project Teams. The JCC may, from time-to-time, establish sub project teams with specific subject matter expertise, with responsibility for management of day-to-day collaboration between the Parties with respect to the activities contemplated by this Agreement in such subject matter area.</w:t>
      </w:r>
    </w:p>
    <w:p>
      <w:pPr>
        <w:spacing w:after="0" w:line="63" w:lineRule="exact"/>
        <w:rPr>
          <w:sz w:val="20"/>
          <w:szCs w:val="20"/>
          <w:color w:val="auto"/>
        </w:rPr>
      </w:pPr>
    </w:p>
    <w:p>
      <w:pPr>
        <w:ind w:left="2440" w:right="23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7.5.7</w:t>
      </w:r>
      <w:r>
        <w:rPr>
          <w:sz w:val="20"/>
          <w:szCs w:val="20"/>
          <w:color w:val="auto"/>
        </w:rPr>
        <w:tab/>
      </w:r>
      <w:r>
        <w:rPr>
          <w:rFonts w:ascii="Times New Roman" w:cs="Times New Roman" w:eastAsia="Times New Roman" w:hAnsi="Times New Roman"/>
          <w:sz w:val="14"/>
          <w:szCs w:val="14"/>
          <w:color w:val="auto"/>
        </w:rPr>
        <w:t>The JCC shall have no authority to amend this Agreement, the Development Plan, or the Commercialization Plan but may make recommendations regarding such amendments to the JSC.</w:t>
      </w:r>
    </w:p>
    <w:p>
      <w:pPr>
        <w:spacing w:after="0" w:line="52" w:lineRule="exact"/>
        <w:rPr>
          <w:sz w:val="20"/>
          <w:szCs w:val="20"/>
          <w:color w:val="auto"/>
        </w:rPr>
      </w:pPr>
    </w:p>
    <w:p>
      <w:pPr>
        <w:ind w:left="2440" w:right="51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7.5.8</w:t>
      </w:r>
      <w:r>
        <w:rPr>
          <w:sz w:val="20"/>
          <w:szCs w:val="20"/>
          <w:color w:val="auto"/>
        </w:rPr>
        <w:tab/>
      </w:r>
      <w:r>
        <w:rPr>
          <w:rFonts w:ascii="Times New Roman" w:cs="Times New Roman" w:eastAsia="Times New Roman" w:hAnsi="Times New Roman"/>
          <w:sz w:val="14"/>
          <w:szCs w:val="14"/>
          <w:color w:val="auto"/>
        </w:rPr>
        <w:t>Each Party shall be responsible for all expenses incurred by its JCC members in connection with performing their duties hereunder.</w:t>
      </w:r>
    </w:p>
    <w:p>
      <w:pPr>
        <w:spacing w:after="0" w:line="52" w:lineRule="exact"/>
        <w:rPr>
          <w:sz w:val="20"/>
          <w:szCs w:val="20"/>
          <w:color w:val="auto"/>
        </w:rPr>
      </w:pPr>
    </w:p>
    <w:p>
      <w:pPr>
        <w:ind w:left="1940" w:right="3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4"/>
          <w:szCs w:val="14"/>
          <w:u w:val="single" w:color="auto"/>
          <w:color w:val="auto"/>
        </w:rPr>
        <w:t>Limits of Authority</w:t>
      </w:r>
      <w:r>
        <w:rPr>
          <w:rFonts w:ascii="Times New Roman" w:cs="Times New Roman" w:eastAsia="Times New Roman" w:hAnsi="Times New Roman"/>
          <w:sz w:val="14"/>
          <w:szCs w:val="14"/>
          <w:color w:val="auto"/>
        </w:rPr>
        <w:t>. Each of the JSC, JCC, and the JPT will only have the power and authority to determine, approve or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resolve matters that it is expressly authorized to determine, approve or resolve under this Agreement (“Committee Matters”), and will not have any other power or authority (i) to enter into, amend, modify or waive compliance with this Agreement; (ii) to alter, increase or expand a Party’s obligations under this Agreement; or (iii) to make any decision that expressly requires BTO’s or Janssen’s approval or agreement or the approval or agreement of both Parties under this Agreement. Each Party shall retain the rights, powers and discretion granted to it under this Agreement and no such rights, powers, or discretion shall be delegated to or vested in the JSC, the JPT, JCC, or any other committee, subcommittee or working group unless such delegation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2" w:right="1440" w:bottom="1440" w:gutter="0" w:footer="0" w:header="0"/>
        </w:sectPr>
      </w:pPr>
    </w:p>
    <w:bookmarkStart w:id="815" w:name="page816"/>
    <w:bookmarkEnd w:id="815"/>
    <w:p>
      <w:pPr>
        <w:ind w:left="194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vesting of rights, powers, or discretion is expressly provided for in this Agreement or the Parties otherwise expressly so mutually agree in writing. Without limiting the foregoing, each Party acknowledges and agrees that the JSC, JCC, and the JPT shall not have authority to assume, create or incur any liability or any obligation of any kind, express or implied, against, or in the name of or on behalf of, either Party or waive any right on behalf of either Party. Each Party further acknowledges and agrees that the limitations on powers of the JSC, JCC, and the JPT set forth in this Section 7.6 or elsewhere in this Agreement shall apply also to each subcommittee or working group established by the JSC, JCC, or the JPT.</w:t>
      </w:r>
    </w:p>
    <w:p>
      <w:pPr>
        <w:spacing w:after="0" w:line="259" w:lineRule="exact"/>
        <w:rPr>
          <w:sz w:val="20"/>
          <w:szCs w:val="20"/>
          <w:color w:val="auto"/>
        </w:rPr>
      </w:pPr>
    </w:p>
    <w:p>
      <w:pPr>
        <w:ind w:left="820" w:hanging="597"/>
        <w:spacing w:after="0"/>
        <w:tabs>
          <w:tab w:leader="none" w:pos="820" w:val="left"/>
        </w:tabs>
        <w:numPr>
          <w:ilvl w:val="0"/>
          <w:numId w:val="5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FEES AND PAYMENTS</w:t>
      </w:r>
    </w:p>
    <w:p>
      <w:pPr>
        <w:spacing w:after="0" w:line="103" w:lineRule="exact"/>
        <w:rPr>
          <w:sz w:val="20"/>
          <w:szCs w:val="20"/>
          <w:color w:val="auto"/>
        </w:rPr>
      </w:pPr>
    </w:p>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u w:val="single" w:color="auto"/>
          <w:color w:val="auto"/>
        </w:rPr>
        <w:t>Milestone Payments</w:t>
      </w:r>
      <w:r>
        <w:rPr>
          <w:rFonts w:ascii="Times New Roman" w:cs="Times New Roman" w:eastAsia="Times New Roman" w:hAnsi="Times New Roman"/>
          <w:sz w:val="14"/>
          <w:szCs w:val="14"/>
          <w:color w:val="auto"/>
        </w:rPr>
        <w:t>. Janssen shall compensate BTO for its performance of Development in accordance with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Milestone amounts as set forth in the Development Plan. BTO may issue an invoice for any Milestone within [***] from its completion. There will be no Milestone payments owed by Janssen for BTO’s performance of any Commercialization of the BTO CDx.</w:t>
      </w:r>
    </w:p>
    <w:p>
      <w:pPr>
        <w:spacing w:after="0" w:line="66" w:lineRule="exact"/>
        <w:rPr>
          <w:sz w:val="20"/>
          <w:szCs w:val="20"/>
          <w:color w:val="auto"/>
        </w:rPr>
      </w:pPr>
    </w:p>
    <w:p>
      <w:pPr>
        <w:ind w:left="1940" w:right="4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u w:val="single" w:color="auto"/>
          <w:color w:val="auto"/>
        </w:rPr>
        <w:t>Pass Through Costs and Travel Expenses</w:t>
      </w:r>
      <w:r>
        <w:rPr>
          <w:rFonts w:ascii="Times New Roman" w:cs="Times New Roman" w:eastAsia="Times New Roman" w:hAnsi="Times New Roman"/>
          <w:sz w:val="14"/>
          <w:szCs w:val="14"/>
          <w:color w:val="auto"/>
        </w:rPr>
        <w:t>. The Parties acknowledge that BTO may incur out-of-pocket costs and other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direct expenses in connection with this Agreement. [***]. </w:t>
      </w:r>
    </w:p>
    <w:p>
      <w:pPr>
        <w:spacing w:after="0" w:line="52" w:lineRule="exact"/>
        <w:rPr>
          <w:sz w:val="20"/>
          <w:szCs w:val="20"/>
          <w:color w:val="auto"/>
        </w:rPr>
      </w:pPr>
    </w:p>
    <w:p>
      <w:pPr>
        <w:ind w:left="1940" w:right="2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u w:val="single" w:color="auto"/>
          <w:color w:val="auto"/>
        </w:rPr>
        <w:t>Additional Expenses Required for Additional Activities Required by Regulatory Authorities</w:t>
      </w:r>
      <w:r>
        <w:rPr>
          <w:rFonts w:ascii="Times New Roman" w:cs="Times New Roman" w:eastAsia="Times New Roman" w:hAnsi="Times New Roman"/>
          <w:sz w:val="14"/>
          <w:szCs w:val="14"/>
          <w:color w:val="auto"/>
        </w:rPr>
        <w:t>. In addition to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compensation under Section 8.1 and expenses contemplated in the Development Plan and Commercialization Plan, the Parties acknowledge that the Regulatory Authority may request the performance of additional activities not contemplated in the then-current Development Plan or Commercialization Plan. The JSC shall meet to discuss activities and the allocation of costs therefor. [***]. For sake of clarity and to the best of BTO’s knowledge, the Development Plan as of the Effective Date contains activities that BTO reasonably expects to be sufficient for Regulatory Approval of the BTO CDx. Hence the Parties recognize, that BTO does not warrant or represent that such activities will in fact satisfy all regulatory requirements for Regulatory Approval of the BTO CDx.</w:t>
      </w:r>
    </w:p>
    <w:p>
      <w:pPr>
        <w:spacing w:after="0" w:line="75" w:lineRule="exact"/>
        <w:rPr>
          <w:sz w:val="20"/>
          <w:szCs w:val="20"/>
          <w:color w:val="auto"/>
        </w:rPr>
      </w:pPr>
    </w:p>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u w:val="single" w:color="auto"/>
          <w:color w:val="auto"/>
        </w:rPr>
        <w:t>Additional Expenses Required by Janssen</w:t>
      </w:r>
      <w:r>
        <w:rPr>
          <w:rFonts w:ascii="Times New Roman" w:cs="Times New Roman" w:eastAsia="Times New Roman" w:hAnsi="Times New Roman"/>
          <w:sz w:val="14"/>
          <w:szCs w:val="14"/>
          <w:color w:val="auto"/>
        </w:rPr>
        <w:t>. In addition to the compensation under Section 8.1, the Parties acknowledge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that Janssen may request the performance of additional activities not contemplated in the then-current Development Plan or Commercialization Plan, including without limitation by requesting BTO to perform Commercialization activities for the BTO CDx beyond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1" w:right="1440" w:bottom="1440" w:gutter="0" w:footer="0" w:header="0"/>
        </w:sectPr>
      </w:pPr>
    </w:p>
    <w:bookmarkStart w:id="816" w:name="page817"/>
    <w:bookmarkEnd w:id="816"/>
    <w:p>
      <w:pPr>
        <w:ind w:left="1940" w:right="3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Commercialization activities that BTO would customarily undertake with respect to its other companion diagnostic products. The JSC shall meet to discuss such additional activities and the allocation of costs and compensation therefor. The Parties shall discuss in good faith any additional activities, and these will be captured in an amendment to this Agreement and to the Development Plan or Commercialization Plan.</w:t>
      </w:r>
    </w:p>
    <w:p>
      <w:pPr>
        <w:spacing w:after="0" w:line="66" w:lineRule="exact"/>
        <w:rPr>
          <w:sz w:val="20"/>
          <w:szCs w:val="20"/>
          <w:color w:val="auto"/>
        </w:rPr>
      </w:pPr>
    </w:p>
    <w:p>
      <w:pPr>
        <w:ind w:left="1940" w:right="259" w:hanging="597"/>
        <w:spacing w:after="0" w:line="255" w:lineRule="auto"/>
        <w:tabs>
          <w:tab w:leader="none" w:pos="1920" w:val="left"/>
        </w:tabs>
        <w:rPr>
          <w:sz w:val="20"/>
          <w:szCs w:val="20"/>
          <w:color w:val="auto"/>
        </w:rPr>
      </w:pPr>
      <w:r>
        <w:rPr>
          <w:rFonts w:ascii="Times New Roman" w:cs="Times New Roman" w:eastAsia="Times New Roman" w:hAnsi="Times New Roman"/>
          <w:sz w:val="14"/>
          <w:szCs w:val="14"/>
          <w:color w:val="auto"/>
        </w:rPr>
        <w:t>8.5</w:t>
      </w:r>
      <w:r>
        <w:rPr>
          <w:sz w:val="20"/>
          <w:szCs w:val="20"/>
          <w:color w:val="auto"/>
        </w:rPr>
        <w:tab/>
      </w:r>
      <w:r>
        <w:rPr>
          <w:rFonts w:ascii="Times New Roman" w:cs="Times New Roman" w:eastAsia="Times New Roman" w:hAnsi="Times New Roman"/>
          <w:sz w:val="14"/>
          <w:szCs w:val="14"/>
          <w:u w:val="single" w:color="auto"/>
          <w:color w:val="auto"/>
        </w:rPr>
        <w:t>Estimates</w:t>
      </w:r>
      <w:r>
        <w:rPr>
          <w:rFonts w:ascii="Times New Roman" w:cs="Times New Roman" w:eastAsia="Times New Roman" w:hAnsi="Times New Roman"/>
          <w:sz w:val="14"/>
          <w:szCs w:val="14"/>
          <w:color w:val="auto"/>
        </w:rPr>
        <w:t>. The scope of the Development and Commercialization Plan is BTO’s best estimate based on present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knowledge about the Development and past experience with the development of other similar products. Both Parties do, however, recognize that the development of the BTO CDx involves the use of biological material, and hence that a degree of uncertainty is inevitably connected with such estimates. It is anticipated that the specific Development activities shall evolve as a result of the scientific nature of such activities. The Parties shall discuss in good faith amendments to the Development Plan and Commercialization Plan based on amendments to the development plan for the Janssen Drug, including additional indications, and additional territories for the BTO CDx.</w:t>
      </w:r>
    </w:p>
    <w:p>
      <w:pPr>
        <w:spacing w:after="0" w:line="7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8.6</w:t>
      </w:r>
      <w:r>
        <w:rPr>
          <w:sz w:val="20"/>
          <w:szCs w:val="20"/>
          <w:color w:val="auto"/>
        </w:rPr>
        <w:tab/>
      </w:r>
      <w:r>
        <w:rPr>
          <w:rFonts w:ascii="Times New Roman" w:cs="Times New Roman" w:eastAsia="Times New Roman" w:hAnsi="Times New Roman"/>
          <w:sz w:val="13"/>
          <w:szCs w:val="13"/>
          <w:u w:val="single" w:color="auto"/>
          <w:color w:val="auto"/>
        </w:rPr>
        <w:t>Payment Terms, Janssen Payments to BTO</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43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8.6.1</w:t>
      </w:r>
      <w:r>
        <w:rPr>
          <w:sz w:val="20"/>
          <w:szCs w:val="20"/>
          <w:color w:val="auto"/>
        </w:rPr>
        <w:tab/>
      </w:r>
      <w:r>
        <w:rPr>
          <w:rFonts w:ascii="Times New Roman" w:cs="Times New Roman" w:eastAsia="Times New Roman" w:hAnsi="Times New Roman"/>
          <w:sz w:val="14"/>
          <w:szCs w:val="14"/>
          <w:color w:val="auto"/>
        </w:rPr>
        <w:t>Undisputed BTO invoices shall be due and payable within [***] after Janssen’s receipt thereof, however, the actual payment to BTO will not be made until the next scheduled payment run as set forth at [***]. BTO shall submit invoices electronically through a web-based system using the Accounts Payable website, [***]</w:t>
      </w:r>
    </w:p>
    <w:p>
      <w:pPr>
        <w:spacing w:after="0" w:line="63"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8.6.2</w:t>
      </w:r>
      <w:r>
        <w:rPr>
          <w:sz w:val="20"/>
          <w:szCs w:val="20"/>
          <w:color w:val="auto"/>
        </w:rPr>
        <w:tab/>
      </w:r>
      <w:r>
        <w:rPr>
          <w:rFonts w:ascii="Times New Roman" w:cs="Times New Roman" w:eastAsia="Times New Roman" w:hAnsi="Times New Roman"/>
          <w:sz w:val="13"/>
          <w:szCs w:val="13"/>
          <w:color w:val="auto"/>
        </w:rPr>
        <w:t>The following applies to the web-based invoicing:</w:t>
      </w:r>
    </w:p>
    <w:p>
      <w:pPr>
        <w:spacing w:after="0" w:line="9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8.7</w:t>
      </w:r>
      <w:r>
        <w:rPr>
          <w:sz w:val="20"/>
          <w:szCs w:val="20"/>
          <w:color w:val="auto"/>
        </w:rPr>
        <w:tab/>
      </w:r>
      <w:r>
        <w:rPr>
          <w:rFonts w:ascii="Times New Roman" w:cs="Times New Roman" w:eastAsia="Times New Roman" w:hAnsi="Times New Roman"/>
          <w:sz w:val="13"/>
          <w:szCs w:val="13"/>
          <w:u w:val="single" w:color="auto"/>
          <w:color w:val="auto"/>
        </w:rPr>
        <w:t>Taxes and Withholding</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jc w:val="center"/>
        <w:ind w:left="1700"/>
        <w:spacing w:after="0"/>
        <w:tabs>
          <w:tab w:leader="none" w:pos="200" w:val="left"/>
        </w:tabs>
        <w:rPr>
          <w:sz w:val="20"/>
          <w:szCs w:val="20"/>
          <w:color w:val="auto"/>
        </w:rPr>
      </w:pPr>
      <w:r>
        <w:rPr>
          <w:rFonts w:ascii="Times New Roman" w:cs="Times New Roman" w:eastAsia="Times New Roman" w:hAnsi="Times New Roman"/>
          <w:sz w:val="14"/>
          <w:szCs w:val="14"/>
          <w:color w:val="auto"/>
        </w:rPr>
        <w:t>8.7.1</w:t>
      </w:r>
      <w:r>
        <w:rPr>
          <w:sz w:val="20"/>
          <w:szCs w:val="20"/>
          <w:color w:val="auto"/>
        </w:rPr>
        <w:tab/>
      </w:r>
      <w:r>
        <w:rPr>
          <w:rFonts w:ascii="Times New Roman" w:cs="Times New Roman" w:eastAsia="Times New Roman" w:hAnsi="Times New Roman"/>
          <w:sz w:val="13"/>
          <w:szCs w:val="13"/>
          <w:color w:val="auto"/>
        </w:rPr>
        <w:t>Janssen will make all payments to BTO under this Agreement without deduction or withholding for Taxes except</w:t>
      </w:r>
    </w:p>
    <w:p>
      <w:pPr>
        <w:spacing w:after="0" w:line="22" w:lineRule="exact"/>
        <w:rPr>
          <w:sz w:val="20"/>
          <w:szCs w:val="20"/>
          <w:color w:val="auto"/>
        </w:rPr>
      </w:pPr>
    </w:p>
    <w:p>
      <w:pPr>
        <w:ind w:left="2440" w:right="739"/>
        <w:spacing w:after="0" w:line="260" w:lineRule="auto"/>
        <w:rPr>
          <w:sz w:val="20"/>
          <w:szCs w:val="20"/>
          <w:color w:val="auto"/>
        </w:rPr>
      </w:pPr>
      <w:r>
        <w:rPr>
          <w:rFonts w:ascii="Times New Roman" w:cs="Times New Roman" w:eastAsia="Times New Roman" w:hAnsi="Times New Roman"/>
          <w:sz w:val="14"/>
          <w:szCs w:val="14"/>
          <w:color w:val="auto"/>
        </w:rPr>
        <w:t>to the extent that any such deduction or withholding is required by applicable law in effect at the time of payment.</w:t>
      </w:r>
    </w:p>
    <w:p>
      <w:pPr>
        <w:spacing w:after="0" w:line="67" w:lineRule="exact"/>
        <w:rPr>
          <w:sz w:val="20"/>
          <w:szCs w:val="20"/>
          <w:color w:val="auto"/>
        </w:rPr>
      </w:pPr>
    </w:p>
    <w:p>
      <w:pPr>
        <w:ind w:left="2440" w:right="31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8.7.2</w:t>
      </w:r>
      <w:r>
        <w:rPr>
          <w:sz w:val="20"/>
          <w:szCs w:val="20"/>
          <w:color w:val="auto"/>
        </w:rPr>
        <w:tab/>
      </w:r>
      <w:r>
        <w:rPr>
          <w:rFonts w:ascii="Times New Roman" w:cs="Times New Roman" w:eastAsia="Times New Roman" w:hAnsi="Times New Roman"/>
          <w:sz w:val="13"/>
          <w:szCs w:val="13"/>
          <w:color w:val="auto"/>
        </w:rPr>
        <w:t>Any Tax required to be withheld on amounts payable under this Agreement will be paid by Janssen on behalf of BTO to the appropriate governmental authority, and Janssen will furnish BTO with proof of payment of such Tax. Any such Tax required to be withheld will be an expense of and borne by BTO. Janssen shall furnish to BTO evidence of true and complete payment of such Tax. If any such Tax properly owing by BTO is assessed against and paid by Janssen, then BTO will indemnify and hold harmless Janssen from and against such Tax.</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1" w:right="1440" w:bottom="1440" w:gutter="0" w:footer="0" w:header="0"/>
        </w:sectPr>
      </w:pPr>
    </w:p>
    <w:bookmarkStart w:id="817" w:name="page818"/>
    <w:bookmarkEnd w:id="817"/>
    <w:p>
      <w:pPr>
        <w:ind w:left="2440" w:right="239" w:hanging="503"/>
        <w:spacing w:after="0" w:line="255"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8.7.3</w:t>
      </w:r>
      <w:r>
        <w:rPr>
          <w:sz w:val="20"/>
          <w:szCs w:val="20"/>
          <w:color w:val="auto"/>
        </w:rPr>
        <w:tab/>
      </w:r>
      <w:r>
        <w:rPr>
          <w:rFonts w:ascii="Times New Roman" w:cs="Times New Roman" w:eastAsia="Times New Roman" w:hAnsi="Times New Roman"/>
          <w:sz w:val="14"/>
          <w:szCs w:val="14"/>
          <w:color w:val="auto"/>
        </w:rPr>
        <w:t>Janssen and BTO will cooperate with respect to all documentation required by any taxing authority or reasonably requested by Janssen to secure a reduction in the rate of applicable withholding Taxes. On the date of execution of this Agreement, BTO will deliver to Janssen an accurate and complete documentation certifying that BTO is entitled to the applicable benefits under the Income Tax Treaty between United States and Belgium and as soon as practicable thereafter, an exemption certificate under the respective treaty between United States and Germany. The Parties hereby provide their consent to disclose this Agreement to the German tax authorities for purposes of obtaining such an exemption certificate.</w:t>
      </w:r>
    </w:p>
    <w:p>
      <w:pPr>
        <w:spacing w:after="0" w:line="72" w:lineRule="exact"/>
        <w:rPr>
          <w:sz w:val="20"/>
          <w:szCs w:val="20"/>
          <w:color w:val="auto"/>
        </w:rPr>
      </w:pPr>
    </w:p>
    <w:p>
      <w:pPr>
        <w:ind w:left="1940" w:right="339" w:hanging="597"/>
        <w:spacing w:after="0" w:line="280" w:lineRule="auto"/>
        <w:tabs>
          <w:tab w:leader="none" w:pos="1920" w:val="left"/>
        </w:tabs>
        <w:rPr>
          <w:sz w:val="20"/>
          <w:szCs w:val="20"/>
          <w:color w:val="auto"/>
        </w:rPr>
      </w:pPr>
      <w:r>
        <w:rPr>
          <w:rFonts w:ascii="Times New Roman" w:cs="Times New Roman" w:eastAsia="Times New Roman" w:hAnsi="Times New Roman"/>
          <w:sz w:val="14"/>
          <w:szCs w:val="14"/>
          <w:color w:val="auto"/>
        </w:rPr>
        <w:t>8.8</w:t>
      </w:r>
      <w:r>
        <w:rPr>
          <w:sz w:val="20"/>
          <w:szCs w:val="20"/>
          <w:color w:val="auto"/>
        </w:rPr>
        <w:tab/>
      </w:r>
      <w:r>
        <w:rPr>
          <w:rFonts w:ascii="Times New Roman" w:cs="Times New Roman" w:eastAsia="Times New Roman" w:hAnsi="Times New Roman"/>
          <w:sz w:val="13"/>
          <w:szCs w:val="13"/>
          <w:u w:val="single" w:color="auto"/>
          <w:color w:val="auto"/>
        </w:rPr>
        <w:t>Not to exceed</w:t>
      </w:r>
      <w:r>
        <w:rPr>
          <w:rFonts w:ascii="Times New Roman" w:cs="Times New Roman" w:eastAsia="Times New Roman" w:hAnsi="Times New Roman"/>
          <w:sz w:val="13"/>
          <w:szCs w:val="13"/>
          <w:color w:val="auto"/>
        </w:rPr>
        <w:t>. The cumulative amount of fees, Milestones, payments, expenses and costs, of any kind, incurred, and/or</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paid, and/or payable under this Agreement, per the Development Plan as of the Effective Date and as identified in Sections 8.1-8.7 of this Agreement, shall not exceed a total of $13,000,000, excluding the “Optional Work” and “Regulatory Support” set forth in Exhibit 1.36 and any amounts due under the Prior Collaboration Agreement. However, if Janssen requests additional activities beyond those specified in the Development Plan, including but not limited to the Optional Work and/or Regulatory Support, then the cumulative amount payable by Janssen may exceed this amount.</w:t>
      </w:r>
    </w:p>
    <w:p>
      <w:pPr>
        <w:spacing w:after="0" w:line="242" w:lineRule="exact"/>
        <w:rPr>
          <w:sz w:val="20"/>
          <w:szCs w:val="20"/>
          <w:color w:val="auto"/>
        </w:rPr>
      </w:pPr>
    </w:p>
    <w:p>
      <w:pPr>
        <w:ind w:left="820" w:hanging="597"/>
        <w:spacing w:after="0"/>
        <w:tabs>
          <w:tab w:leader="none" w:pos="820" w:val="left"/>
        </w:tabs>
        <w:numPr>
          <w:ilvl w:val="0"/>
          <w:numId w:val="5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INTELLECTUAL PROPERTY</w:t>
      </w:r>
    </w:p>
    <w:p>
      <w:pPr>
        <w:spacing w:after="0" w:line="103"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u w:val="single" w:color="auto"/>
          <w:color w:val="auto"/>
        </w:rPr>
        <w:t>Ownership of Technology</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9.1.1</w:t>
      </w:r>
      <w:r>
        <w:rPr>
          <w:sz w:val="20"/>
          <w:szCs w:val="20"/>
          <w:color w:val="auto"/>
        </w:rPr>
        <w:tab/>
      </w:r>
      <w:r>
        <w:rPr>
          <w:rFonts w:ascii="Times New Roman" w:cs="Times New Roman" w:eastAsia="Times New Roman" w:hAnsi="Times New Roman"/>
          <w:sz w:val="13"/>
          <w:szCs w:val="13"/>
          <w:u w:val="single" w:color="auto"/>
          <w:color w:val="auto"/>
        </w:rPr>
        <w:t>BTO</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3040" w:right="679" w:hanging="593"/>
        <w:spacing w:after="0" w:line="282" w:lineRule="auto"/>
        <w:tabs>
          <w:tab w:leader="none" w:pos="3040"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shall retain sole and exclusive ownership of the BTO Background Technology, as well as Intellectual Property Rights thereto, and</w:t>
      </w:r>
    </w:p>
    <w:p>
      <w:pPr>
        <w:spacing w:after="0" w:line="51" w:lineRule="exact"/>
        <w:rPr>
          <w:rFonts w:ascii="Times New Roman" w:cs="Times New Roman" w:eastAsia="Times New Roman" w:hAnsi="Times New Roman"/>
          <w:sz w:val="14"/>
          <w:szCs w:val="14"/>
          <w:color w:val="auto"/>
        </w:rPr>
      </w:pPr>
    </w:p>
    <w:p>
      <w:pPr>
        <w:ind w:left="3040" w:right="499" w:hanging="593"/>
        <w:spacing w:after="0" w:line="256" w:lineRule="auto"/>
        <w:tabs>
          <w:tab w:leader="none" w:pos="3040"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shall own all right title and interest in and to BTO Development Technology, as well as Intellectual Property Rights thereto. Janssen agrees to assign and hereby assigns its right title and interest in and to BTO Development Technology as well as Intellectual Property Rights thereto, conceived of, or conceived of and reduced to practice by Janssen’s employees, Affiliates or Third Party contractors and shall take steps necessary, and cause its employees, Affiliates or Third Party contractors to take all steps necessary, to perfect this assignment.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818" w:name="page819"/>
    <w:bookmarkEnd w:id="818"/>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9.1.2</w:t>
      </w:r>
      <w:r>
        <w:rPr>
          <w:sz w:val="20"/>
          <w:szCs w:val="20"/>
          <w:color w:val="auto"/>
        </w:rPr>
        <w:tab/>
      </w:r>
      <w:r>
        <w:rPr>
          <w:rFonts w:ascii="Times New Roman" w:cs="Times New Roman" w:eastAsia="Times New Roman" w:hAnsi="Times New Roman"/>
          <w:sz w:val="13"/>
          <w:szCs w:val="13"/>
          <w:u w:val="single" w:color="auto"/>
          <w:color w:val="auto"/>
        </w:rPr>
        <w:t>Janssen</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3040" w:right="379" w:hanging="593"/>
        <w:spacing w:after="0" w:line="282" w:lineRule="auto"/>
        <w:tabs>
          <w:tab w:leader="none" w:pos="3040" w:val="left"/>
        </w:tabs>
        <w:numPr>
          <w:ilvl w:val="0"/>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shall retain sole and exclusive ownership of the Janssen Background Technology, as well as Intellectual Property Rights thereto, and</w:t>
      </w:r>
    </w:p>
    <w:p>
      <w:pPr>
        <w:spacing w:after="0" w:line="51" w:lineRule="exact"/>
        <w:rPr>
          <w:rFonts w:ascii="Times New Roman" w:cs="Times New Roman" w:eastAsia="Times New Roman" w:hAnsi="Times New Roman"/>
          <w:sz w:val="14"/>
          <w:szCs w:val="14"/>
          <w:color w:val="auto"/>
        </w:rPr>
      </w:pPr>
    </w:p>
    <w:p>
      <w:pPr>
        <w:ind w:left="3040" w:right="239" w:hanging="593"/>
        <w:spacing w:after="0" w:line="256" w:lineRule="auto"/>
        <w:tabs>
          <w:tab w:leader="none" w:pos="3040" w:val="left"/>
        </w:tabs>
        <w:numPr>
          <w:ilvl w:val="0"/>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shall own all right title and interest in and to Janssen Development Technology as well as Intellectual Property Rights thereto. BTO agrees to assign and hereby assigns its right title and interest in and to Janssen Development Technology and Intellectual Property Rights thereto conceived of or conceived of and reduced to practice by BTO’s employees, Affiliates or Third Party contractors and shall take steps necessary, and cause its employees, Affiliates or Third Party contractors to take all steps necessary, to perfect this assignment.</w:t>
      </w:r>
    </w:p>
    <w:p>
      <w:pPr>
        <w:spacing w:after="0" w:line="7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9.1.3</w:t>
      </w:r>
      <w:r>
        <w:rPr>
          <w:sz w:val="20"/>
          <w:szCs w:val="20"/>
          <w:color w:val="auto"/>
        </w:rPr>
        <w:tab/>
      </w:r>
      <w:r>
        <w:rPr>
          <w:rFonts w:ascii="Times New Roman" w:cs="Times New Roman" w:eastAsia="Times New Roman" w:hAnsi="Times New Roman"/>
          <w:sz w:val="13"/>
          <w:szCs w:val="13"/>
          <w:u w:val="single" w:color="auto"/>
          <w:color w:val="auto"/>
        </w:rPr>
        <w:t>Joint</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3040" w:right="299" w:hanging="593"/>
        <w:spacing w:after="0" w:line="256" w:lineRule="auto"/>
        <w:tabs>
          <w:tab w:leader="none" w:pos="3040"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do not contemplate the development of any Joint Development Technology in connection with the activities contemplated by this Agreement; provided, however, in the unlikely event that any Joint Development Technology is developed, Janssen and BTO shall jointly own all right, title and interest in and to Joint Development Technology, as well as Intellectual Property Rights thereto. As a joint owner, each Party may use Joint Development Technology for any purpose, without a duty of seeking consent from, or accounting to, the other Party.</w:t>
      </w:r>
    </w:p>
    <w:p>
      <w:pPr>
        <w:spacing w:after="0" w:line="7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3"/>
          <w:szCs w:val="13"/>
          <w:u w:val="single" w:color="auto"/>
          <w:color w:val="auto"/>
        </w:rPr>
        <w:t>Ownership of Data</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9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9.2.1</w:t>
      </w:r>
      <w:r>
        <w:rPr>
          <w:sz w:val="20"/>
          <w:szCs w:val="20"/>
          <w:color w:val="auto"/>
        </w:rPr>
        <w:tab/>
      </w:r>
      <w:r>
        <w:rPr>
          <w:rFonts w:ascii="Times New Roman" w:cs="Times New Roman" w:eastAsia="Times New Roman" w:hAnsi="Times New Roman"/>
          <w:sz w:val="14"/>
          <w:szCs w:val="14"/>
          <w:u w:val="single" w:color="auto"/>
          <w:color w:val="auto"/>
        </w:rPr>
        <w:t>Janssen Data</w:t>
      </w:r>
      <w:r>
        <w:rPr>
          <w:rFonts w:ascii="Times New Roman" w:cs="Times New Roman" w:eastAsia="Times New Roman" w:hAnsi="Times New Roman"/>
          <w:sz w:val="14"/>
          <w:szCs w:val="14"/>
          <w:color w:val="auto"/>
        </w:rPr>
        <w:t>. All Janssen Data shall be owned solely by Janssen. Janssen may use Janssen Data for any purpose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without the consent of BTO. BTO may use Janssen Data solely in accordance with the rights and licenses granted to BTO under Sections 3.4.1 and 9.3.1. Janssen Data shall be considered Confidential Information of Janssen.</w:t>
      </w:r>
    </w:p>
    <w:p>
      <w:pPr>
        <w:spacing w:after="0" w:line="66" w:lineRule="exact"/>
        <w:rPr>
          <w:sz w:val="20"/>
          <w:szCs w:val="20"/>
          <w:color w:val="auto"/>
        </w:rPr>
      </w:pPr>
    </w:p>
    <w:p>
      <w:pPr>
        <w:ind w:left="2440" w:right="37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9.2.2</w:t>
      </w:r>
      <w:r>
        <w:rPr>
          <w:sz w:val="20"/>
          <w:szCs w:val="20"/>
          <w:color w:val="auto"/>
        </w:rPr>
        <w:tab/>
      </w:r>
      <w:r>
        <w:rPr>
          <w:rFonts w:ascii="Times New Roman" w:cs="Times New Roman" w:eastAsia="Times New Roman" w:hAnsi="Times New Roman"/>
          <w:sz w:val="14"/>
          <w:szCs w:val="14"/>
          <w:u w:val="single" w:color="auto"/>
          <w:color w:val="auto"/>
        </w:rPr>
        <w:t>BTO Data</w:t>
      </w:r>
      <w:r>
        <w:rPr>
          <w:rFonts w:ascii="Times New Roman" w:cs="Times New Roman" w:eastAsia="Times New Roman" w:hAnsi="Times New Roman"/>
          <w:sz w:val="14"/>
          <w:szCs w:val="14"/>
          <w:color w:val="auto"/>
        </w:rPr>
        <w:t>. All BTO Data shall be owned solely by BTO. BTO may use BTO Data for any purpose without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consent of Janssen. Janssen may use BTO Data solely in accordance with the rights and licenses granted to Janssen under Sections 3.4.2 and 9.3.2 and as otherwise expressly provided in this Agreement. BTO Data shall be considered Confidential Information of BTO.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2" w:right="1440" w:bottom="1440" w:gutter="0" w:footer="0" w:header="0"/>
        </w:sectPr>
      </w:pPr>
    </w:p>
    <w:bookmarkStart w:id="819" w:name="page820"/>
    <w:bookmarkEnd w:id="819"/>
    <w:p>
      <w:pPr>
        <w:ind w:left="2440" w:right="23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9.2.3</w:t>
      </w:r>
      <w:r>
        <w:rPr>
          <w:sz w:val="20"/>
          <w:szCs w:val="20"/>
          <w:color w:val="auto"/>
        </w:rPr>
        <w:tab/>
      </w:r>
      <w:r>
        <w:rPr>
          <w:rFonts w:ascii="Times New Roman" w:cs="Times New Roman" w:eastAsia="Times New Roman" w:hAnsi="Times New Roman"/>
          <w:sz w:val="14"/>
          <w:szCs w:val="14"/>
          <w:u w:val="single" w:color="auto"/>
          <w:color w:val="auto"/>
        </w:rPr>
        <w:t>Joint Data</w:t>
      </w:r>
      <w:r>
        <w:rPr>
          <w:rFonts w:ascii="Times New Roman" w:cs="Times New Roman" w:eastAsia="Times New Roman" w:hAnsi="Times New Roman"/>
          <w:sz w:val="14"/>
          <w:szCs w:val="14"/>
          <w:color w:val="auto"/>
        </w:rPr>
        <w:t>. Janssen and BTO shall jointly own all Joint Data. Each Party may use Joint Data as necessary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support its activities related to obtaining Regulatory Approval of their respective assays or drugs; however, any other proposed use or disclosure by a Party shall require the prior written consent of the other Party, such consent not to be unreasonably withheld.</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u w:val="single" w:color="auto"/>
          <w:color w:val="auto"/>
        </w:rPr>
        <w:t>Technology License Grants</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ind w:left="2440" w:right="379"/>
        <w:spacing w:after="0" w:line="261" w:lineRule="auto"/>
        <w:rPr>
          <w:sz w:val="20"/>
          <w:szCs w:val="20"/>
          <w:color w:val="auto"/>
        </w:rPr>
      </w:pPr>
      <w:r>
        <w:rPr>
          <w:rFonts w:ascii="Times New Roman" w:cs="Times New Roman" w:eastAsia="Times New Roman" w:hAnsi="Times New Roman"/>
          <w:sz w:val="14"/>
          <w:szCs w:val="14"/>
          <w:u w:val="single" w:color="auto"/>
          <w:color w:val="auto"/>
        </w:rPr>
        <w:t>Technology Licenses to BTO</w:t>
      </w:r>
      <w:r>
        <w:rPr>
          <w:rFonts w:ascii="Times New Roman" w:cs="Times New Roman" w:eastAsia="Times New Roman" w:hAnsi="Times New Roman"/>
          <w:sz w:val="14"/>
          <w:szCs w:val="14"/>
          <w:color w:val="auto"/>
        </w:rPr>
        <w:t>. Subject to the obligations of Section 9 and the other terms and conditions in this Agreement, Janssen grants to BTO and its Affiliates and Third Party contractors performing work under this Agreement, for the Term and in the Territory, a royalty-free non-exclusive license, with no right to sublicense except as explicitly provided in this Agreement, under Janssen Intellectual Property Rights to</w:t>
      </w:r>
    </w:p>
    <w:p>
      <w:pPr>
        <w:spacing w:after="0" w:line="66" w:lineRule="exact"/>
        <w:rPr>
          <w:sz w:val="20"/>
          <w:szCs w:val="20"/>
          <w:color w:val="auto"/>
        </w:rPr>
      </w:pPr>
    </w:p>
    <w:p>
      <w:pPr>
        <w:ind w:left="3540" w:right="359" w:hanging="495"/>
        <w:spacing w:after="0" w:line="266" w:lineRule="auto"/>
        <w:tabs>
          <w:tab w:leader="none" w:pos="3540"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all Development and Commercialization activities assigned to BTO under the Development Plan and Commercialization Plan using the Janssen Background Technology, Janssen Data, and Janssen Development Technology;</w:t>
      </w:r>
    </w:p>
    <w:p>
      <w:pPr>
        <w:spacing w:after="0" w:line="62" w:lineRule="exact"/>
        <w:rPr>
          <w:rFonts w:ascii="Times New Roman" w:cs="Times New Roman" w:eastAsia="Times New Roman" w:hAnsi="Times New Roman"/>
          <w:sz w:val="14"/>
          <w:szCs w:val="14"/>
          <w:color w:val="auto"/>
        </w:rPr>
      </w:pPr>
    </w:p>
    <w:p>
      <w:pPr>
        <w:ind w:left="3540" w:right="639" w:hanging="495"/>
        <w:spacing w:after="0" w:line="322" w:lineRule="auto"/>
        <w:tabs>
          <w:tab w:leader="none" w:pos="3540" w:val="left"/>
        </w:tabs>
        <w:numPr>
          <w:ilvl w:val="0"/>
          <w:numId w:val="5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Janssen Background Technology, Janssen Data, and Janssen Development Technology in the Labeling for the BTO CDx sold or distributed for the Intended Use;</w:t>
      </w:r>
    </w:p>
    <w:p>
      <w:pPr>
        <w:spacing w:after="0" w:line="29" w:lineRule="exact"/>
        <w:rPr>
          <w:rFonts w:ascii="Times New Roman" w:cs="Times New Roman" w:eastAsia="Times New Roman" w:hAnsi="Times New Roman"/>
          <w:sz w:val="13"/>
          <w:szCs w:val="13"/>
          <w:color w:val="auto"/>
        </w:rPr>
      </w:pPr>
    </w:p>
    <w:p>
      <w:pPr>
        <w:ind w:left="3540" w:right="299" w:hanging="495"/>
        <w:spacing w:after="0" w:line="266" w:lineRule="auto"/>
        <w:tabs>
          <w:tab w:leader="none" w:pos="3540"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Janssen Background Technology, Janssen Data and Janssen Development Technology in the BTO CDx for the purpose of making, using and selling the BTO CDx for the Intended Use, and</w:t>
      </w:r>
    </w:p>
    <w:p>
      <w:pPr>
        <w:spacing w:after="0" w:line="62" w:lineRule="exact"/>
        <w:rPr>
          <w:rFonts w:ascii="Times New Roman" w:cs="Times New Roman" w:eastAsia="Times New Roman" w:hAnsi="Times New Roman"/>
          <w:sz w:val="14"/>
          <w:szCs w:val="14"/>
          <w:color w:val="auto"/>
        </w:rPr>
      </w:pPr>
    </w:p>
    <w:p>
      <w:pPr>
        <w:ind w:left="3540" w:right="539" w:hanging="495"/>
        <w:spacing w:after="0" w:line="266" w:lineRule="auto"/>
        <w:tabs>
          <w:tab w:leader="none" w:pos="3540"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sublicense its rights under Sections 9.3(i), (ii) and (iii) to Third Parties for the limited purpose to distribute or manufacture the BTO BTO CDx for the Intended Use on BTO’s behalf.</w:t>
      </w:r>
    </w:p>
    <w:p>
      <w:pPr>
        <w:spacing w:after="0" w:line="63"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9.3.1</w:t>
      </w:r>
      <w:r>
        <w:rPr>
          <w:sz w:val="20"/>
          <w:szCs w:val="20"/>
          <w:color w:val="auto"/>
        </w:rPr>
        <w:tab/>
      </w:r>
      <w:r>
        <w:rPr>
          <w:rFonts w:ascii="Times New Roman" w:cs="Times New Roman" w:eastAsia="Times New Roman" w:hAnsi="Times New Roman"/>
          <w:sz w:val="13"/>
          <w:szCs w:val="13"/>
          <w:u w:val="single" w:color="auto"/>
          <w:color w:val="auto"/>
        </w:rPr>
        <w:t>Technology Licenses to Janssen</w:t>
      </w:r>
      <w:r>
        <w:rPr>
          <w:rFonts w:ascii="Times New Roman" w:cs="Times New Roman" w:eastAsia="Times New Roman" w:hAnsi="Times New Roman"/>
          <w:sz w:val="13"/>
          <w:szCs w:val="13"/>
          <w:color w:val="auto"/>
        </w:rPr>
        <w:t>. Subject to the obligations of Section 9 and the other terms and conditions of this</w:t>
      </w:r>
    </w:p>
    <w:p>
      <w:pPr>
        <w:spacing w:after="0" w:line="2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Agreement, BTO grants to Janssen for the Term and in the Territory: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820" w:name="page821"/>
    <w:bookmarkEnd w:id="820"/>
    <w:p>
      <w:pPr>
        <w:ind w:left="3040" w:right="259" w:hanging="593"/>
        <w:spacing w:after="0" w:line="282" w:lineRule="auto"/>
        <w:tabs>
          <w:tab w:leader="none" w:pos="3040"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royalty-free, non-exclusive license, without the right to sublicense except as specifically provided in this Agreement, under BTO Intellectual Property Rights to</w:t>
      </w:r>
    </w:p>
    <w:p>
      <w:pPr>
        <w:spacing w:after="0" w:line="51" w:lineRule="exact"/>
        <w:rPr>
          <w:rFonts w:ascii="Times New Roman" w:cs="Times New Roman" w:eastAsia="Times New Roman" w:hAnsi="Times New Roman"/>
          <w:sz w:val="14"/>
          <w:szCs w:val="14"/>
          <w:color w:val="auto"/>
        </w:rPr>
      </w:pPr>
    </w:p>
    <w:p>
      <w:pPr>
        <w:ind w:left="3540" w:right="319" w:hanging="495"/>
        <w:spacing w:after="0" w:line="282" w:lineRule="auto"/>
        <w:tabs>
          <w:tab w:leader="none" w:pos="3540" w:val="left"/>
        </w:tabs>
        <w:numPr>
          <w:ilvl w:val="1"/>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BTO Background Technology, BTO Data and BTO Development Technology in the Labeling for the Janssen Drug sold or distributed for the Clinical Treatment;</w:t>
      </w:r>
    </w:p>
    <w:p>
      <w:pPr>
        <w:spacing w:after="0" w:line="51" w:lineRule="exact"/>
        <w:rPr>
          <w:rFonts w:ascii="Times New Roman" w:cs="Times New Roman" w:eastAsia="Times New Roman" w:hAnsi="Times New Roman"/>
          <w:sz w:val="14"/>
          <w:szCs w:val="14"/>
          <w:color w:val="auto"/>
        </w:rPr>
      </w:pPr>
    </w:p>
    <w:p>
      <w:pPr>
        <w:ind w:left="3540" w:right="399" w:hanging="495"/>
        <w:spacing w:after="0" w:line="266" w:lineRule="auto"/>
        <w:tabs>
          <w:tab w:leader="none" w:pos="3540" w:val="left"/>
        </w:tabs>
        <w:numPr>
          <w:ilvl w:val="1"/>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all Development and Commercialization activities assigned to Janssen under the Development Plan and Commercialization Plan using BTO Background Technology, BTO Data and BTO Development Technology; and</w:t>
      </w:r>
    </w:p>
    <w:p>
      <w:pPr>
        <w:spacing w:after="0" w:line="62" w:lineRule="exact"/>
        <w:rPr>
          <w:rFonts w:ascii="Times New Roman" w:cs="Times New Roman" w:eastAsia="Times New Roman" w:hAnsi="Times New Roman"/>
          <w:sz w:val="14"/>
          <w:szCs w:val="14"/>
          <w:color w:val="auto"/>
        </w:rPr>
      </w:pPr>
    </w:p>
    <w:p>
      <w:pPr>
        <w:ind w:left="3540" w:right="659" w:hanging="495"/>
        <w:spacing w:after="0" w:line="282" w:lineRule="auto"/>
        <w:tabs>
          <w:tab w:leader="none" w:pos="3540" w:val="left"/>
        </w:tabs>
        <w:numPr>
          <w:ilvl w:val="1"/>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sublicense its rights under Sections 9.3.1(a)(i) and (ii), to Third Parties to distribute or manufacture the Janssen Drug on its behalf.</w:t>
      </w:r>
    </w:p>
    <w:p>
      <w:pPr>
        <w:spacing w:after="0" w:line="52"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3"/>
          <w:szCs w:val="13"/>
          <w:u w:val="single" w:color="auto"/>
          <w:color w:val="auto"/>
        </w:rPr>
        <w:t>Acknowledgments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79" w:hanging="503"/>
        <w:spacing w:after="0" w:line="252" w:lineRule="auto"/>
        <w:tabs>
          <w:tab w:leader="none" w:pos="2420" w:val="left"/>
        </w:tabs>
        <w:rPr>
          <w:sz w:val="20"/>
          <w:szCs w:val="20"/>
          <w:color w:val="auto"/>
        </w:rPr>
      </w:pPr>
      <w:r>
        <w:rPr>
          <w:rFonts w:ascii="Times New Roman" w:cs="Times New Roman" w:eastAsia="Times New Roman" w:hAnsi="Times New Roman"/>
          <w:sz w:val="14"/>
          <w:szCs w:val="14"/>
          <w:color w:val="auto"/>
        </w:rPr>
        <w:t>9.4.1</w:t>
      </w:r>
      <w:r>
        <w:rPr>
          <w:sz w:val="20"/>
          <w:szCs w:val="20"/>
          <w:color w:val="auto"/>
        </w:rPr>
        <w:tab/>
      </w:r>
      <w:r>
        <w:rPr>
          <w:rFonts w:ascii="Times New Roman" w:cs="Times New Roman" w:eastAsia="Times New Roman" w:hAnsi="Times New Roman"/>
          <w:sz w:val="14"/>
          <w:szCs w:val="14"/>
          <w:color w:val="auto"/>
        </w:rPr>
        <w:t>Subject to Section 14.4, BTO agrees and acknowledges that Janssen may, alone or in collaboration with a Third Party, develop and/or Commercialize a diagnostic test to assess patients for any indication including the Indication without any obligations or payment of any consideration to BTO; provided that, Janssen shall have no right or license to access, reference or utilize BTO Confidential Information, BTO Data, BTO Background Technology, BTO Development Technology, or BTO’s Intellectual Property Rights to any of the foregoing, in connection with such development and/or Commercialization unless rights or licenses are granted pursuant to Article 13. Nothing herein shall be construed to prevent Janssen from using, either by itself or in collaboration with a Third Party, any information or technology which is publicly available (other than through breach of this Agreement by Janssen) and is not otherwise BTO Confidential Information and is not subject to an issued valid claim of a BTO patent that has not expired or been declared invalid by a court or other legal body of competent jurisdiction. Nothing in this Section 9.4.1 is intended to waive any rights held by BTO to seek damages under Applicable Law with respect to its provisional rights in any subsequently allowed patent claims, unless rights and licenses to the same are granted pursuant to Articles 9 and 13.</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1" w:right="1440" w:bottom="1440" w:gutter="0" w:footer="0" w:header="0"/>
        </w:sectPr>
      </w:pPr>
    </w:p>
    <w:bookmarkStart w:id="821" w:name="page822"/>
    <w:bookmarkEnd w:id="821"/>
    <w:p>
      <w:pPr>
        <w:ind w:left="2440" w:right="23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9.4.2</w:t>
      </w:r>
      <w:r>
        <w:rPr>
          <w:sz w:val="20"/>
          <w:szCs w:val="20"/>
          <w:color w:val="auto"/>
        </w:rPr>
        <w:tab/>
      </w:r>
      <w:r>
        <w:rPr>
          <w:rFonts w:ascii="Times New Roman" w:cs="Times New Roman" w:eastAsia="Times New Roman" w:hAnsi="Times New Roman"/>
          <w:sz w:val="14"/>
          <w:szCs w:val="14"/>
          <w:color w:val="auto"/>
        </w:rPr>
        <w:t>Janssen agrees and acknowledges that BTO may, at its sole discretion, develop and/or Commercialize a test as a companion diagnostic for any drug, or for any indication, including the Indication, for one or more Third Parties; provided that, BTO shall have no right or license to use any Janssen Confidential Information, Janssen Data, Janssen Background Technology, Janssen Development Technology, or Janssen’s Intellectual Property Rights to any of the foregoing in connection with any such development and/or Commercialization activity. Nothing herein shall be construed to prevent BTO from using, either by itself or in collaboration with a Third Party, any information or technology which is publicly available (other than through breach of this Agreement by BTO) and is not otherwise Janssen Confidential Information and is not subject to an issued valid claim of a Janssen patent that has not expired or been declared invalid by a court or other legal body of competent jurisdiction., unless rights or licenses are granted pursuant to Article 13.</w:t>
      </w:r>
    </w:p>
    <w:p>
      <w:pPr>
        <w:spacing w:after="0" w:line="76" w:lineRule="exact"/>
        <w:rPr>
          <w:sz w:val="20"/>
          <w:szCs w:val="20"/>
          <w:color w:val="auto"/>
        </w:rPr>
      </w:pPr>
    </w:p>
    <w:p>
      <w:pPr>
        <w:ind w:left="1940" w:right="29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u w:val="single" w:color="auto"/>
          <w:color w:val="auto"/>
        </w:rPr>
        <w:t>Further Actions</w:t>
      </w:r>
      <w:r>
        <w:rPr>
          <w:rFonts w:ascii="Times New Roman" w:cs="Times New Roman" w:eastAsia="Times New Roman" w:hAnsi="Times New Roman"/>
          <w:sz w:val="14"/>
          <w:szCs w:val="14"/>
          <w:color w:val="auto"/>
        </w:rPr>
        <w:t>. Each Party shall execute and deliver to the other Party all documents and give all declarations regarding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licenses granted in this Article 9, or otherwise granted under this Agreement, and reasonably cooperate with the other Party, to the extent such documents, declarations and/or cooperation are reasonably required to exercise the licenses and for the recording or registration of the licenses granted hereunder at the various intellectual property offices in the Territory for the benefit of such other Party.</w:t>
      </w:r>
    </w:p>
    <w:p>
      <w:pPr>
        <w:spacing w:after="0" w:line="69" w:lineRule="exact"/>
        <w:rPr>
          <w:sz w:val="20"/>
          <w:szCs w:val="20"/>
          <w:color w:val="auto"/>
        </w:rPr>
      </w:pPr>
    </w:p>
    <w:p>
      <w:pPr>
        <w:ind w:left="1940" w:right="4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9.6</w:t>
      </w:r>
      <w:r>
        <w:rPr>
          <w:sz w:val="20"/>
          <w:szCs w:val="20"/>
          <w:color w:val="auto"/>
        </w:rPr>
        <w:tab/>
      </w:r>
      <w:r>
        <w:rPr>
          <w:rFonts w:ascii="Times New Roman" w:cs="Times New Roman" w:eastAsia="Times New Roman" w:hAnsi="Times New Roman"/>
          <w:sz w:val="14"/>
          <w:szCs w:val="14"/>
          <w:u w:val="single" w:color="auto"/>
          <w:color w:val="auto"/>
        </w:rPr>
        <w:t>No Other Licenses</w:t>
      </w:r>
      <w:r>
        <w:rPr>
          <w:rFonts w:ascii="Times New Roman" w:cs="Times New Roman" w:eastAsia="Times New Roman" w:hAnsi="Times New Roman"/>
          <w:sz w:val="14"/>
          <w:szCs w:val="14"/>
          <w:color w:val="auto"/>
        </w:rPr>
        <w:t>. Each Party disclaims all implied rights to the grant by any Party to the other Party of any license,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right, title or interest in any Party’s tangible property, or Intellectual Property Rights except as are expressly set forth in this Agreement. For purposes of clarity, unless otherwise stated in this Agreement, non-exclusive licenses to a Party’s property expressly exclude the right to sublicense such Party’s property.</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9.7</w:t>
      </w:r>
      <w:r>
        <w:rPr>
          <w:sz w:val="20"/>
          <w:szCs w:val="20"/>
          <w:color w:val="auto"/>
        </w:rPr>
        <w:tab/>
      </w:r>
      <w:r>
        <w:rPr>
          <w:rFonts w:ascii="Times New Roman" w:cs="Times New Roman" w:eastAsia="Times New Roman" w:hAnsi="Times New Roman"/>
          <w:sz w:val="13"/>
          <w:szCs w:val="13"/>
          <w:u w:val="single" w:color="auto"/>
          <w:color w:val="auto"/>
        </w:rPr>
        <w:t>Trademarks: Ownership, Approval, and Limited Use</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3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9.7.1</w:t>
      </w:r>
      <w:r>
        <w:rPr>
          <w:sz w:val="20"/>
          <w:szCs w:val="20"/>
          <w:color w:val="auto"/>
        </w:rPr>
        <w:tab/>
      </w:r>
      <w:r>
        <w:rPr>
          <w:rFonts w:ascii="Times New Roman" w:cs="Times New Roman" w:eastAsia="Times New Roman" w:hAnsi="Times New Roman"/>
          <w:sz w:val="14"/>
          <w:szCs w:val="14"/>
          <w:color w:val="auto"/>
        </w:rPr>
        <w:t>BTO shall own all right, title and interest in and to any Trademarks developed by or for BTO for use in connection with the Assays. BTO, however, shall not use or file any Trademarks that are identical to, confusingly similar, or likely to be associated with the Trademarks developed by Janssen for use in connection with the Janssen Drug.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sectPr>
      </w:pPr>
    </w:p>
    <w:bookmarkStart w:id="822" w:name="page823"/>
    <w:bookmarkEnd w:id="822"/>
    <w:p>
      <w:pPr>
        <w:ind w:left="2440" w:right="25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9.7.2</w:t>
      </w:r>
      <w:r>
        <w:rPr>
          <w:sz w:val="20"/>
          <w:szCs w:val="20"/>
          <w:color w:val="auto"/>
        </w:rPr>
        <w:tab/>
      </w:r>
      <w:r>
        <w:rPr>
          <w:rFonts w:ascii="Times New Roman" w:cs="Times New Roman" w:eastAsia="Times New Roman" w:hAnsi="Times New Roman"/>
          <w:sz w:val="14"/>
          <w:szCs w:val="14"/>
          <w:color w:val="auto"/>
        </w:rPr>
        <w:t>Janssen shall own all right, title and interest in and to all Trademarks developed by or for Janssen for use in connection with the Janssen Drug. Janssen, however, shall not use or file any Trademarks that are identical to, confusingly similar, or likely to be associated with the Trademarks developed by BTO for use in connection with the Assay.</w:t>
      </w:r>
    </w:p>
    <w:p>
      <w:pPr>
        <w:spacing w:after="0" w:line="66"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9.7.3</w:t>
      </w:r>
      <w:r>
        <w:rPr>
          <w:sz w:val="20"/>
          <w:szCs w:val="20"/>
          <w:color w:val="auto"/>
        </w:rPr>
        <w:tab/>
      </w:r>
      <w:r>
        <w:rPr>
          <w:rFonts w:ascii="Times New Roman" w:cs="Times New Roman" w:eastAsia="Times New Roman" w:hAnsi="Times New Roman"/>
          <w:sz w:val="13"/>
          <w:szCs w:val="13"/>
          <w:u w:val="single" w:color="auto"/>
          <w:color w:val="auto"/>
        </w:rPr>
        <w:t>Approval of Trademark Use</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3040" w:right="299" w:hanging="593"/>
        <w:spacing w:after="0" w:line="254" w:lineRule="auto"/>
        <w:tabs>
          <w:tab w:leader="none" w:pos="304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agrees to provide artwork for any packaging, Labeling, and promotional materials that display the other Party’s Trademarks for approval prior to any use or distribution of such materials. Each Party shall respond in writing with its approval or requested changes, such approval not to be unreasonably withheld, within three (3) weeks after receipt of such artwork from the other Party. In the event that the Parties cannot agree upon the use of the other Party’s Trademark in such artwork, Labeling, and promotional materials, the Parties shall first bring the matter to the Joint Steering Committee for resolution and if the Steering Committee cannot resolve the matter, the matter shall be submitted to the dispute resolution procedures of Section 14.17.</w:t>
      </w:r>
    </w:p>
    <w:p>
      <w:pPr>
        <w:spacing w:after="0" w:line="74" w:lineRule="exact"/>
        <w:rPr>
          <w:rFonts w:ascii="Times New Roman" w:cs="Times New Roman" w:eastAsia="Times New Roman" w:hAnsi="Times New Roman"/>
          <w:sz w:val="14"/>
          <w:szCs w:val="14"/>
          <w:color w:val="auto"/>
        </w:rPr>
      </w:pPr>
    </w:p>
    <w:p>
      <w:pPr>
        <w:ind w:left="3040" w:right="239" w:hanging="593"/>
        <w:spacing w:after="0" w:line="254" w:lineRule="auto"/>
        <w:tabs>
          <w:tab w:leader="none" w:pos="304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a proposed use of the Trademarks has been approved by the Party that is the licensor, and provided that the Party that is the licensee does not make any changes to the presentation of the Trademarks in such approved product packaging, Labeling or promotional materials, the Party using the Trademarks under license may utilize the same approved presentation in other product packaging, labeling or promotional materials for substantially similar purposes in performance of this Agreement, unless the other Party gives written notice that such approval is no longer valid. Approval of use of a Trademark does not pre-empt the requirements of this Agreement for Labeling to be reviewed by a Regulatory Authority or Article 5 for review and approval of Labeling in general.</w:t>
      </w:r>
    </w:p>
    <w:p>
      <w:pPr>
        <w:spacing w:after="0" w:line="75" w:lineRule="exact"/>
        <w:rPr>
          <w:sz w:val="20"/>
          <w:szCs w:val="20"/>
          <w:color w:val="auto"/>
        </w:rPr>
      </w:pPr>
    </w:p>
    <w:p>
      <w:pPr>
        <w:ind w:left="2440" w:right="339" w:hanging="503"/>
        <w:spacing w:after="0" w:line="287" w:lineRule="auto"/>
        <w:tabs>
          <w:tab w:leader="none" w:pos="2420" w:val="left"/>
        </w:tabs>
        <w:rPr>
          <w:sz w:val="20"/>
          <w:szCs w:val="20"/>
          <w:color w:val="auto"/>
        </w:rPr>
      </w:pPr>
      <w:r>
        <w:rPr>
          <w:rFonts w:ascii="Times New Roman" w:cs="Times New Roman" w:eastAsia="Times New Roman" w:hAnsi="Times New Roman"/>
          <w:sz w:val="14"/>
          <w:szCs w:val="14"/>
          <w:color w:val="auto"/>
        </w:rPr>
        <w:t>9.7.4</w:t>
      </w:r>
      <w:r>
        <w:rPr>
          <w:sz w:val="20"/>
          <w:szCs w:val="20"/>
          <w:color w:val="auto"/>
        </w:rPr>
        <w:tab/>
      </w:r>
      <w:r>
        <w:rPr>
          <w:rFonts w:ascii="Times New Roman" w:cs="Times New Roman" w:eastAsia="Times New Roman" w:hAnsi="Times New Roman"/>
          <w:sz w:val="13"/>
          <w:szCs w:val="13"/>
          <w:u w:val="single" w:color="auto"/>
          <w:color w:val="auto"/>
        </w:rPr>
        <w:t>Reputation of Trademarks</w:t>
      </w:r>
      <w:r>
        <w:rPr>
          <w:rFonts w:ascii="Times New Roman" w:cs="Times New Roman" w:eastAsia="Times New Roman" w:hAnsi="Times New Roman"/>
          <w:sz w:val="13"/>
          <w:szCs w:val="13"/>
          <w:color w:val="auto"/>
        </w:rPr>
        <w:t>. Each Party will refrain from any use of the other’s Trademarks in a manner that</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threatens to damage the goodwill associated with the respective Trademarks or which threatens to tarnish the reputation or otherwise reflect unfavorably upon the owner of the Trademarks. Any goodwill that is attributable to the non-owning Party’s use of the owning Party’s Trademark shall inure solely to the owning Party.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2" w:right="1440" w:bottom="1440" w:gutter="0" w:footer="0" w:header="0"/>
        </w:sectPr>
      </w:pPr>
    </w:p>
    <w:bookmarkStart w:id="823" w:name="page824"/>
    <w:bookmarkEnd w:id="823"/>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9.7.5</w:t>
      </w:r>
      <w:r>
        <w:rPr>
          <w:sz w:val="20"/>
          <w:szCs w:val="20"/>
          <w:color w:val="auto"/>
        </w:rPr>
        <w:tab/>
      </w:r>
      <w:r>
        <w:rPr>
          <w:rFonts w:ascii="Times New Roman" w:cs="Times New Roman" w:eastAsia="Times New Roman" w:hAnsi="Times New Roman"/>
          <w:sz w:val="13"/>
          <w:szCs w:val="13"/>
          <w:u w:val="single" w:color="auto"/>
          <w:color w:val="auto"/>
        </w:rPr>
        <w:t>Limited Use Trademarks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jc w:val="both"/>
        <w:ind w:left="3040" w:right="339" w:hanging="593"/>
        <w:spacing w:after="0" w:line="296" w:lineRule="auto"/>
        <w:tabs>
          <w:tab w:leader="none" w:pos="3040" w:val="left"/>
        </w:tabs>
        <w:numPr>
          <w:ilvl w:val="0"/>
          <w:numId w:val="5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Janssen grants to BTO for the Term and in the Territory a royalty-free, non-exclusive limited right to use and authorize, Third Parties to use on BTO’s behalf, Janssen‘s Trademarks related to the Janssen Drug solely in connection with the advertising and marketing of the BTO CDx for the Intended Use.</w:t>
      </w:r>
    </w:p>
    <w:p>
      <w:pPr>
        <w:spacing w:after="0" w:line="45" w:lineRule="exact"/>
        <w:rPr>
          <w:rFonts w:ascii="Times New Roman" w:cs="Times New Roman" w:eastAsia="Times New Roman" w:hAnsi="Times New Roman"/>
          <w:sz w:val="13"/>
          <w:szCs w:val="13"/>
          <w:color w:val="auto"/>
        </w:rPr>
      </w:pPr>
    </w:p>
    <w:p>
      <w:pPr>
        <w:ind w:left="3040" w:right="239" w:hanging="593"/>
        <w:spacing w:after="0" w:line="261" w:lineRule="auto"/>
        <w:tabs>
          <w:tab w:leader="none" w:pos="3040"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grants to Janssen for the Term and in the Territory a royalty-free, non-exclusive limited right to use and authorize Third Parties to use on Janssen’s behalf, BTO’s Trademarks related to the BTO CDx solely in connection with the advertising and marketing of the BTO CDx for its Intended Use with the Janssen Drug.</w:t>
      </w:r>
    </w:p>
    <w:p>
      <w:pPr>
        <w:spacing w:after="0" w:line="66"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9.8</w:t>
      </w:r>
      <w:r>
        <w:rPr>
          <w:sz w:val="20"/>
          <w:szCs w:val="20"/>
          <w:color w:val="auto"/>
        </w:rPr>
        <w:tab/>
      </w:r>
      <w:r>
        <w:rPr>
          <w:rFonts w:ascii="Times New Roman" w:cs="Times New Roman" w:eastAsia="Times New Roman" w:hAnsi="Times New Roman"/>
          <w:sz w:val="13"/>
          <w:szCs w:val="13"/>
          <w:u w:val="single" w:color="auto"/>
          <w:color w:val="auto"/>
        </w:rPr>
        <w:t>Disclosure of Technology and Patentable Inventions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7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9.8.1</w:t>
      </w:r>
      <w:r>
        <w:rPr>
          <w:sz w:val="20"/>
          <w:szCs w:val="20"/>
          <w:color w:val="auto"/>
        </w:rPr>
        <w:tab/>
      </w:r>
      <w:r>
        <w:rPr>
          <w:rFonts w:ascii="Times New Roman" w:cs="Times New Roman" w:eastAsia="Times New Roman" w:hAnsi="Times New Roman"/>
          <w:sz w:val="14"/>
          <w:szCs w:val="14"/>
          <w:color w:val="auto"/>
        </w:rPr>
        <w:t>In the event that any Development conducted by either Party, its Affiliates or Third Party contractors generate Development Technology each Party shall disclose such Development Technology to the other Party at the JSC meeting immediately following the generation of such Development Technology. In the event that such Development Technology is Janssen Development Technology or BTO Development Technology, the respective owner shall determine in its sole discretion, after consultation with the other Party, whether to prosecute, defend and maintain any Patent Rights claiming Patentable Inventions to such Party’s Development Technology. In the event such Development Technology is Joint Development Technology applications for Patent Rights, to such Joint Development Technology, if any, shall be filed as per Sections 9.8.2.</w:t>
      </w:r>
    </w:p>
    <w:p>
      <w:pPr>
        <w:spacing w:after="0" w:line="75" w:lineRule="exact"/>
        <w:rPr>
          <w:sz w:val="20"/>
          <w:szCs w:val="20"/>
          <w:color w:val="auto"/>
        </w:rPr>
      </w:pPr>
    </w:p>
    <w:p>
      <w:pPr>
        <w:ind w:left="2440" w:right="23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9.8.2</w:t>
      </w:r>
      <w:r>
        <w:rPr>
          <w:sz w:val="20"/>
          <w:szCs w:val="20"/>
          <w:color w:val="auto"/>
        </w:rPr>
        <w:tab/>
      </w:r>
      <w:r>
        <w:rPr>
          <w:rFonts w:ascii="Times New Roman" w:cs="Times New Roman" w:eastAsia="Times New Roman" w:hAnsi="Times New Roman"/>
          <w:sz w:val="14"/>
          <w:szCs w:val="14"/>
          <w:color w:val="auto"/>
        </w:rPr>
        <w:t>The Parties through the JSC, shall promptly discuss and decide whether to seek Patent Rights to Joint Development Technology, Janssen shall at its cost have the first right but not the obligation to file applications for, prosecute, maintain, and obtain extensions for any Patent Rights claiming Joint Development Technology on behalf of itself and BTO. If Janssen decides not to exercise its right to file for such Patent Rights, Janssen shall promptly inform BTO in writing and BTO shall have the second right, but not the obligation to file applications for, prosecute, maintain, and obtain extensions for any Patent Rights claiming such Joint Development Technology at its own expense on behalf of itself and Janssen. The Party who elects to file for Patent Rights shall be known as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1" w:right="1440" w:bottom="1440" w:gutter="0" w:footer="0" w:header="0"/>
        </w:sectPr>
      </w:pPr>
    </w:p>
    <w:bookmarkStart w:id="824" w:name="page825"/>
    <w:bookmarkEnd w:id="824"/>
    <w:p>
      <w:pPr>
        <w:ind w:left="24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“Filing Party” and the other Party shall be known as the “Non-Filing Party.” The Filing Party shall</w:t>
      </w:r>
    </w:p>
    <w:p>
      <w:pPr>
        <w:spacing w:after="0" w:line="22" w:lineRule="exact"/>
        <w:rPr>
          <w:sz w:val="20"/>
          <w:szCs w:val="20"/>
          <w:color w:val="auto"/>
        </w:rPr>
      </w:pPr>
    </w:p>
    <w:p>
      <w:pPr>
        <w:ind w:left="2440" w:right="419" w:firstLine="7"/>
        <w:spacing w:after="0" w:line="269" w:lineRule="auto"/>
        <w:tabs>
          <w:tab w:leader="none" w:pos="2607" w:val="left"/>
        </w:tabs>
        <w:numPr>
          <w:ilvl w:val="0"/>
          <w:numId w:val="5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the Non-Filing Party with a copy of any patent application claiming such Joint Development Technology and a proposed filing date, at least [***] before the proposed filing date in its priority country and</w:t>
      </w:r>
    </w:p>
    <w:p>
      <w:pPr>
        <w:ind w:left="2440" w:right="239" w:firstLine="7"/>
        <w:spacing w:after="0" w:line="251" w:lineRule="auto"/>
        <w:tabs>
          <w:tab w:leader="none" w:pos="2646"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 in good faith comments from the Non-Filing Party provided such comments are provided to the Filing Party at least [***] prior to the proposed filing date. Thereafter, the Filing Party shall control the prosecution and maintenance of or acquisition of term extensions to such Patent Rights. If at any time the Filing Party no longer wishes the control of the prosecution and maintenance of or acquisition of term extensions to such Patent Rights, in a particular country, the Filing Party shall inform the Non-Filing Party at least [***] prior to the deadline to respond to any outstanding action with the relevant patent office. In the event that the Non-Filing Party wishes to assume control of the prosecution and maintenance of or acquisition of term extensions to such Patent Rights at its own expense, the Non-Filing Party shall, promptly upon receipt of notice from the Filing Party, inform the Filing Party and the Filing Party shall take all steps necessary to transfer control of the prosecution and maintenance of or acquisition of term extensions to such Patent Rights to the Non-Filing Party.</w:t>
      </w:r>
    </w:p>
    <w:p>
      <w:pPr>
        <w:spacing w:after="0" w:line="243" w:lineRule="exact"/>
        <w:rPr>
          <w:sz w:val="20"/>
          <w:szCs w:val="20"/>
          <w:color w:val="auto"/>
        </w:rPr>
      </w:pPr>
    </w:p>
    <w:p>
      <w:pPr>
        <w:ind w:left="2440" w:right="27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9.8.3</w:t>
      </w:r>
      <w:r>
        <w:rPr>
          <w:sz w:val="20"/>
          <w:szCs w:val="20"/>
          <w:color w:val="auto"/>
        </w:rPr>
        <w:tab/>
      </w:r>
      <w:r>
        <w:rPr>
          <w:rFonts w:ascii="Times New Roman" w:cs="Times New Roman" w:eastAsia="Times New Roman" w:hAnsi="Times New Roman"/>
          <w:sz w:val="14"/>
          <w:szCs w:val="14"/>
          <w:color w:val="auto"/>
        </w:rPr>
        <w:t>If either Janssen or BTO becomes aware of any infringement, anywhere in the world, of any issued patent within the Patent Rights to Joint Development Technology (“Joint Patent Rights”), it will promptly notify the other Party in writing to that effect.</w:t>
      </w:r>
    </w:p>
    <w:p>
      <w:pPr>
        <w:spacing w:after="0" w:line="63" w:lineRule="exact"/>
        <w:rPr>
          <w:sz w:val="20"/>
          <w:szCs w:val="20"/>
          <w:color w:val="auto"/>
        </w:rPr>
      </w:pPr>
    </w:p>
    <w:p>
      <w:pPr>
        <w:ind w:left="2440" w:right="23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9.8.4</w:t>
      </w:r>
      <w:r>
        <w:rPr>
          <w:sz w:val="20"/>
          <w:szCs w:val="20"/>
          <w:color w:val="auto"/>
        </w:rPr>
        <w:tab/>
      </w:r>
      <w:r>
        <w:rPr>
          <w:rFonts w:ascii="Times New Roman" w:cs="Times New Roman" w:eastAsia="Times New Roman" w:hAnsi="Times New Roman"/>
          <w:sz w:val="14"/>
          <w:szCs w:val="14"/>
          <w:color w:val="auto"/>
        </w:rPr>
        <w:t>Janssen shall have the first right, but not the obligation, to take action to obtain a discontinuance of infringement or bring suit against a Third Party infringer of any such Joint Patent Rights within [***] calendar days from the date of notice and to join BTO as a party plaintiff. In the event that BTO does not want to join as a party plaintiff, then BTO shall assign to Janssen such Joint Patent Rights sufficient for purposes of commencing and maintaining the suit. Janssen shall bear all the expenses of any suit brought by it claiming infringement of any Joint Patent Right. BTO will reasonably cooperate with Janssen, at Janssen’s expense, in any such suit. If, after the expiration of such [***]-day period (or, if earlier, the date upon which Janssen provides written notice that it does not plan to bring suit), Janssen has not obtained a discontinuance of infringement of the Joint Patent Right or filed suit against any such Third Party infringer of the Joint Patent Right, then BTO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1" w:right="1440" w:bottom="1440" w:gutter="0" w:footer="0" w:header="0"/>
        </w:sectPr>
      </w:pPr>
    </w:p>
    <w:bookmarkStart w:id="825" w:name="page826"/>
    <w:bookmarkEnd w:id="825"/>
    <w:p>
      <w:pPr>
        <w:ind w:left="2440" w:right="2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shall have the right, but not the obligation, to bring suit against such Third Party infringer of the Joint Patent Right, provided that BTO shall bear all the expenses of such suit. Janssen will reasonably cooperate with BTO, at BTO’s expense, in any such suit for infringement of a Joint Patent Right brought by BTO against a Third Party. In the event that Janssen does not want to join such suit as a party plaintiff, Janssen shall assign to BTO such Joint Patent Rights, sufficient for purposes of commencing and maintaining the action. In the event that both Janssen and BTO are joint plaintiffs any recoveries obtained by Janssen or BTO, as applicable, as a result of any proceeding against such a Third Party infringer shall be allocated as follows: In the event both Janssen and BTO are joint plaintiffs in any enforcement procedure and share the costs/expenses of such action: (a) such recovery shall first be used to reimburse each Party for all reasonable attorney fees and other litigation costs actually incurred in connection with such litigation by that Party, and (b) any remainder shall be equally shared by the Parties. In the event one Party elects not to be a Party plaintiff and fails to share in costs/expenses of any enforcement procedure, all recovery shall be allocated to the other Party bringing the enforcement action on its own behalf.</w:t>
      </w:r>
    </w:p>
    <w:p>
      <w:pPr>
        <w:spacing w:after="0" w:line="80"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9.9</w:t>
      </w:r>
      <w:r>
        <w:rPr>
          <w:sz w:val="20"/>
          <w:szCs w:val="20"/>
          <w:color w:val="auto"/>
        </w:rPr>
        <w:tab/>
      </w:r>
      <w:r>
        <w:rPr>
          <w:rFonts w:ascii="Times New Roman" w:cs="Times New Roman" w:eastAsia="Times New Roman" w:hAnsi="Times New Roman"/>
          <w:sz w:val="13"/>
          <w:szCs w:val="13"/>
          <w:u w:val="single" w:color="auto"/>
          <w:color w:val="auto"/>
        </w:rPr>
        <w:t>Third Party Licenses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3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color w:val="auto"/>
        </w:rPr>
        <w:t>The Parties acknowledge that additional licenses or rights from Third Parties may be required in order to perform the Development and/or Commercialization of the BTO CDx in the Territory. The Parties shall use reasonable efforts to identify such requirements for their respective products prior to the filing for Regulatory Approval in the proposed Territory of sale. It shall be at each Party’s sole discretion whether or not to enter into agreement with a Third Party regarding such licenses or rights for such Party to conduct the Development for which it is responsible and/or to use and/or Commercialize its respective product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the BTO CDx being BTO’s product and the Janssen Drug being Janssen’s product). A Party’s decision not to enter into such agreement shall in no event be deemed as a breach under this Agreement.</w:t>
      </w:r>
    </w:p>
    <w:p>
      <w:pPr>
        <w:spacing w:after="0" w:line="75" w:lineRule="exact"/>
        <w:rPr>
          <w:sz w:val="20"/>
          <w:szCs w:val="20"/>
          <w:color w:val="auto"/>
        </w:rPr>
      </w:pPr>
    </w:p>
    <w:p>
      <w:pPr>
        <w:ind w:left="2440" w:right="45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4"/>
          <w:szCs w:val="14"/>
          <w:color w:val="auto"/>
        </w:rPr>
        <w:t>If a Party decides to enter into such an agreement (as described in Section 9.9.1 above), the responsibility and cost associated with obtaining such licenses or rights shall be allocated as follows: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1" w:right="1440" w:bottom="1440" w:gutter="0" w:footer="0" w:header="0"/>
        </w:sectPr>
      </w:pPr>
    </w:p>
    <w:bookmarkStart w:id="826" w:name="page827"/>
    <w:bookmarkEnd w:id="826"/>
    <w:p>
      <w:pPr>
        <w:ind w:left="3040" w:right="239" w:hanging="593"/>
        <w:spacing w:after="0" w:line="258" w:lineRule="auto"/>
        <w:tabs>
          <w:tab w:leader="none" w:pos="3040"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Janssen shall negotiate and bear the cost of Third Party agreements for all Third Party patents relating to (i) the Janssen Drug, (ii) the use of the Biomarkers to indicate whether the Janssen Drug is an appropriate treatment for any potential patient, or (iii) either Party’s use of Janssen Background Technology or Janssen Development Technology for purposes of the activities under the Development Plan.</w:t>
      </w:r>
    </w:p>
    <w:p>
      <w:pPr>
        <w:spacing w:after="0" w:line="68" w:lineRule="exact"/>
        <w:rPr>
          <w:rFonts w:ascii="Times New Roman" w:cs="Times New Roman" w:eastAsia="Times New Roman" w:hAnsi="Times New Roman"/>
          <w:sz w:val="14"/>
          <w:szCs w:val="14"/>
          <w:color w:val="auto"/>
        </w:rPr>
      </w:pPr>
    </w:p>
    <w:p>
      <w:pPr>
        <w:ind w:left="3040" w:right="399" w:hanging="593"/>
        <w:spacing w:after="0" w:line="266" w:lineRule="auto"/>
        <w:tabs>
          <w:tab w:leader="none" w:pos="3040"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shall negotiate and bear the cost of Third Party licenses relating to the BTO Assay or either Party’s use of BTO Background Technology, or BTO Development Technology .for purposes of the activities under the Development Plan.</w:t>
      </w:r>
    </w:p>
    <w:p>
      <w:pPr>
        <w:spacing w:after="0" w:line="250" w:lineRule="exact"/>
        <w:rPr>
          <w:sz w:val="20"/>
          <w:szCs w:val="20"/>
          <w:color w:val="auto"/>
        </w:rPr>
      </w:pPr>
    </w:p>
    <w:p>
      <w:pPr>
        <w:ind w:left="820" w:hanging="597"/>
        <w:spacing w:after="0"/>
        <w:tabs>
          <w:tab w:leader="none" w:pos="820" w:val="left"/>
        </w:tabs>
        <w:numPr>
          <w:ilvl w:val="0"/>
          <w:numId w:val="5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WARRANTIES AND COVENANTS</w:t>
      </w:r>
    </w:p>
    <w:p>
      <w:pPr>
        <w:spacing w:after="0" w:line="103" w:lineRule="exact"/>
        <w:rPr>
          <w:rFonts w:ascii="Times New Roman" w:cs="Times New Roman" w:eastAsia="Times New Roman" w:hAnsi="Times New Roman"/>
          <w:sz w:val="14"/>
          <w:szCs w:val="14"/>
          <w:b w:val="1"/>
          <w:bCs w:val="1"/>
          <w:color w:val="auto"/>
        </w:rPr>
      </w:pPr>
    </w:p>
    <w:p>
      <w:pPr>
        <w:ind w:left="13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b w:val="1"/>
          <w:bCs w:val="1"/>
          <w:color w:val="auto"/>
        </w:rPr>
      </w:pPr>
    </w:p>
    <w:p>
      <w:pPr>
        <w:ind w:left="1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10.1.1  BTO hereby represents, warrants and covenants to Janssen as follows as of the Effective Date:</w:t>
      </w:r>
    </w:p>
    <w:p>
      <w:pPr>
        <w:spacing w:after="0" w:line="101" w:lineRule="exact"/>
        <w:rPr>
          <w:rFonts w:ascii="Times New Roman" w:cs="Times New Roman" w:eastAsia="Times New Roman" w:hAnsi="Times New Roman"/>
          <w:sz w:val="14"/>
          <w:szCs w:val="14"/>
          <w:b w:val="1"/>
          <w:bCs w:val="1"/>
          <w:color w:val="auto"/>
        </w:rPr>
      </w:pPr>
    </w:p>
    <w:p>
      <w:pPr>
        <w:ind w:left="3040" w:right="319" w:hanging="593"/>
        <w:spacing w:after="0" w:line="282"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corporation or other legal entity duly organized and validly existing under the laws of the State of Delaware;</w:t>
      </w:r>
    </w:p>
    <w:p>
      <w:pPr>
        <w:spacing w:after="0" w:line="51" w:lineRule="exact"/>
        <w:rPr>
          <w:rFonts w:ascii="Times New Roman" w:cs="Times New Roman" w:eastAsia="Times New Roman" w:hAnsi="Times New Roman"/>
          <w:sz w:val="14"/>
          <w:szCs w:val="14"/>
          <w:color w:val="auto"/>
        </w:rPr>
      </w:pPr>
    </w:p>
    <w:p>
      <w:pPr>
        <w:ind w:left="3040" w:right="239" w:hanging="593"/>
        <w:spacing w:after="0" w:line="256"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BTO (i) has been duly authorized by all requisite corporate action and does not require any shareholder action or approval, (ii) will not violate or otherwise conflict with any material contract, license, franchise, permit or Applicable Law by which BTO is bound or to which it is otherwise subject and (iii) to its knowledge no BTO Background Technology or BTO Technology has been misappropriated from any Third Party or obtained without the proper consent of any Third Party;</w:t>
      </w:r>
    </w:p>
    <w:p>
      <w:pPr>
        <w:spacing w:after="0" w:line="71" w:lineRule="exact"/>
        <w:rPr>
          <w:rFonts w:ascii="Times New Roman" w:cs="Times New Roman" w:eastAsia="Times New Roman" w:hAnsi="Times New Roman"/>
          <w:sz w:val="14"/>
          <w:szCs w:val="14"/>
          <w:color w:val="auto"/>
        </w:rPr>
      </w:pPr>
    </w:p>
    <w:p>
      <w:pPr>
        <w:ind w:left="3040" w:right="459" w:hanging="593"/>
        <w:spacing w:after="0" w:line="282"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the power and authority to execute and deliver this Agreement and to perform its obligations hereunder;</w:t>
      </w:r>
    </w:p>
    <w:p>
      <w:pPr>
        <w:spacing w:after="0" w:line="51" w:lineRule="exact"/>
        <w:rPr>
          <w:rFonts w:ascii="Times New Roman" w:cs="Times New Roman" w:eastAsia="Times New Roman" w:hAnsi="Times New Roman"/>
          <w:sz w:val="14"/>
          <w:szCs w:val="14"/>
          <w:color w:val="auto"/>
        </w:rPr>
      </w:pPr>
    </w:p>
    <w:p>
      <w:pPr>
        <w:ind w:left="3040" w:right="559" w:hanging="593"/>
        <w:spacing w:after="0" w:line="266"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legally binding upon BTO, and is enforceable against it in accordance with the terms and conditions hereof, subject to bankruptcy, insolvency, reorganization, or similar laws affecting the rights of creditors generally and to equitable principles;</w:t>
      </w:r>
    </w:p>
    <w:p>
      <w:pPr>
        <w:spacing w:after="0" w:line="62" w:lineRule="exact"/>
        <w:rPr>
          <w:rFonts w:ascii="Times New Roman" w:cs="Times New Roman" w:eastAsia="Times New Roman" w:hAnsi="Times New Roman"/>
          <w:sz w:val="14"/>
          <w:szCs w:val="14"/>
          <w:color w:val="auto"/>
        </w:rPr>
      </w:pPr>
    </w:p>
    <w:p>
      <w:pPr>
        <w:ind w:left="3040" w:right="459" w:hanging="593"/>
        <w:spacing w:after="0" w:line="282"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at all times comply with all Applicable Laws relating to its activities under this Agreement; and</w:t>
      </w:r>
    </w:p>
    <w:p>
      <w:pPr>
        <w:spacing w:after="0" w:line="51" w:lineRule="exact"/>
        <w:rPr>
          <w:rFonts w:ascii="Times New Roman" w:cs="Times New Roman" w:eastAsia="Times New Roman" w:hAnsi="Times New Roman"/>
          <w:sz w:val="14"/>
          <w:szCs w:val="14"/>
          <w:color w:val="auto"/>
        </w:rPr>
      </w:pPr>
    </w:p>
    <w:p>
      <w:pPr>
        <w:ind w:left="3040" w:right="239" w:hanging="593"/>
        <w:spacing w:after="0" w:line="266" w:lineRule="auto"/>
        <w:tabs>
          <w:tab w:leader="none" w:pos="3040"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divest, restructure or reorganize its Affiliates during the Term, with any intent in whole or in part to avoid, reduce or eliminate its or any of its Affiliates’ obligations or commitments set forth in this Agreement.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0" w:right="1440" w:bottom="1440" w:gutter="0" w:footer="0" w:header="0"/>
        </w:sectPr>
      </w:pPr>
    </w:p>
    <w:bookmarkStart w:id="827" w:name="page828"/>
    <w:bookmarkEnd w:id="827"/>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10.1.2</w:t>
      </w:r>
      <w:r>
        <w:rPr>
          <w:sz w:val="20"/>
          <w:szCs w:val="20"/>
          <w:color w:val="auto"/>
        </w:rPr>
        <w:tab/>
      </w:r>
      <w:r>
        <w:rPr>
          <w:rFonts w:ascii="Times New Roman" w:cs="Times New Roman" w:eastAsia="Times New Roman" w:hAnsi="Times New Roman"/>
          <w:sz w:val="13"/>
          <w:szCs w:val="13"/>
          <w:color w:val="auto"/>
        </w:rPr>
        <w:t>Janssen hereby represents, warrants and covenants to BTO as follows as of the Effective Date:</w:t>
      </w:r>
    </w:p>
    <w:p>
      <w:pPr>
        <w:spacing w:after="0" w:line="101" w:lineRule="exact"/>
        <w:rPr>
          <w:sz w:val="20"/>
          <w:szCs w:val="20"/>
          <w:color w:val="auto"/>
        </w:rPr>
      </w:pPr>
    </w:p>
    <w:p>
      <w:pPr>
        <w:ind w:left="3040" w:right="299" w:hanging="593"/>
        <w:spacing w:after="0" w:line="282"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is a corporation or other legal entity duly organized and validly existing under the laws of the Country of Belgium;</w:t>
      </w:r>
    </w:p>
    <w:p>
      <w:pPr>
        <w:spacing w:after="0" w:line="51" w:lineRule="exact"/>
        <w:rPr>
          <w:rFonts w:ascii="Times New Roman" w:cs="Times New Roman" w:eastAsia="Times New Roman" w:hAnsi="Times New Roman"/>
          <w:sz w:val="14"/>
          <w:szCs w:val="14"/>
          <w:color w:val="auto"/>
        </w:rPr>
      </w:pPr>
    </w:p>
    <w:p>
      <w:pPr>
        <w:ind w:left="3040" w:right="259" w:hanging="593"/>
        <w:spacing w:after="0" w:line="256"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Janssen (i) has been duly authorized by all requisite corporate action and does not require any shareholder action or approval, (ii) will not violate or otherwise conflict with any material contract, license, franchise, permit or Applicable Law by which Janssen is bound or to which it is otherwise subject and (iii) to its knowledge no Janssen Background Technology or Janssen Technology has been misappropriated from any Third Party or obtained without the proper consent of any Third Party;</w:t>
      </w:r>
    </w:p>
    <w:p>
      <w:pPr>
        <w:spacing w:after="0" w:line="71" w:lineRule="exact"/>
        <w:rPr>
          <w:rFonts w:ascii="Times New Roman" w:cs="Times New Roman" w:eastAsia="Times New Roman" w:hAnsi="Times New Roman"/>
          <w:sz w:val="14"/>
          <w:szCs w:val="14"/>
          <w:color w:val="auto"/>
        </w:rPr>
      </w:pPr>
    </w:p>
    <w:p>
      <w:pPr>
        <w:ind w:left="3040" w:right="459" w:hanging="593"/>
        <w:spacing w:after="0" w:line="282"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the power and authority to execute and deliver this Agreement and to perform its obligations hereunder;</w:t>
      </w:r>
    </w:p>
    <w:p>
      <w:pPr>
        <w:spacing w:after="0" w:line="51" w:lineRule="exact"/>
        <w:rPr>
          <w:rFonts w:ascii="Times New Roman" w:cs="Times New Roman" w:eastAsia="Times New Roman" w:hAnsi="Times New Roman"/>
          <w:sz w:val="14"/>
          <w:szCs w:val="14"/>
          <w:color w:val="auto"/>
        </w:rPr>
      </w:pPr>
    </w:p>
    <w:p>
      <w:pPr>
        <w:ind w:left="3040" w:right="399" w:hanging="593"/>
        <w:spacing w:after="0" w:line="266"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legally binding upon Janssen, and is enforceable against it in accordance with the terms and conditions hereof, subject to bankruptcy, insolvency, reorganization, or similar laws affecting the rights of creditors generally and to equitable principles;</w:t>
      </w:r>
    </w:p>
    <w:p>
      <w:pPr>
        <w:spacing w:after="0" w:line="62" w:lineRule="exact"/>
        <w:rPr>
          <w:rFonts w:ascii="Times New Roman" w:cs="Times New Roman" w:eastAsia="Times New Roman" w:hAnsi="Times New Roman"/>
          <w:sz w:val="14"/>
          <w:szCs w:val="14"/>
          <w:color w:val="auto"/>
        </w:rPr>
      </w:pPr>
    </w:p>
    <w:p>
      <w:pPr>
        <w:ind w:left="3040" w:right="799" w:hanging="593"/>
        <w:spacing w:after="0" w:line="282"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shall at all times comply with all Applicable Laws relating to its activities under this Agreement;</w:t>
      </w:r>
    </w:p>
    <w:p>
      <w:pPr>
        <w:spacing w:after="0" w:line="51" w:lineRule="exact"/>
        <w:rPr>
          <w:rFonts w:ascii="Times New Roman" w:cs="Times New Roman" w:eastAsia="Times New Roman" w:hAnsi="Times New Roman"/>
          <w:sz w:val="14"/>
          <w:szCs w:val="14"/>
          <w:color w:val="auto"/>
        </w:rPr>
      </w:pPr>
    </w:p>
    <w:p>
      <w:pPr>
        <w:ind w:left="3040" w:right="239" w:hanging="593"/>
        <w:spacing w:after="0" w:line="266" w:lineRule="auto"/>
        <w:tabs>
          <w:tab w:leader="none" w:pos="304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divest, restructure or reorganize its Affiliates during the Term, with any intent in whole or in part to avoid, reduce or eliminate its or any of its Affiliates’ obligations or commitments set forth in this Agreement.</w:t>
      </w:r>
    </w:p>
    <w:p>
      <w:pPr>
        <w:spacing w:after="0" w:line="63" w:lineRule="exact"/>
        <w:rPr>
          <w:sz w:val="20"/>
          <w:szCs w:val="20"/>
          <w:color w:val="auto"/>
        </w:rPr>
      </w:pPr>
    </w:p>
    <w:p>
      <w:pPr>
        <w:ind w:left="1940" w:right="279" w:hanging="597"/>
        <w:spacing w:after="0" w:line="255" w:lineRule="auto"/>
        <w:tabs>
          <w:tab w:leader="none" w:pos="192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auto"/>
        </w:rPr>
        <w:t>Debarment and Exclusion</w:t>
      </w:r>
      <w:r>
        <w:rPr>
          <w:rFonts w:ascii="Times New Roman" w:cs="Times New Roman" w:eastAsia="Times New Roman" w:hAnsi="Times New Roman"/>
          <w:sz w:val="14"/>
          <w:szCs w:val="14"/>
          <w:color w:val="auto"/>
        </w:rPr>
        <w:t>. Janssen and BTO each represent and warrant that to the best of its knowledge as of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Effective Date neither it nor any of its Affiliates, nor any of its or its Affiliates employees, subcontractors or agents (“Personnel”) working on the subject matter of this Agreement (“Project Personnel”), has ever been, is currently, or is the subject of a proceeding that could lead to it or its Affiliates, or any of their Project Personnel, becoming, as applicable, a Debarred Entity or Debarred Individual, an Excluded Entity or Excluded Individual or a Convicted Entity or Convicted Individual, nor are they listed on the FDA’s Disqualified/Restricted List for clinical investigators. Each Party further covenants, represents and warrants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2" w:right="1440" w:bottom="1440" w:gutter="0" w:footer="0" w:header="0"/>
        </w:sectPr>
      </w:pPr>
    </w:p>
    <w:bookmarkStart w:id="828" w:name="page829"/>
    <w:bookmarkEnd w:id="828"/>
    <w:p>
      <w:pPr>
        <w:ind w:left="194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that if, during the Term, it or any of its Affiliates, or any of its or its Affiliates Project Personnel, becomes or is the subject of a proceeding, or any action or investigation is pending or threatened, that could lead to that Party or its Affiliates, or their Project Personnel, with respect to the subject matter hereof, becoming, as applicable, a Debarred Entity or Debarred Individual, an Excluded Entity or Excluded Individual or a Convicted Entity or Convicted Individual, or added to FDA’s Disqualified/Restricted List for clinical investigators, the Party shall immediately notify the other Party, and the Parties shall undertake discussions with respect to such notification. If a Party or that Party’s Affiliates or their Project Personnel, with respect to the subject matter hereof, becomes, as applicable, a Debarred Entity or Debarred Individual, an Excluded Entity or Excluded Individual or a Convicted Entity or Convicted Individual, or added to FDA’s Disqualified/Restricted List for clinical investigators, the other Party may upon 60 calendar days written notice terminate this Agreement. Such termination will be considered termination for breach. This provision shall survive termination or expiration of this Agreement. For purposes of this provision, the following definitions shall apply:</w:t>
      </w:r>
    </w:p>
    <w:p>
      <w:pPr>
        <w:spacing w:after="0" w:line="74"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10.2.1</w:t>
      </w:r>
      <w:r>
        <w:rPr>
          <w:sz w:val="20"/>
          <w:szCs w:val="20"/>
          <w:color w:val="auto"/>
        </w:rPr>
        <w:tab/>
      </w:r>
      <w:r>
        <w:rPr>
          <w:rFonts w:ascii="Times New Roman" w:cs="Times New Roman" w:eastAsia="Times New Roman" w:hAnsi="Times New Roman"/>
          <w:sz w:val="13"/>
          <w:szCs w:val="13"/>
          <w:color w:val="auto"/>
        </w:rPr>
        <w:t>A “Debarred Individual” is an individual who has been debarred by the FDA pursuant to 21 U.S.C. §335a (a) or</w:t>
      </w:r>
    </w:p>
    <w:p>
      <w:pPr>
        <w:spacing w:after="0" w:line="22" w:lineRule="exact"/>
        <w:rPr>
          <w:sz w:val="20"/>
          <w:szCs w:val="20"/>
          <w:color w:val="auto"/>
        </w:rPr>
      </w:pPr>
    </w:p>
    <w:p>
      <w:pPr>
        <w:ind w:left="2640" w:hanging="203"/>
        <w:spacing w:after="0"/>
        <w:tabs>
          <w:tab w:leader="none" w:pos="2640"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by another Regulatory Authority pursuant to another comparable regulation or statute from providing</w:t>
      </w:r>
    </w:p>
    <w:p>
      <w:pPr>
        <w:spacing w:after="0" w:line="6" w:lineRule="exact"/>
        <w:rPr>
          <w:rFonts w:ascii="Times New Roman" w:cs="Times New Roman" w:eastAsia="Times New Roman" w:hAnsi="Times New Roman"/>
          <w:sz w:val="14"/>
          <w:szCs w:val="14"/>
          <w:color w:val="auto"/>
        </w:rPr>
      </w:pPr>
    </w:p>
    <w:p>
      <w:pPr>
        <w:ind w:left="2440" w:right="37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in any capacity (including services or activities in performance of this Agreement) to a person that has an approved or pending drug product application.</w:t>
      </w:r>
    </w:p>
    <w:p>
      <w:pPr>
        <w:spacing w:after="0" w:line="67" w:lineRule="exact"/>
        <w:rPr>
          <w:sz w:val="20"/>
          <w:szCs w:val="20"/>
          <w:color w:val="auto"/>
        </w:rPr>
      </w:pPr>
    </w:p>
    <w:p>
      <w:pPr>
        <w:ind w:left="2440" w:right="37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10.2.2</w:t>
        <w:tab/>
        <w:t>A “Debarred Entity” is a corporation, partnership or association that has been debarred by the FDA pursuant to 21 U.S.C. §335a (a) or (b) or by another Regulatory Authority pursuant to another comparable regulation or statute from submitting or assisting in the submission of any abbreviated drug application, or is a subsidiary or Affiliate of a Debarred Entity.</w:t>
      </w:r>
    </w:p>
    <w:p>
      <w:pPr>
        <w:spacing w:after="0" w:line="66" w:lineRule="exact"/>
        <w:rPr>
          <w:sz w:val="20"/>
          <w:szCs w:val="20"/>
          <w:color w:val="auto"/>
        </w:rPr>
      </w:pPr>
    </w:p>
    <w:p>
      <w:pPr>
        <w:ind w:left="2440" w:right="339" w:hanging="503"/>
        <w:spacing w:after="0" w:line="256" w:lineRule="auto"/>
        <w:tabs>
          <w:tab w:leader="none" w:pos="2420" w:val="left"/>
        </w:tabs>
        <w:rPr>
          <w:sz w:val="20"/>
          <w:szCs w:val="20"/>
          <w:color w:val="auto"/>
        </w:rPr>
      </w:pPr>
      <w:r>
        <w:rPr>
          <w:rFonts w:ascii="Times New Roman" w:cs="Times New Roman" w:eastAsia="Times New Roman" w:hAnsi="Times New Roman"/>
          <w:sz w:val="14"/>
          <w:szCs w:val="14"/>
          <w:color w:val="auto"/>
        </w:rPr>
        <w:t>10.2.3</w:t>
        <w:tab/>
        <w:t>An “Excluded Individual” or “Excluded Entity” is (i)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(ii)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1" w:right="1440" w:bottom="1440" w:gutter="0" w:footer="0" w:header="0"/>
        </w:sectPr>
      </w:pPr>
    </w:p>
    <w:bookmarkStart w:id="829" w:name="page830"/>
    <w:bookmarkEnd w:id="829"/>
    <w:p>
      <w:pPr>
        <w:ind w:left="2440" w:right="27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10.2.4</w:t>
        <w:tab/>
        <w:t>A “Convicted Individual” or “Convicted Entity” is an individual or entity, as applicable, who has been convicted of a criminal offense that falls within the ambit of 42 U.S.C. §1320a – 7(a), but has not yet been excluded, debarred, suspended or otherwise declared ineligible.</w:t>
      </w:r>
    </w:p>
    <w:p>
      <w:pPr>
        <w:spacing w:after="0" w:line="63" w:lineRule="exact"/>
        <w:rPr>
          <w:sz w:val="20"/>
          <w:szCs w:val="20"/>
          <w:color w:val="auto"/>
        </w:rPr>
      </w:pPr>
    </w:p>
    <w:p>
      <w:pPr>
        <w:jc w:val="both"/>
        <w:ind w:left="2440" w:right="29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10.2.5</w:t>
        <w:tab/>
        <w:t>“FDA’s Disqualified/Restricted List” is the list of clinical investigators restricted from receiving investigational drugs, biologics or devices if FDA has determined that the investigators have repeatedly or deliberately failed to comply with regulatory requirements for studies or have submitted false information to the study sponsor.</w:t>
      </w:r>
    </w:p>
    <w:p>
      <w:pPr>
        <w:spacing w:after="0" w:line="63" w:lineRule="exact"/>
        <w:rPr>
          <w:sz w:val="20"/>
          <w:szCs w:val="20"/>
          <w:color w:val="auto"/>
        </w:rPr>
      </w:pPr>
    </w:p>
    <w:p>
      <w:pPr>
        <w:ind w:left="1940" w:right="31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u w:val="single" w:color="auto"/>
          <w:color w:val="auto"/>
        </w:rPr>
        <w:t>Disclaimer</w:t>
      </w:r>
      <w:r>
        <w:rPr>
          <w:rFonts w:ascii="Times New Roman" w:cs="Times New Roman" w:eastAsia="Times New Roman" w:hAnsi="Times New Roman"/>
          <w:sz w:val="14"/>
          <w:szCs w:val="14"/>
          <w:color w:val="auto"/>
        </w:rPr>
        <w:t>. EXCEPT FOR THE EXPRESS REPRESENTATIONS AND WARRANTIES CONTAINED IN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NEITHER BTO NOR JANSSEN MAKES, AND EACH HEREBY EXPRESSLY DISCLAIMS, ANY AND ALL REPRESENTATIONS AND WARRANTIES, EITHER EXPRESS OR IMPLIED, WHETHER IN FACT OR IN LAW, INCLUDING ANY IMPLIED WARRANTIES OF MERCHANTABILITY, FITNESS FOR A PARTICULAR PURPOSE, OR NON-INFRINGEMENT.</w:t>
      </w:r>
    </w:p>
    <w:p>
      <w:pPr>
        <w:spacing w:after="0" w:line="69" w:lineRule="exact"/>
        <w:rPr>
          <w:sz w:val="20"/>
          <w:szCs w:val="20"/>
          <w:color w:val="auto"/>
        </w:rPr>
      </w:pPr>
    </w:p>
    <w:p>
      <w:pPr>
        <w:jc w:val="both"/>
        <w:ind w:left="1940" w:right="35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u w:val="single" w:color="auto"/>
          <w:color w:val="auto"/>
        </w:rPr>
        <w:t>No Representations Regarding Approval or Commercial Success</w:t>
      </w:r>
      <w:r>
        <w:rPr>
          <w:rFonts w:ascii="Times New Roman" w:cs="Times New Roman" w:eastAsia="Times New Roman" w:hAnsi="Times New Roman"/>
          <w:sz w:val="14"/>
          <w:szCs w:val="14"/>
          <w:color w:val="auto"/>
        </w:rPr>
        <w:t>. Neither Party makes any representations or warranties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as to: (a) whether the Janssen Drug or the BTO CDx will be approved for commercial sale by the applicable Regulatory Authorities; or (b) the commercial potential or success of the Janssen Drug or the BTO CDx.</w:t>
      </w:r>
    </w:p>
    <w:p>
      <w:pPr>
        <w:spacing w:after="0" w:line="250"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INDEMNIFICATION; LIMITATION OF LIABILITY; INSURANCE</w:t>
      </w:r>
    </w:p>
    <w:p>
      <w:pPr>
        <w:spacing w:after="0" w:line="103" w:lineRule="exact"/>
        <w:rPr>
          <w:sz w:val="20"/>
          <w:szCs w:val="20"/>
          <w:color w:val="auto"/>
        </w:rPr>
      </w:pPr>
    </w:p>
    <w:p>
      <w:pPr>
        <w:ind w:left="1940" w:right="27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u w:val="single" w:color="auto"/>
          <w:color w:val="auto"/>
        </w:rPr>
        <w:t>Indemnification by Janssen</w:t>
      </w:r>
      <w:r>
        <w:rPr>
          <w:rFonts w:ascii="Times New Roman" w:cs="Times New Roman" w:eastAsia="Times New Roman" w:hAnsi="Times New Roman"/>
          <w:sz w:val="14"/>
          <w:szCs w:val="14"/>
          <w:color w:val="auto"/>
        </w:rPr>
        <w:t>. Janssen shall indemnify, defend and hold harmless BTO, its Affiliates, and its and their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respective officers, directors, employees, agents and representatives (collectively, “BTO Indemnitees”) from any and all Losses resulting from any Third Party suits, claims, actions or demands (collectively, “Third Party Claims”), to the extent arising out of or relating to:</w:t>
      </w:r>
    </w:p>
    <w:p>
      <w:pPr>
        <w:spacing w:after="0" w:line="66" w:lineRule="exact"/>
        <w:rPr>
          <w:sz w:val="20"/>
          <w:szCs w:val="20"/>
          <w:color w:val="auto"/>
        </w:rPr>
      </w:pPr>
    </w:p>
    <w:p>
      <w:pPr>
        <w:ind w:left="2440" w:right="37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11.1.1</w:t>
        <w:tab/>
        <w:t>any breach by Janssen of any Janssen obligation, covenant, agreement, representation or warranty contained in this Agreement; or</w:t>
      </w:r>
    </w:p>
    <w:p>
      <w:pPr>
        <w:spacing w:after="0" w:line="52" w:lineRule="exact"/>
        <w:rPr>
          <w:sz w:val="20"/>
          <w:szCs w:val="20"/>
          <w:color w:val="auto"/>
        </w:rPr>
      </w:pPr>
    </w:p>
    <w:p>
      <w:pPr>
        <w:ind w:left="2440" w:right="759" w:hanging="503"/>
        <w:spacing w:after="0" w:line="322" w:lineRule="auto"/>
        <w:tabs>
          <w:tab w:leader="none" w:pos="2420" w:val="left"/>
        </w:tabs>
        <w:rPr>
          <w:sz w:val="20"/>
          <w:szCs w:val="20"/>
          <w:color w:val="auto"/>
        </w:rPr>
      </w:pPr>
      <w:r>
        <w:rPr>
          <w:rFonts w:ascii="Times New Roman" w:cs="Times New Roman" w:eastAsia="Times New Roman" w:hAnsi="Times New Roman"/>
          <w:sz w:val="14"/>
          <w:szCs w:val="14"/>
          <w:color w:val="auto"/>
        </w:rPr>
        <w:t>11.1.2</w:t>
      </w:r>
      <w:r>
        <w:rPr>
          <w:sz w:val="20"/>
          <w:szCs w:val="20"/>
          <w:color w:val="auto"/>
        </w:rPr>
        <w:tab/>
      </w:r>
      <w:r>
        <w:rPr>
          <w:rFonts w:ascii="Times New Roman" w:cs="Times New Roman" w:eastAsia="Times New Roman" w:hAnsi="Times New Roman"/>
          <w:sz w:val="13"/>
          <w:szCs w:val="13"/>
          <w:color w:val="auto"/>
        </w:rPr>
        <w:t>any violation of Applicable Law by Janssen, any of its subcontractors or licensees, or any of the Janssen Indemnitees in connection with the performance of Janssen’s obligations under this Agreement; or</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1" w:right="1440" w:bottom="1440" w:gutter="0" w:footer="0" w:header="0"/>
        </w:sectPr>
      </w:pPr>
    </w:p>
    <w:bookmarkStart w:id="830" w:name="page831"/>
    <w:bookmarkEnd w:id="830"/>
    <w:p>
      <w:pPr>
        <w:ind w:left="2440" w:right="29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11.1.3</w:t>
        <w:tab/>
        <w:t>any acts or omissions by Janssen, any of its subcontractors or licensees, or any of the Janssen Indemnitees in the conduct of the development (including Clinical Trials), manufacture, Commercialization, sale or use of the Janssen Drug; or</w:t>
      </w:r>
    </w:p>
    <w:p>
      <w:pPr>
        <w:spacing w:after="0" w:line="63" w:lineRule="exact"/>
        <w:rPr>
          <w:sz w:val="20"/>
          <w:szCs w:val="20"/>
          <w:color w:val="auto"/>
        </w:rPr>
      </w:pPr>
    </w:p>
    <w:p>
      <w:pPr>
        <w:jc w:val="both"/>
        <w:ind w:left="2440" w:right="39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11.1.4</w:t>
        <w:tab/>
        <w:t>any errors, omissions, or misrepresentations in Janssen Drug data, information, or documentation provided or disseminated by Janssen, any of its subcontractors or licensees (other than any BTO Indemnitee), or any of the Janssen Indemnitees; or</w:t>
      </w:r>
    </w:p>
    <w:p>
      <w:pPr>
        <w:spacing w:after="0" w:line="63" w:lineRule="exact"/>
        <w:rPr>
          <w:sz w:val="20"/>
          <w:szCs w:val="20"/>
          <w:color w:val="auto"/>
        </w:rPr>
      </w:pPr>
    </w:p>
    <w:p>
      <w:pPr>
        <w:ind w:left="2440" w:right="23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11.1.5</w:t>
        <w:tab/>
        <w:t>the infringement or misappropriation of Third Party patent or other intellectual property rights concerning (i) the Janssen Drug, (ii) the use of the Biomarkers to indicate that whether the Janssen Drug is an appropriate treatment for any potential patient, or (iii) either Party’s use of Janssen Background Technology or Janssen Development Technology as permitted under this Agreement;</w:t>
      </w:r>
    </w:p>
    <w:p>
      <w:pPr>
        <w:spacing w:after="0" w:line="53" w:lineRule="exact"/>
        <w:rPr>
          <w:sz w:val="20"/>
          <w:szCs w:val="20"/>
          <w:color w:val="auto"/>
        </w:rPr>
      </w:pPr>
    </w:p>
    <w:p>
      <w:pPr>
        <w:ind w:left="1940" w:right="379"/>
        <w:spacing w:after="0" w:line="262"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Janssen shall not be obligated to indemnify, defend or hold harmless a BTO Indemnitee under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11.1 from any Third Party Claim or for any Losses incurred by a BTO Indemnitee to the extent arising out of or attributable to any act or omission by a BTO Indemnitee, which constitutes negligence, willful misconduct, or material breach of this Agreement.</w:t>
      </w:r>
    </w:p>
    <w:p>
      <w:pPr>
        <w:spacing w:after="0" w:line="65" w:lineRule="exact"/>
        <w:rPr>
          <w:sz w:val="20"/>
          <w:szCs w:val="20"/>
          <w:color w:val="auto"/>
        </w:rPr>
      </w:pPr>
    </w:p>
    <w:p>
      <w:pPr>
        <w:ind w:left="1940" w:right="63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u w:val="single" w:color="auto"/>
          <w:color w:val="auto"/>
        </w:rPr>
        <w:t>Indemnification by BTO</w:t>
      </w:r>
      <w:r>
        <w:rPr>
          <w:rFonts w:ascii="Times New Roman" w:cs="Times New Roman" w:eastAsia="Times New Roman" w:hAnsi="Times New Roman"/>
          <w:sz w:val="14"/>
          <w:szCs w:val="14"/>
          <w:color w:val="auto"/>
        </w:rPr>
        <w:t>. BTO shall indemnify, defend and hold harmless Janssen, its Affiliates, and its and their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respective officers, directors, employees, agents and representatives (collectively, “Janssen Indemnitees”) from and against any and all Losses resulting from any Third Party Claims, to the extent arising out of or relating to:</w:t>
      </w:r>
    </w:p>
    <w:p>
      <w:pPr>
        <w:spacing w:after="0" w:line="63" w:lineRule="exact"/>
        <w:rPr>
          <w:sz w:val="20"/>
          <w:szCs w:val="20"/>
          <w:color w:val="auto"/>
        </w:rPr>
      </w:pPr>
    </w:p>
    <w:p>
      <w:pPr>
        <w:ind w:left="2440" w:right="45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11.2.1</w:t>
        <w:tab/>
        <w:t>any breach by BTO of any BTO obligation, covenant, agreement, representation or warranty contained in this Agreement; or</w:t>
      </w:r>
    </w:p>
    <w:p>
      <w:pPr>
        <w:spacing w:after="0" w:line="52" w:lineRule="exact"/>
        <w:rPr>
          <w:sz w:val="20"/>
          <w:szCs w:val="20"/>
          <w:color w:val="auto"/>
        </w:rPr>
      </w:pPr>
    </w:p>
    <w:p>
      <w:pPr>
        <w:ind w:left="2440" w:right="33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11.2.2</w:t>
        <w:tab/>
        <w:t>any violation of Applicable Law by BTO, any of its subcontractors or licensees, or any of the BTO Indemnitees in connection with the performance of BTO’s obligations under this Agreement; or</w:t>
      </w:r>
    </w:p>
    <w:p>
      <w:pPr>
        <w:spacing w:after="0" w:line="52" w:lineRule="exact"/>
        <w:rPr>
          <w:sz w:val="20"/>
          <w:szCs w:val="20"/>
          <w:color w:val="auto"/>
        </w:rPr>
      </w:pPr>
    </w:p>
    <w:p>
      <w:pPr>
        <w:ind w:left="2440" w:right="31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11.2.3</w:t>
        <w:tab/>
        <w:t>any acts or omission by BTO, any of its subcontractors or licensees, or any of the BTO Indemnitees in the conduct of the development, manufacture, Commercialization, sale or use of the BTO CDx and provision of the BTO CDx;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1" w:right="1440" w:bottom="1440" w:gutter="0" w:footer="0" w:header="0"/>
        </w:sectPr>
      </w:pPr>
    </w:p>
    <w:bookmarkStart w:id="831" w:name="page832"/>
    <w:bookmarkEnd w:id="831"/>
    <w:p>
      <w:pPr>
        <w:ind w:left="2440" w:right="39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11.2.4</w:t>
        <w:tab/>
        <w:t>any errors, omissions, or misrepresentations in BTO CDx data, information, or documentation provided or disseminated by BTO, any of its subcontractors or licensees (other than any Janssen Indemnitee), or any of the BTO Indemnitees.</w:t>
      </w:r>
    </w:p>
    <w:p>
      <w:pPr>
        <w:spacing w:after="0" w:line="63" w:lineRule="exact"/>
        <w:rPr>
          <w:sz w:val="20"/>
          <w:szCs w:val="20"/>
          <w:color w:val="auto"/>
        </w:rPr>
      </w:pPr>
    </w:p>
    <w:p>
      <w:pPr>
        <w:ind w:left="2440" w:right="27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11.2.5</w:t>
        <w:tab/>
        <w:t>the infringement or misappropriation of Third Party patent or other intellectual property rights concerning the BTO Assay, BTO CDx, or either Party’s use of BTO Background Technology or BTO Development Technology as permitted under this Agreement;</w:t>
      </w:r>
    </w:p>
    <w:p>
      <w:pPr>
        <w:spacing w:after="0" w:line="50" w:lineRule="exact"/>
        <w:rPr>
          <w:sz w:val="20"/>
          <w:szCs w:val="20"/>
          <w:color w:val="auto"/>
        </w:rPr>
      </w:pPr>
    </w:p>
    <w:p>
      <w:pPr>
        <w:ind w:left="1940" w:right="239"/>
        <w:spacing w:after="0" w:line="256"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BTO shall not be obligated to indemnify, defend or hold harmless a Janssen Indemnitee under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11.2 from any Third Party Claim or for any Losses incurred by a Janssen Indemnitee to the extent arising out of or attributable to any act or omission by a Janssen Indemnitee which constitutes gross negligence, willful misconduct, or material breach of this Agreement. For the avoidance of doubt, BTO shall not indemnify Janssen or any other Janssen Indemnitee for any delay in the Development Plan and Commercialization Plan timelines related to the BTO Assay that is subject to the Development Plan and Commercialization Plan or the BTO CDx, unless such delay is caused by BTO’s uncured breach of this Agreement.</w:t>
      </w:r>
    </w:p>
    <w:p>
      <w:pPr>
        <w:spacing w:after="0" w:line="70" w:lineRule="exact"/>
        <w:rPr>
          <w:sz w:val="20"/>
          <w:szCs w:val="20"/>
          <w:color w:val="auto"/>
        </w:rPr>
      </w:pPr>
    </w:p>
    <w:p>
      <w:pPr>
        <w:ind w:left="1940" w:right="319" w:hanging="597"/>
        <w:spacing w:after="0" w:line="277" w:lineRule="auto"/>
        <w:tabs>
          <w:tab w:leader="none" w:pos="192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3"/>
          <w:szCs w:val="13"/>
          <w:u w:val="single" w:color="auto"/>
          <w:color w:val="auto"/>
        </w:rPr>
        <w:t>Control of Defense</w:t>
      </w:r>
      <w:r>
        <w:rPr>
          <w:rFonts w:ascii="Times New Roman" w:cs="Times New Roman" w:eastAsia="Times New Roman" w:hAnsi="Times New Roman"/>
          <w:sz w:val="13"/>
          <w:szCs w:val="13"/>
          <w:color w:val="auto"/>
        </w:rPr>
        <w:t>. If any Janssen Indemnitee or BTO Indemnitee (each, an “Indemnitee”) is seeking indemnification</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under Section 11.1 or Section 11.2 of this Agreement, then Janssen or BTO, as applicable (the “indemnified Party”) shall give written notice to the indemnifying Party of each Third Party Claim that may be subject to indemnification, within</w:t>
      </w:r>
    </w:p>
    <w:p>
      <w:pPr>
        <w:spacing w:after="0" w:line="1" w:lineRule="exact"/>
        <w:rPr>
          <w:sz w:val="20"/>
          <w:szCs w:val="20"/>
          <w:color w:val="auto"/>
        </w:rPr>
      </w:pPr>
    </w:p>
    <w:p>
      <w:pPr>
        <w:ind w:left="1940" w:right="239" w:hanging="7"/>
        <w:spacing w:after="0" w:line="251" w:lineRule="auto"/>
        <w:tabs>
          <w:tab w:leader="none" w:pos="2278"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receiving notice of such Third Party Claim; provided, however, that failure of the indemnified Party to give such notice shall not affect the indemnification provided hereunder except to the extent (and only to the extent) the indemnifying Party shall have been actually and materially prejudiced as a result of such failure. Within a reasonable time after receiving such notice, the indemnifying Party may assume the defense of such Third Party Claim with counsel reasonably satisfactory to the indemnified Party by giving written notice thereof to the indemnified Party. The indemnified Party shall cooperate with the indemnifying Party in such defense. The indemnified Party may, at its option and expense, be represented by counsel of its choice in any action or proceeding with respect to such Third Party Claim as to which the indemnifying Party has assumed the defense. The indemnified Party may, at the indemnifying Party’s expense, control the defense of any Third Party Claim that the indemnifying Party fails to assume within [***] of being notified by the indemnified Party of such Third Party Claim. The indemnifying Party shall not be liable for any litigation costs or expenses incurred by the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1" w:right="1440" w:bottom="1440" w:gutter="0" w:footer="0" w:header="0"/>
        </w:sectPr>
      </w:pPr>
    </w:p>
    <w:bookmarkStart w:id="832" w:name="page833"/>
    <w:bookmarkEnd w:id="832"/>
    <w:p>
      <w:pPr>
        <w:ind w:left="194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indemnified Party after the indemnifying Party assumes the defense of the Third Party Claim without the indemnifying Party’s written consent to such costs or expenses, such consent not to be unreasonably withheld. The indemnifying Party shall not settle any Third Party Claim if such settlement (a) does not fully and unconditionally release the indemnified Party and its Indemnitees from all liability relating thereto, (b) adversely impacts the rights granted to the indemnified Party under this Agreement in a material way, (c) admits liability on the part of the indemnified Party, or (d) provides for relief other than money damages for which the indemnifying Party has acknowledged in writing that it shall be responsible, unless the indemnified Party otherwise agrees in writing. The indemnified Party shall not admit to any wrongdoing or consent to the entry of any judgment or enter into any settlement with respect to any Third Party Claim for which indemnification is sought hereunder without the prior written consent of the indemnifying Party.</w:t>
      </w:r>
    </w:p>
    <w:p>
      <w:pPr>
        <w:spacing w:after="0" w:line="72" w:lineRule="exact"/>
        <w:rPr>
          <w:sz w:val="20"/>
          <w:szCs w:val="20"/>
          <w:color w:val="auto"/>
        </w:rPr>
      </w:pPr>
    </w:p>
    <w:p>
      <w:pPr>
        <w:ind w:left="1940" w:right="2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NEITHER PARTY SHALL BE LIABLE TO THE OTHER PARTY FOR ANY CLAIM FOR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ATTORNEY FEES, COSTS AND PREJUDGMENT INTEREST OR CONSEQUENTIAL, INDIRECT, SPECIAL, EXEMPLARY OR PUNITIVE DAMAGES, OR ANY DAMAGES FOR LOST REVENUES, PROFITS OR BUSINESS OPPORTUNITIES, FOR ANY CAUSE OF ACTION, WHETHER IN CONTRACT, TORT OR OTHERWISE, ARISING OUT OF OR IN CONNECTION WITH THIS AGREEMENT, WHETHER OR NOT THE OTHER PARTY WAS OR SHOULD HAVE BEEN AWARE OF THE POSSIBILITY OF THESE DAMAGES. THE FOREGOING LIMITATIONS OF LIABILITY SHALL NOT APPLY TO A PARTY’S INDEMNIFICATION OBLIGATIONS UNDER THIS ARTICLE 11.</w:t>
      </w:r>
    </w:p>
    <w:p>
      <w:pPr>
        <w:spacing w:after="0" w:line="75"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2440" w:right="65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11.5.1</w:t>
        <w:tab/>
        <w:t>Each Party shall maintain in full force and effect during the Term, and for a period of not less than [***] thereafter, valid and collectible insurance policies providing liability insurance coverage to protect against potential liabilities and risk arising out of activities to be performed under this Agreement.</w:t>
      </w:r>
    </w:p>
    <w:p>
      <w:pPr>
        <w:spacing w:after="0" w:line="63" w:lineRule="exact"/>
        <w:rPr>
          <w:sz w:val="20"/>
          <w:szCs w:val="20"/>
          <w:color w:val="auto"/>
        </w:rPr>
      </w:pPr>
    </w:p>
    <w:p>
      <w:pPr>
        <w:jc w:val="both"/>
        <w:ind w:left="2440" w:right="25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11.5.2</w:t>
        <w:tab/>
        <w:t>During the Term and for the period that BTO makes or causes to make commercially available the BTO CDx for the Intended Use in the Territory, and for a period of not less [***] thereafter, (i) BTO shall maintain commercial general liability insurance with limits of [***] and (ii) BTO shall separately maintain product liability insurance with limits of [***].</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0" w:right="1440" w:bottom="1440" w:gutter="0" w:footer="0" w:header="0"/>
        </w:sectPr>
      </w:pPr>
    </w:p>
    <w:bookmarkStart w:id="833" w:name="page834"/>
    <w:bookmarkEnd w:id="833"/>
    <w:p>
      <w:pPr>
        <w:ind w:left="2440" w:right="29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11.5.3</w:t>
        <w:tab/>
        <w:t>During the Term of this Agreement and for the period that Janssen makes or causes to make the Janssen Drug commercially available for the Clinical Treatment in the Territory, and for a period of not less than [***] thereafter, (i) Janssen shall maintain commercial general liability insurance with a limit of [***] and (ii) Janssen shall separately maintain product liability insurance with limits of [***].</w:t>
      </w:r>
    </w:p>
    <w:p>
      <w:pPr>
        <w:spacing w:after="0" w:line="66" w:lineRule="exact"/>
        <w:rPr>
          <w:sz w:val="20"/>
          <w:szCs w:val="20"/>
          <w:color w:val="auto"/>
        </w:rPr>
      </w:pPr>
    </w:p>
    <w:p>
      <w:pPr>
        <w:ind w:left="2440" w:right="25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11.5.4</w:t>
        <w:tab/>
        <w:t>Where required by law, Janssen shall maintain liability coverage for any trial it Sponsors. Such coverage shall be in compliance with local regulations.</w:t>
      </w:r>
    </w:p>
    <w:p>
      <w:pPr>
        <w:spacing w:after="0" w:line="52" w:lineRule="exact"/>
        <w:rPr>
          <w:sz w:val="20"/>
          <w:szCs w:val="20"/>
          <w:color w:val="auto"/>
        </w:rPr>
      </w:pPr>
    </w:p>
    <w:p>
      <w:pPr>
        <w:ind w:left="2440" w:right="339" w:hanging="503"/>
        <w:spacing w:after="0" w:line="322" w:lineRule="auto"/>
        <w:tabs>
          <w:tab w:leader="none" w:pos="2420" w:val="left"/>
        </w:tabs>
        <w:rPr>
          <w:sz w:val="20"/>
          <w:szCs w:val="20"/>
          <w:color w:val="auto"/>
        </w:rPr>
      </w:pPr>
      <w:r>
        <w:rPr>
          <w:rFonts w:ascii="Times New Roman" w:cs="Times New Roman" w:eastAsia="Times New Roman" w:hAnsi="Times New Roman"/>
          <w:sz w:val="14"/>
          <w:szCs w:val="14"/>
          <w:color w:val="auto"/>
        </w:rPr>
        <w:t>11.5.5</w:t>
      </w:r>
      <w:r>
        <w:rPr>
          <w:sz w:val="20"/>
          <w:szCs w:val="20"/>
          <w:color w:val="auto"/>
        </w:rPr>
        <w:tab/>
      </w:r>
      <w:r>
        <w:rPr>
          <w:rFonts w:ascii="Times New Roman" w:cs="Times New Roman" w:eastAsia="Times New Roman" w:hAnsi="Times New Roman"/>
          <w:sz w:val="13"/>
          <w:szCs w:val="13"/>
          <w:color w:val="auto"/>
        </w:rPr>
        <w:t>With the exception of Janssen’s product liability (which is insured through a captive insurance company), all insurance required in these provisions shall be placed with an insurer with an A.M. Best Rating not less than A.</w:t>
      </w:r>
    </w:p>
    <w:p>
      <w:pPr>
        <w:spacing w:after="0" w:line="29" w:lineRule="exact"/>
        <w:rPr>
          <w:sz w:val="20"/>
          <w:szCs w:val="20"/>
          <w:color w:val="auto"/>
        </w:rPr>
      </w:pPr>
    </w:p>
    <w:p>
      <w:pPr>
        <w:ind w:left="2440" w:right="83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11.5.6</w:t>
        <w:tab/>
        <w:t>Upon written request, BTO and Janssen shall furnish the respective Party with certificates of insurance evidencing required coverage under this agreement.</w:t>
      </w:r>
    </w:p>
    <w:p>
      <w:pPr>
        <w:spacing w:after="0" w:line="239"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CONFIDENTIALITY</w:t>
      </w:r>
    </w:p>
    <w:p>
      <w:pPr>
        <w:spacing w:after="0" w:line="103" w:lineRule="exact"/>
        <w:rPr>
          <w:sz w:val="20"/>
          <w:szCs w:val="20"/>
          <w:color w:val="auto"/>
        </w:rPr>
      </w:pPr>
    </w:p>
    <w:p>
      <w:pPr>
        <w:ind w:left="1940" w:right="27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u w:val="single" w:color="auto"/>
          <w:color w:val="auto"/>
        </w:rPr>
        <w:t>Confidentiality Obligation and Restrictions on Use</w:t>
      </w:r>
      <w:r>
        <w:rPr>
          <w:rFonts w:ascii="Times New Roman" w:cs="Times New Roman" w:eastAsia="Times New Roman" w:hAnsi="Times New Roman"/>
          <w:sz w:val="14"/>
          <w:szCs w:val="14"/>
          <w:color w:val="auto"/>
        </w:rPr>
        <w:t>. As of and after the Effective Date, all Confidential Information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disclosed, revealed or otherwise made available by one Party (“Disclosing Party”) or its Affiliate to the other Party (“Receiving Party”) or its Affiliate under, or as a result of, this Agreement, is furnished solely to permit the Receiving Party (or its Affiliate, as applicable) to exercise its rights, and perform its obligations, under this Agreement subject to the provisions of, this Agreement and may be used by the Receiving Party and its Affiliates only for such purposes. For clarity, Confidential Information disclosed by a Disclosing Party’s Affiliate under, or as a result of, this Agreement, shall be deemed to be the Disclosing Party’s Confidential Information for purposes of this Agreement. Subject to Section 13.3 (Consequences of Termination), the Receiving Party shall not use any of the Disclosing Party’s Confidential Information for any other purpose unless otherwise expressly allowed under this Agreement or permitted in writing by the Disclosing Party, and shall not disclose, reveal or otherwise make any of the Disclosing Party’s Confidential Information available to any other person, firm, corporation or other entity, without the prior written authorization of the Disclosing Party, </w:t>
      </w: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Receiving Party may disclose the Disclosing Party’s Confidential Information to another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firm, corporation or other entity as specified below in this Section 12.1, without the prior written authorization of the Disclosing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2" w:right="1440" w:bottom="1440" w:gutter="0" w:footer="0" w:header="0"/>
        </w:sectPr>
      </w:pPr>
    </w:p>
    <w:bookmarkStart w:id="834" w:name="page835"/>
    <w:bookmarkEnd w:id="834"/>
    <w:p>
      <w:pPr>
        <w:ind w:left="1940" w:right="25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Party. As of the Effective Date, all exchanges of Confidential Information hereunder shall be governed by the provisions of this Agreement. In furtherance of the Receiving Party’s obligations under this Article 12, the Receiving Party shall protect the Disclosing Party’s Confidential Information to the same extent it protects its own Confidential Information of like kind and sensitivity. Without limiting the generality of this Section 12.1, the Receiving Party shall disclose any of the Disclosing Party’s Confidential Information only to those of its Affiliates, and to its and their respective directors, officers, employees, licensors, licensees, sublicensees, contractors, collaborators, consultants, investigators, attorneys and financial advisors (collectively, “Representatives”), in each case that have a need to know the Disclosing Party’s Confidential Information in order for the Receiving Party to exercise its rights and perform its obligations under this Agreement, and only if such Representatives have executed appropriate written agreements on confidentiality and non-use containing substantially similar terms regarding confidentiality and non-use as those set out in this Agreement or are otherwise bound by obligations of confidentiality effectively prohibiting the unauthorized use or disclosure of the Disclosing Party’s Confidential Information for the period required by this Article 12. The Receiving Party shall, to the extent legally permissible, (i) promptly furnish the Disclosing Party with written notice of any known unauthorized use or disclosure of any of the Disclosing Party’s Confidential Information by any Representatives of the Receiving Party,</w:t>
      </w:r>
    </w:p>
    <w:p>
      <w:pPr>
        <w:spacing w:after="0" w:line="8" w:lineRule="exact"/>
        <w:rPr>
          <w:sz w:val="20"/>
          <w:szCs w:val="20"/>
          <w:color w:val="auto"/>
        </w:rPr>
      </w:pPr>
    </w:p>
    <w:p>
      <w:pPr>
        <w:ind w:left="2140" w:hanging="207"/>
        <w:spacing w:after="0"/>
        <w:tabs>
          <w:tab w:leader="none" w:pos="2140" w:val="left"/>
        </w:tabs>
        <w:numPr>
          <w:ilvl w:val="0"/>
          <w:numId w:val="5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authorized by the Disclosing Party, be liable to the Disclosing Party for such unauthorized use or disclosure and</w:t>
      </w:r>
    </w:p>
    <w:p>
      <w:pPr>
        <w:spacing w:after="0" w:line="18" w:lineRule="exact"/>
        <w:rPr>
          <w:rFonts w:ascii="Times New Roman" w:cs="Times New Roman" w:eastAsia="Times New Roman" w:hAnsi="Times New Roman"/>
          <w:sz w:val="13"/>
          <w:szCs w:val="13"/>
          <w:color w:val="auto"/>
        </w:rPr>
      </w:pPr>
    </w:p>
    <w:p>
      <w:pPr>
        <w:ind w:left="1940" w:right="599" w:hanging="7"/>
        <w:spacing w:after="0" w:line="260" w:lineRule="auto"/>
        <w:tabs>
          <w:tab w:leader="none" w:pos="2185"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actions that the Disclosing Party reasonably requests in order to prevent any further unauthorized use or disclosure of the Disclosing Party’s Confidential Information.</w:t>
      </w:r>
    </w:p>
    <w:p>
      <w:pPr>
        <w:spacing w:after="0" w:line="56" w:lineRule="exact"/>
        <w:rPr>
          <w:sz w:val="20"/>
          <w:szCs w:val="20"/>
          <w:color w:val="auto"/>
        </w:rPr>
      </w:pPr>
    </w:p>
    <w:p>
      <w:pPr>
        <w:jc w:val="both"/>
        <w:ind w:left="1940" w:right="499"/>
        <w:spacing w:after="0" w:line="266" w:lineRule="auto"/>
        <w:rPr>
          <w:sz w:val="20"/>
          <w:szCs w:val="20"/>
          <w:color w:val="auto"/>
        </w:rPr>
      </w:pPr>
      <w:r>
        <w:rPr>
          <w:rFonts w:ascii="Times New Roman" w:cs="Times New Roman" w:eastAsia="Times New Roman" w:hAnsi="Times New Roman"/>
          <w:sz w:val="14"/>
          <w:szCs w:val="14"/>
          <w:color w:val="auto"/>
        </w:rPr>
        <w:t>For purposes of clarity and notwithstanding anything to the contrary in this Section 12.1, a Party owning Confidential Information under the terms of this Agreement that was produced by the other Party shall be deemed the “Disclosing Party” and the other Party the “Receiving Party” for purposes of this Article 12.</w:t>
      </w:r>
    </w:p>
    <w:p>
      <w:pPr>
        <w:spacing w:after="0" w:line="52" w:lineRule="exact"/>
        <w:rPr>
          <w:sz w:val="20"/>
          <w:szCs w:val="20"/>
          <w:color w:val="auto"/>
        </w:rPr>
      </w:pPr>
    </w:p>
    <w:p>
      <w:pPr>
        <w:ind w:left="1940" w:right="259"/>
        <w:spacing w:after="0" w:line="258" w:lineRule="auto"/>
        <w:rPr>
          <w:sz w:val="20"/>
          <w:szCs w:val="20"/>
          <w:color w:val="auto"/>
        </w:rPr>
      </w:pPr>
      <w:r>
        <w:rPr>
          <w:rFonts w:ascii="Times New Roman" w:cs="Times New Roman" w:eastAsia="Times New Roman" w:hAnsi="Times New Roman"/>
          <w:sz w:val="14"/>
          <w:szCs w:val="14"/>
          <w:color w:val="auto"/>
        </w:rPr>
        <w:t>Also for the purpose of clarity and notwithstanding anything to the contrary in this Section 12.1, either Party may use Jointly Developed Technology for any purpose subject to the obligations of confidentiality and other terms and conditions of this Article 12 respecting Confidential Information of the other Party, except that neither Party shall be under any obligation to return or destroy Jointly Developed Technology as may be provided in this Agreement respecting the other Party’s Confidential Information.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1" w:right="1440" w:bottom="1440" w:gutter="0" w:footer="0" w:header="0"/>
        </w:sectPr>
      </w:pPr>
    </w:p>
    <w:bookmarkStart w:id="835" w:name="page836"/>
    <w:bookmarkEnd w:id="835"/>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12.2.1</w:t>
      </w:r>
      <w:r>
        <w:rPr>
          <w:sz w:val="20"/>
          <w:szCs w:val="20"/>
          <w:color w:val="auto"/>
        </w:rPr>
        <w:tab/>
      </w:r>
      <w:r>
        <w:rPr>
          <w:rFonts w:ascii="Times New Roman" w:cs="Times New Roman" w:eastAsia="Times New Roman" w:hAnsi="Times New Roman"/>
          <w:sz w:val="13"/>
          <w:szCs w:val="13"/>
          <w:color w:val="auto"/>
        </w:rPr>
        <w:t>Confidential Information shall not include information that:</w:t>
      </w:r>
    </w:p>
    <w:p>
      <w:pPr>
        <w:spacing w:after="0" w:line="101" w:lineRule="exact"/>
        <w:rPr>
          <w:sz w:val="20"/>
          <w:szCs w:val="20"/>
          <w:color w:val="auto"/>
        </w:rPr>
      </w:pPr>
    </w:p>
    <w:p>
      <w:pPr>
        <w:ind w:left="3040" w:hanging="593"/>
        <w:spacing w:after="0"/>
        <w:tabs>
          <w:tab w:leader="none" w:pos="304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becomes publicly available through no breach of this Agreement by the Receiving Party;</w:t>
      </w:r>
    </w:p>
    <w:p>
      <w:pPr>
        <w:spacing w:after="0" w:line="101" w:lineRule="exact"/>
        <w:rPr>
          <w:rFonts w:ascii="Times New Roman" w:cs="Times New Roman" w:eastAsia="Times New Roman" w:hAnsi="Times New Roman"/>
          <w:sz w:val="14"/>
          <w:szCs w:val="14"/>
          <w:color w:val="auto"/>
        </w:rPr>
      </w:pPr>
    </w:p>
    <w:p>
      <w:pPr>
        <w:ind w:left="3040" w:right="699" w:hanging="593"/>
        <w:spacing w:after="0" w:line="282" w:lineRule="auto"/>
        <w:tabs>
          <w:tab w:leader="none" w:pos="304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known to the Receiving Party or its Affiliates prior to disclosure to any of them under this Agreement (as evidenced by the Receiving Party’s or its Affiliates’ written records); or</w:t>
      </w:r>
    </w:p>
    <w:p>
      <w:pPr>
        <w:spacing w:after="0" w:line="51" w:lineRule="exact"/>
        <w:rPr>
          <w:rFonts w:ascii="Times New Roman" w:cs="Times New Roman" w:eastAsia="Times New Roman" w:hAnsi="Times New Roman"/>
          <w:sz w:val="14"/>
          <w:szCs w:val="14"/>
          <w:color w:val="auto"/>
        </w:rPr>
      </w:pPr>
    </w:p>
    <w:p>
      <w:pPr>
        <w:ind w:left="3040" w:right="359" w:hanging="593"/>
        <w:spacing w:after="0" w:line="266" w:lineRule="auto"/>
        <w:tabs>
          <w:tab w:leader="none" w:pos="304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disclosed, revealed or otherwise made available to the Receiving Party (or its Affiliate) by a Third Party that, to the Receiving Party’s (or such Affiliate’s) knowledge, is under no obligation of confidentiality relating to such information; or</w:t>
      </w:r>
    </w:p>
    <w:p>
      <w:pPr>
        <w:spacing w:after="0" w:line="62" w:lineRule="exact"/>
        <w:rPr>
          <w:rFonts w:ascii="Times New Roman" w:cs="Times New Roman" w:eastAsia="Times New Roman" w:hAnsi="Times New Roman"/>
          <w:sz w:val="14"/>
          <w:szCs w:val="14"/>
          <w:color w:val="auto"/>
        </w:rPr>
      </w:pPr>
    </w:p>
    <w:p>
      <w:pPr>
        <w:ind w:left="3040" w:right="299" w:hanging="593"/>
        <w:spacing w:after="0" w:line="266" w:lineRule="auto"/>
        <w:tabs>
          <w:tab w:leader="none" w:pos="304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independently developed by or for the Receiving Party or its Affiliate without use of or reference to the Confidential Information of the other Party, as evidenced by the Receiving Party’s or its Affiliates’ written records; or</w:t>
      </w:r>
    </w:p>
    <w:p>
      <w:pPr>
        <w:spacing w:after="0" w:line="62" w:lineRule="exact"/>
        <w:rPr>
          <w:rFonts w:ascii="Times New Roman" w:cs="Times New Roman" w:eastAsia="Times New Roman" w:hAnsi="Times New Roman"/>
          <w:sz w:val="14"/>
          <w:szCs w:val="14"/>
          <w:color w:val="auto"/>
        </w:rPr>
      </w:pPr>
    </w:p>
    <w:p>
      <w:pPr>
        <w:ind w:left="3040" w:right="839" w:hanging="593"/>
        <w:spacing w:after="0" w:line="282" w:lineRule="auto"/>
        <w:tabs>
          <w:tab w:leader="none" w:pos="304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of a nature and disclosed in a manner that would indicate to a reasonable person that such information is publicly available.</w:t>
      </w:r>
    </w:p>
    <w:p>
      <w:pPr>
        <w:spacing w:after="0" w:line="52" w:lineRule="exact"/>
        <w:rPr>
          <w:sz w:val="20"/>
          <w:szCs w:val="20"/>
          <w:color w:val="auto"/>
        </w:rPr>
      </w:pPr>
    </w:p>
    <w:p>
      <w:pPr>
        <w:ind w:left="1940" w:right="23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u w:val="single" w:color="auto"/>
          <w:color w:val="auto"/>
        </w:rPr>
        <w:t>Compelled Disclosure</w:t>
      </w:r>
      <w:r>
        <w:rPr>
          <w:rFonts w:ascii="Times New Roman" w:cs="Times New Roman" w:eastAsia="Times New Roman" w:hAnsi="Times New Roman"/>
          <w:sz w:val="14"/>
          <w:szCs w:val="14"/>
          <w:color w:val="auto"/>
        </w:rPr>
        <w:t>. Excepting disclosures of a Party’s Confidential Information in applications for Regulatory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Approval as provided in Article 3 which disclosures are governed by Article 3, any Party may disclose Confidential Information to the extent it is required to be disclosed under any court order, securities regulation (including filings with the Securities Exchange Commission and stock exchanges, pursuant to Section 12.9.1), government enforcement action or Applicable Law (collectively “Compelled Disclosure”), provided that the Receiving Party, unless prohibited by the Compelled Disclosure, provides the Disclosing Party with (i) prompt notice of any Compelled Disclosure, including any orders or statutory provisions related thereto, no less than ten (10) Business Days before the date of the proposed disclosure, (ii) the text of the proposed disclosure a reasonable period (but no less than three (3) Business Days unless impossible) in advance of the anticipated date of disclosure, (iii) reasonable assistance to the Disclosing Party’s efforts to limit the scope of the proposed disclosure to such Confidential Information which is necessary to satisfy such Compelled Disclosure and (iv) reasonable assistance to protect the Disclosing Party’s Confidential Information that is subject to the Compelled Disclosure from disclosure to the public or to any other governmental or quasi-governmental body, in each instance the Disclosing Party shall respond to any request from the Receiving Party within three (3) Business Days of receipt thereof. The Disclosing Party shall bear any expenses of the Receiving Party in providing the assistance specified in this Section 12.3.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1" w:right="1440" w:bottom="1440" w:gutter="0" w:footer="0" w:header="0"/>
        </w:sectPr>
      </w:pPr>
    </w:p>
    <w:bookmarkStart w:id="836" w:name="page837"/>
    <w:bookmarkEnd w:id="836"/>
    <w:p>
      <w:pPr>
        <w:ind w:left="1940" w:right="29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12.4</w:t>
      </w:r>
      <w:r>
        <w:rPr>
          <w:sz w:val="20"/>
          <w:szCs w:val="20"/>
          <w:color w:val="auto"/>
        </w:rPr>
        <w:tab/>
      </w:r>
      <w:r>
        <w:rPr>
          <w:rFonts w:ascii="Times New Roman" w:cs="Times New Roman" w:eastAsia="Times New Roman" w:hAnsi="Times New Roman"/>
          <w:sz w:val="14"/>
          <w:szCs w:val="14"/>
          <w:u w:val="single" w:color="auto"/>
          <w:color w:val="auto"/>
        </w:rPr>
        <w:t>Comingled Disclosure</w:t>
      </w:r>
      <w:r>
        <w:rPr>
          <w:rFonts w:ascii="Times New Roman" w:cs="Times New Roman" w:eastAsia="Times New Roman" w:hAnsi="Times New Roman"/>
          <w:sz w:val="14"/>
          <w:szCs w:val="14"/>
          <w:color w:val="auto"/>
        </w:rPr>
        <w:t>. The Parties agree and acknowledge that the incorporation of one Party’s Confidential Information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or the comingling of both Parties’ Confidential Information into one or more documents does not transfer ownership of such Confidential Information to the drafter or drafters of such documents.</w:t>
      </w:r>
    </w:p>
    <w:p>
      <w:pPr>
        <w:spacing w:after="0" w:line="63" w:lineRule="exact"/>
        <w:rPr>
          <w:sz w:val="20"/>
          <w:szCs w:val="20"/>
          <w:color w:val="auto"/>
        </w:rPr>
      </w:pPr>
    </w:p>
    <w:p>
      <w:pPr>
        <w:jc w:val="both"/>
        <w:ind w:left="1940" w:right="41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u w:val="single" w:color="auto"/>
          <w:color w:val="auto"/>
        </w:rPr>
        <w:t>Term of Confidentiality Obligations</w:t>
      </w:r>
      <w:r>
        <w:rPr>
          <w:rFonts w:ascii="Times New Roman" w:cs="Times New Roman" w:eastAsia="Times New Roman" w:hAnsi="Times New Roman"/>
          <w:sz w:val="14"/>
          <w:szCs w:val="14"/>
          <w:color w:val="auto"/>
        </w:rPr>
        <w:t>. All of the Receiving Party’s obligations under Section 12.1 and Section 12.3 with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respect to the protection of the Disclosing Party’s Confidential Information shall survive for a period of seven (7) years following the expiration or termination of this Agreement for any reason.</w:t>
      </w:r>
    </w:p>
    <w:p>
      <w:pPr>
        <w:spacing w:after="0" w:line="63" w:lineRule="exact"/>
        <w:rPr>
          <w:sz w:val="20"/>
          <w:szCs w:val="20"/>
          <w:color w:val="auto"/>
        </w:rPr>
      </w:pPr>
    </w:p>
    <w:p>
      <w:pPr>
        <w:jc w:val="right"/>
        <w:ind w:left="1340" w:right="299"/>
        <w:spacing w:after="0" w:line="261" w:lineRule="auto"/>
        <w:rPr>
          <w:sz w:val="20"/>
          <w:szCs w:val="20"/>
          <w:color w:val="auto"/>
        </w:rPr>
      </w:pPr>
      <w:r>
        <w:rPr>
          <w:rFonts w:ascii="Times New Roman" w:cs="Times New Roman" w:eastAsia="Times New Roman" w:hAnsi="Times New Roman"/>
          <w:sz w:val="14"/>
          <w:szCs w:val="14"/>
          <w:color w:val="auto"/>
        </w:rPr>
        <w:t xml:space="preserve">12.6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Without prejudice to Section 12.3, no public announcement or press release concerning the existence, terms or subject matter of this Agreement shall be made, either directly or indirectly, by any Party. Notwithstanding the foregoing,</w:t>
      </w:r>
    </w:p>
    <w:p>
      <w:pPr>
        <w:jc w:val="both"/>
        <w:ind w:left="1940" w:right="459" w:hanging="7"/>
        <w:spacing w:after="0" w:line="255" w:lineRule="auto"/>
        <w:tabs>
          <w:tab w:leader="none" w:pos="2107" w:val="left"/>
        </w:tabs>
        <w:numPr>
          <w:ilvl w:val="0"/>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Party can continue to reference any previously approved announcements and press releases made prior to the Effective Date, (ii) either Party can refer to the Agreement to the extent that it has been made public, including in SEC filings, other public disclosures, and otherwise as allowed under this Section 12.</w:t>
      </w:r>
    </w:p>
    <w:p>
      <w:pPr>
        <w:spacing w:after="0" w:line="70" w:lineRule="exact"/>
        <w:rPr>
          <w:sz w:val="20"/>
          <w:szCs w:val="20"/>
          <w:color w:val="auto"/>
        </w:rPr>
      </w:pPr>
    </w:p>
    <w:p>
      <w:pPr>
        <w:ind w:left="1940" w:right="31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4"/>
          <w:szCs w:val="14"/>
          <w:u w:val="single" w:color="auto"/>
          <w:color w:val="auto"/>
        </w:rPr>
        <w:t>Non-Use of Names</w:t>
      </w:r>
      <w:r>
        <w:rPr>
          <w:rFonts w:ascii="Times New Roman" w:cs="Times New Roman" w:eastAsia="Times New Roman" w:hAnsi="Times New Roman"/>
          <w:sz w:val="14"/>
          <w:szCs w:val="14"/>
          <w:color w:val="auto"/>
        </w:rPr>
        <w:t>. Except as may be otherwise expressly provided in this Agreement, no Party (or its Affiliates) shall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use, either directly or indirectly, the Trademarks of the other Party (or its Affiliates), or the name of the other Party or its Affiliates, or any of its or their respective officers, employees or board members in any publicity, or any marketing advertising documents (or other disclosures) unless (i) such use is consistent with, and permitted under, the Development Plan or Commercialization Plan, or (ii) a copy or transcript of the proposed disclosure, including the manner thereof, is submitted to and approved in advance in writing by the other Party (in its sole discretion).</w:t>
      </w:r>
    </w:p>
    <w:p>
      <w:pPr>
        <w:spacing w:after="0" w:line="71" w:lineRule="exact"/>
        <w:rPr>
          <w:sz w:val="20"/>
          <w:szCs w:val="20"/>
          <w:color w:val="auto"/>
        </w:rPr>
      </w:pPr>
    </w:p>
    <w:p>
      <w:pPr>
        <w:ind w:left="1940" w:right="41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12.8</w:t>
      </w:r>
      <w:r>
        <w:rPr>
          <w:sz w:val="20"/>
          <w:szCs w:val="20"/>
          <w:color w:val="auto"/>
        </w:rPr>
        <w:tab/>
      </w:r>
      <w:r>
        <w:rPr>
          <w:rFonts w:ascii="Times New Roman" w:cs="Times New Roman" w:eastAsia="Times New Roman" w:hAnsi="Times New Roman"/>
          <w:sz w:val="14"/>
          <w:szCs w:val="14"/>
          <w:u w:val="single" w:color="auto"/>
          <w:color w:val="auto"/>
        </w:rPr>
        <w:t>Publications</w:t>
      </w:r>
      <w:r>
        <w:rPr>
          <w:rFonts w:ascii="Times New Roman" w:cs="Times New Roman" w:eastAsia="Times New Roman" w:hAnsi="Times New Roman"/>
          <w:sz w:val="14"/>
          <w:szCs w:val="14"/>
          <w:color w:val="auto"/>
        </w:rPr>
        <w:t>. Prior to Regulatory Approval of the BTO CDx for the Intended Use, no Party, its Affiliates or Third Party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contractors shall submit a publication to a journal, paper, magazine or any other such similar disclosure relating to the Data, Development, or Commercialization of the BTO CDx’s without the prior written agreement of the other Party, which permission shall not be unreasonably withheld. The Party desiring to publish such proposed publication shall submit a copy of the same to the other Party at least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0" w:right="1440" w:bottom="1440" w:gutter="0" w:footer="0" w:header="0"/>
        </w:sectPr>
      </w:pPr>
    </w:p>
    <w:bookmarkStart w:id="837" w:name="page838"/>
    <w:bookmarkEnd w:id="837"/>
    <w:p>
      <w:pPr>
        <w:ind w:left="1940" w:right="239" w:hanging="7"/>
        <w:spacing w:after="0" w:line="251" w:lineRule="auto"/>
        <w:tabs>
          <w:tab w:leader="none" w:pos="2278" w:val="left"/>
        </w:tabs>
        <w:numPr>
          <w:ilvl w:val="0"/>
          <w:numId w:val="6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prior to submission of the same to any publisher or reviewer. If the non-publishing Party’s Confidential Information or Development Technology is disclosed in the draft, at the written request of the non-publishing Party, the publishing Party shall remove such Confidential Information or Development Technology or, at the option of the non-publishing Party, delay the submission of such proposed publication for [***] after receipt of the non-publishing Party’s written request. If a [***] delay is requested, (i) the publishing Party may use this time to remove the non-publishing Party’s Confidential Information and Development Technology, and then the publishing Party must then seek the permission of the non-publishing Party before submission; or (ii) the non-publishing Party may provide suggested edits to the publishing Party, provided, however, the publishing Party must ultimately seek the permission of the non-publishing Party before submission. If the non-publishing Party continues to deny permission after the 60-day delay period, the publishing Party may not submit the publication. If the publishing Party does not receive the non-publishing Party’s written request within the [***] period of this Section 12.8, the publishing Party may submit or publish the proposed draft without further delay. The non-publishing Party’s contribution shall be acknowledged in any publication by co-authorship or acknowledgment, in accordance with International Committee of Medical Journal Editors guidelines, and the publishing Party shall reasonably consider any comments that the other Party may have with respect to the proposed publication. The restrictions set forth in this Section 12.8 are not applicable to Janssen’s publications that solely relate to the Janssen Drug or any Clinical Data associated therewith. Nothing in this Agreement shall be construed to prevent Janssen from publishing on the Janssen Drug, Janssen Data, any assay Controlled by Janssen, or publicly available information concerning any assay respecting the Janssen Drug, or to require Janssen to give notice to BTO of such publication, provided that in no event will any such publication include BTO Confidential Information without BTO’s prior written permission.</w:t>
      </w:r>
    </w:p>
    <w:p>
      <w:pPr>
        <w:spacing w:after="0" w:line="85"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12.9</w:t>
      </w:r>
      <w:r>
        <w:rPr>
          <w:sz w:val="20"/>
          <w:szCs w:val="20"/>
          <w:color w:val="auto"/>
        </w:rPr>
        <w:tab/>
      </w:r>
      <w:r>
        <w:rPr>
          <w:rFonts w:ascii="Times New Roman" w:cs="Times New Roman" w:eastAsia="Times New Roman" w:hAnsi="Times New Roman"/>
          <w:sz w:val="13"/>
          <w:szCs w:val="13"/>
          <w:u w:val="single" w:color="auto"/>
          <w:color w:val="auto"/>
        </w:rPr>
        <w:t>SEC Filings</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440" w:right="259" w:hanging="503"/>
        <w:spacing w:after="0" w:line="258" w:lineRule="auto"/>
        <w:tabs>
          <w:tab w:leader="none" w:pos="2420" w:val="left"/>
        </w:tabs>
        <w:rPr>
          <w:sz w:val="20"/>
          <w:szCs w:val="20"/>
          <w:color w:val="auto"/>
        </w:rPr>
      </w:pPr>
      <w:r>
        <w:rPr>
          <w:rFonts w:ascii="Times New Roman" w:cs="Times New Roman" w:eastAsia="Times New Roman" w:hAnsi="Times New Roman"/>
          <w:sz w:val="14"/>
          <w:szCs w:val="14"/>
          <w:color w:val="auto"/>
        </w:rPr>
        <w:t>12.9.1</w:t>
        <w:tab/>
        <w:t>A Party may disclose this Agreement and its terms, and material developments or material information generated under this Agreement, in securities filings with the U.S. Securities and Exchange Commission (or equivalent foreign agency) (“SEC”) to the extent required by Applicable Laws regulating securities, after complying with the procedure set forth in this Section 12.9.1. The Party seeking to make such disclosure shall prepare a draft confidential treatment request and proposed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2" w:right="1440" w:bottom="1440" w:gutter="0" w:footer="0" w:header="0"/>
        </w:sectPr>
      </w:pPr>
    </w:p>
    <w:bookmarkStart w:id="838" w:name="page839"/>
    <w:bookmarkEnd w:id="838"/>
    <w:p>
      <w:pPr>
        <w:ind w:left="244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redacted version of this Agreement to request confidential treatment therefor, and the other Party shall promptly (and in any event, [***] after receipt of such confidential treatment request and proposed redactions) give its input in a reasonable manner in order to allow the Party seeking disclosure to file its request within the timelines prescribed by applicable SEC regulations. The Party seeking disclosure shall redact any portions of this Agreement reasonably requested by the other Party to be redacted prior to submitting such redacted version to the SEC. The Party seeking such disclosure shall seek to obtain confidential treatment of such agreement from the SEC as represented by such redacted version of this Agreement.</w:t>
      </w:r>
    </w:p>
    <w:p>
      <w:pPr>
        <w:spacing w:after="0" w:line="72" w:lineRule="exact"/>
        <w:rPr>
          <w:sz w:val="20"/>
          <w:szCs w:val="20"/>
          <w:color w:val="auto"/>
        </w:rPr>
      </w:pPr>
    </w:p>
    <w:p>
      <w:pPr>
        <w:ind w:left="1940" w:right="31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12.10</w:t>
      </w:r>
      <w:r>
        <w:rPr>
          <w:sz w:val="20"/>
          <w:szCs w:val="20"/>
          <w:color w:val="auto"/>
        </w:rPr>
        <w:tab/>
      </w:r>
      <w:r>
        <w:rPr>
          <w:rFonts w:ascii="Times New Roman" w:cs="Times New Roman" w:eastAsia="Times New Roman" w:hAnsi="Times New Roman"/>
          <w:sz w:val="14"/>
          <w:szCs w:val="14"/>
          <w:color w:val="auto"/>
        </w:rPr>
        <w:t>Further, each Party acknowledges that the other Party may be required by Applicable Laws, or may be required by the listing rules of any exchange on which the other Party’s or its Affiliate’s securities are traded, to make public disclosures (including in filings with the SEC or other governmental authority) of certain material developments or material information generated under this Agreement or any ancillary agreement and, without prejudice to Sections 12.1 through 12.3 as they apply to the Confidential Information of either Party, agrees that each Party may make such disclosures as required by Applicable Laws or such listing rules; provided that the Party seeking such disclosure shall provide the other Party with a copy of the proposed text of such disclosure sufficiently in advance of the scheduled release to afford such other Party a reasonable opportunity to review and comment thereon.</w:t>
      </w:r>
    </w:p>
    <w:p>
      <w:pPr>
        <w:spacing w:after="0" w:line="75" w:lineRule="exact"/>
        <w:rPr>
          <w:sz w:val="20"/>
          <w:szCs w:val="20"/>
          <w:color w:val="auto"/>
        </w:rPr>
      </w:pPr>
    </w:p>
    <w:p>
      <w:pPr>
        <w:ind w:left="1940" w:right="25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12.11</w:t>
      </w:r>
      <w:r>
        <w:rPr>
          <w:sz w:val="20"/>
          <w:szCs w:val="20"/>
          <w:color w:val="auto"/>
        </w:rPr>
        <w:tab/>
      </w:r>
      <w:r>
        <w:rPr>
          <w:rFonts w:ascii="Times New Roman" w:cs="Times New Roman" w:eastAsia="Times New Roman" w:hAnsi="Times New Roman"/>
          <w:sz w:val="14"/>
          <w:szCs w:val="14"/>
          <w:color w:val="auto"/>
        </w:rPr>
        <w:t xml:space="preserve">Notwithstanding anything to the contrary in this Agreement, either Party shall be permitted to disclose, on a confidential basis, the text and terms of this Agreement and the other Party’s identity in connection therewith, to actual or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potential acquirers or collaboration partners, and their respective consultants, auditors, attorneys and financial advisors, in each case, solely for purposes of due diligence or another legitimate business need, upon condition that (i) any such persons or entities are advised of the confidential nature of such information and are bound to the Party making such disclosure by obligations of confidentiality substantially equivalent to the terms of this Agreement except as to the duration thereof, which must be no less than three years after the date of such disclosure, and (ii) all confidential or proprietary scientific, technical or clinical information of the non-disclosing Party shall first be redacted from the copy of this Agreement being disclosed.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1" w:right="1440" w:bottom="1440" w:gutter="0" w:footer="0" w:header="0"/>
        </w:sectPr>
      </w:pPr>
    </w:p>
    <w:bookmarkStart w:id="839" w:name="page840"/>
    <w:bookmarkEnd w:id="839"/>
    <w:p>
      <w:pPr>
        <w:ind w:left="2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4"/>
          <w:szCs w:val="14"/>
          <w:b w:val="1"/>
          <w:bCs w:val="1"/>
          <w:color w:val="auto"/>
        </w:rPr>
        <w:t>TERM AND TERMINATION</w:t>
      </w:r>
    </w:p>
    <w:p>
      <w:pPr>
        <w:spacing w:after="0" w:line="103" w:lineRule="exact"/>
        <w:rPr>
          <w:sz w:val="20"/>
          <w:szCs w:val="20"/>
          <w:color w:val="auto"/>
        </w:rPr>
      </w:pPr>
    </w:p>
    <w:p>
      <w:pPr>
        <w:ind w:left="1940" w:right="25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This Agreement shall become effective as of the Effective Date. Unless earlier terminated pursuant to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provisions of this Article 13, this Agreement shall remain in full force and effect until such time as Janssen, its Affiliates or sublicensees ceases development and Commercialization of the Janssen Drug for the Clinical Treatment (the “Term”). For clarity, termination of this Agreement does not in itself terminate any other agreements between the Parties respecting related subject matter. Termination of any such other agreements will be in accordance with the terms of those agreements.</w:t>
      </w:r>
    </w:p>
    <w:p>
      <w:pPr>
        <w:spacing w:after="0" w:line="71" w:lineRule="exact"/>
        <w:rPr>
          <w:sz w:val="20"/>
          <w:szCs w:val="20"/>
          <w:color w:val="auto"/>
        </w:rPr>
      </w:pPr>
    </w:p>
    <w:p>
      <w:pPr>
        <w:ind w:left="1940" w:right="23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u w:val="single" w:color="auto"/>
          <w:color w:val="auto"/>
        </w:rPr>
        <w:t xml:space="preserve">Termination of This Agreement Prior to Expiration of the Term. </w:t>
      </w:r>
      <w:r>
        <w:rPr>
          <w:rFonts w:ascii="Times New Roman" w:cs="Times New Roman" w:eastAsia="Times New Roman" w:hAnsi="Times New Roman"/>
          <w:sz w:val="14"/>
          <w:szCs w:val="14"/>
          <w:color w:val="auto"/>
        </w:rPr>
        <w:t>This Agreement may be terminated prior to the end of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Term in the circumstances set forth in any of Sections 13.2.2 through 13.2.5. The Parties shall provide written notices of such termination pursuant to the obligations of Section 14.15.</w:t>
      </w:r>
    </w:p>
    <w:p>
      <w:pPr>
        <w:spacing w:after="0" w:line="63"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4"/>
          <w:szCs w:val="14"/>
          <w:color w:val="auto"/>
        </w:rPr>
        <w:t>13.2.1</w:t>
      </w:r>
      <w:r>
        <w:rPr>
          <w:sz w:val="20"/>
          <w:szCs w:val="20"/>
          <w:color w:val="auto"/>
        </w:rPr>
        <w:tab/>
      </w:r>
      <w:r>
        <w:rPr>
          <w:rFonts w:ascii="Times New Roman" w:cs="Times New Roman" w:eastAsia="Times New Roman" w:hAnsi="Times New Roman"/>
          <w:sz w:val="13"/>
          <w:szCs w:val="13"/>
          <w:color w:val="auto"/>
        </w:rPr>
        <w:t>Intentionally Omitted.</w:t>
      </w:r>
    </w:p>
    <w:p>
      <w:pPr>
        <w:spacing w:after="0" w:line="101" w:lineRule="exact"/>
        <w:rPr>
          <w:sz w:val="20"/>
          <w:szCs w:val="20"/>
          <w:color w:val="auto"/>
        </w:rPr>
      </w:pPr>
    </w:p>
    <w:p>
      <w:pPr>
        <w:ind w:left="2440" w:right="27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t>13.2.2</w:t>
      </w:r>
      <w:r>
        <w:rPr>
          <w:sz w:val="20"/>
          <w:szCs w:val="20"/>
          <w:color w:val="auto"/>
        </w:rPr>
        <w:tab/>
      </w:r>
      <w:r>
        <w:rPr>
          <w:rFonts w:ascii="Times New Roman" w:cs="Times New Roman" w:eastAsia="Times New Roman" w:hAnsi="Times New Roman"/>
          <w:sz w:val="14"/>
          <w:szCs w:val="14"/>
          <w:u w:val="single" w:color="auto"/>
          <w:color w:val="auto"/>
        </w:rPr>
        <w:t>Termination for Material Breach</w:t>
      </w:r>
      <w:r>
        <w:rPr>
          <w:rFonts w:ascii="Times New Roman" w:cs="Times New Roman" w:eastAsia="Times New Roman" w:hAnsi="Times New Roman"/>
          <w:sz w:val="14"/>
          <w:szCs w:val="14"/>
          <w:color w:val="auto"/>
        </w:rPr>
        <w:t>. If either Party commits a material breach or default of any of its obligations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hereunder (such Party, the “Breaching Party”), the other Party hereto (the “Non-Breaching Party”) may give the Breaching Party written notice of such material breach or default. Such written notice shall clearly identify the applicable breach and the Non-Breaching Party’s intention to terminate this Agreement. If the Breaching Party fails to cure such breach or default within [***] after the date of the Non-Breaching Party’s written notice thereof, this Agreement may be terminated by the Non-Breaching Party’s second written notice to the Breaching Party sent after the end of the [***] cure period. Such second written notice terminates this Agreement upon the Breaching Party’s receipt of such second written. If the Breaching Party indicates by written notice that it will be unable or is unwilling to cure the breach, this Agreement may be terminated by Non-Breaching Party’s second written notice, which is effective to terminate this Agreement immediately upon the Breaching Party’s receipt thereof.</w:t>
      </w:r>
    </w:p>
    <w:p>
      <w:pPr>
        <w:spacing w:after="0" w:line="74" w:lineRule="exact"/>
        <w:rPr>
          <w:sz w:val="20"/>
          <w:szCs w:val="20"/>
          <w:color w:val="auto"/>
        </w:rPr>
      </w:pPr>
    </w:p>
    <w:p>
      <w:pPr>
        <w:jc w:val="both"/>
        <w:ind w:left="2440" w:right="319" w:hanging="503"/>
        <w:spacing w:after="0" w:line="261" w:lineRule="auto"/>
        <w:tabs>
          <w:tab w:leader="none" w:pos="2420" w:val="left"/>
        </w:tabs>
        <w:rPr>
          <w:sz w:val="20"/>
          <w:szCs w:val="20"/>
          <w:color w:val="auto"/>
        </w:rPr>
      </w:pPr>
      <w:r>
        <w:rPr>
          <w:rFonts w:ascii="Times New Roman" w:cs="Times New Roman" w:eastAsia="Times New Roman" w:hAnsi="Times New Roman"/>
          <w:sz w:val="14"/>
          <w:szCs w:val="14"/>
          <w:color w:val="auto"/>
        </w:rPr>
        <w:t>13.2.3</w:t>
      </w:r>
      <w:r>
        <w:rPr>
          <w:sz w:val="20"/>
          <w:szCs w:val="20"/>
          <w:color w:val="auto"/>
        </w:rPr>
        <w:tab/>
      </w:r>
      <w:r>
        <w:rPr>
          <w:rFonts w:ascii="Times New Roman" w:cs="Times New Roman" w:eastAsia="Times New Roman" w:hAnsi="Times New Roman"/>
          <w:sz w:val="14"/>
          <w:szCs w:val="14"/>
          <w:u w:val="single" w:color="auto"/>
          <w:color w:val="auto"/>
        </w:rPr>
        <w:t>Janssen Termination for Failure of Continuous Supply</w:t>
      </w:r>
      <w:r>
        <w:rPr>
          <w:rFonts w:ascii="Times New Roman" w:cs="Times New Roman" w:eastAsia="Times New Roman" w:hAnsi="Times New Roman"/>
          <w:sz w:val="14"/>
          <w:szCs w:val="14"/>
          <w:color w:val="auto"/>
        </w:rPr>
        <w:t>. If BTO commits a Failure of Continuous Supply, during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CRE Period, whether or not it has satisfied Commercially Reasonable Efforts as required under Sections 5.3 and 6.1.2, Janssen may give BTO written notice of such Failure of Continuous Supply. Such written notice shall clearly identify the basis for the Failure of Continuous Supply and Janssen’s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39" w:right="1440" w:bottom="1440" w:gutter="0" w:footer="0" w:header="0"/>
        </w:sectPr>
      </w:pPr>
    </w:p>
    <w:bookmarkStart w:id="840" w:name="page841"/>
    <w:bookmarkEnd w:id="840"/>
    <w:p>
      <w:pPr>
        <w:ind w:left="244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intention to terminate this Agreement. If BTO fails to cure such Failure of Continuous Supply within [***] after the date of Janssen’s written notice thereof, this Agreement may be terminated by Janssen’s second written notice to BTO sent after the end of the [***] cure period. Such second written notice terminates this Agreement upon BTO’s receipt of such second written. If BTO indicates by written notice at any time that it will be unable or is unwilling to cure the Failure of Continuous Supply, this Agreement may be terminated by Janssen’s second written notice, which is effective to terminate this Agreement immediately upon BTO’s receipt thereof.</w:t>
      </w:r>
    </w:p>
    <w:p>
      <w:pPr>
        <w:spacing w:after="0" w:line="71" w:lineRule="exact"/>
        <w:rPr>
          <w:sz w:val="20"/>
          <w:szCs w:val="20"/>
          <w:color w:val="auto"/>
        </w:rPr>
      </w:pPr>
    </w:p>
    <w:p>
      <w:pPr>
        <w:ind w:left="2440" w:right="27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t>13.2.4</w:t>
      </w:r>
      <w:r>
        <w:rPr>
          <w:sz w:val="20"/>
          <w:szCs w:val="20"/>
          <w:color w:val="auto"/>
        </w:rPr>
        <w:tab/>
      </w:r>
      <w:r>
        <w:rPr>
          <w:rFonts w:ascii="Times New Roman" w:cs="Times New Roman" w:eastAsia="Times New Roman" w:hAnsi="Times New Roman"/>
          <w:sz w:val="14"/>
          <w:szCs w:val="14"/>
          <w:u w:val="single" w:color="auto"/>
          <w:color w:val="auto"/>
        </w:rPr>
        <w:t>Janssen Termination for Failure to Achieve a Milestone</w:t>
      </w:r>
      <w:r>
        <w:rPr>
          <w:rFonts w:ascii="Times New Roman" w:cs="Times New Roman" w:eastAsia="Times New Roman" w:hAnsi="Times New Roman"/>
          <w:sz w:val="14"/>
          <w:szCs w:val="14"/>
          <w:color w:val="auto"/>
        </w:rPr>
        <w:t>. If BTO commits a Failure to Achieve a Milestone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during the CRE Period whether or not it has satisfied Commercially Reasonable Efforts as required under Sections 5.3 and 6.1.2, Janssen may give BTO written notice of such Failure of Achieve a Milestone. Such written notice shall clearly identify the basis for the Failure to Achieve a Milestone and Janssen’s intention to terminate this Agreement. If BTO fails to cure such Failure to Achieve a Milestone within [***] after the date of Janssen’s written notice thereof, this Agreement may be terminated by Janssen’s second written notice to BTO sent after the end of the [***] cure period. Such second written notice terminates this Agreement upon BTO’s receipt of such second written. If BTO indicates by written notice at any time that it will be unable or is unwilling to cure the Failure to Achieve a Milestone, this Agreement may be terminated by Janssen’s second written notice, which is effective to terminate this Agreement immediately upon BTO’s receipt thereof.</w:t>
      </w:r>
    </w:p>
    <w:p>
      <w:pPr>
        <w:spacing w:after="0" w:line="76" w:lineRule="exact"/>
        <w:rPr>
          <w:sz w:val="20"/>
          <w:szCs w:val="20"/>
          <w:color w:val="auto"/>
        </w:rPr>
      </w:pPr>
    </w:p>
    <w:p>
      <w:pPr>
        <w:ind w:left="2440" w:right="259" w:hanging="503"/>
        <w:spacing w:after="0" w:line="253" w:lineRule="auto"/>
        <w:tabs>
          <w:tab w:leader="none" w:pos="2420" w:val="left"/>
        </w:tabs>
        <w:rPr>
          <w:sz w:val="20"/>
          <w:szCs w:val="20"/>
          <w:color w:val="auto"/>
        </w:rPr>
      </w:pPr>
      <w:r>
        <w:rPr>
          <w:rFonts w:ascii="Times New Roman" w:cs="Times New Roman" w:eastAsia="Times New Roman" w:hAnsi="Times New Roman"/>
          <w:sz w:val="14"/>
          <w:szCs w:val="14"/>
          <w:color w:val="auto"/>
        </w:rPr>
        <w:t>13.2.5</w:t>
      </w:r>
      <w:r>
        <w:rPr>
          <w:sz w:val="20"/>
          <w:szCs w:val="20"/>
          <w:color w:val="auto"/>
        </w:rPr>
        <w:tab/>
      </w:r>
      <w:r>
        <w:rPr>
          <w:rFonts w:ascii="Times New Roman" w:cs="Times New Roman" w:eastAsia="Times New Roman" w:hAnsi="Times New Roman"/>
          <w:sz w:val="14"/>
          <w:szCs w:val="14"/>
          <w:u w:val="single" w:color="auto"/>
          <w:color w:val="auto"/>
        </w:rPr>
        <w:t>Termination for Insolvency</w:t>
      </w:r>
      <w:r>
        <w:rPr>
          <w:rFonts w:ascii="Times New Roman" w:cs="Times New Roman" w:eastAsia="Times New Roman" w:hAnsi="Times New Roman"/>
          <w:sz w:val="14"/>
          <w:szCs w:val="14"/>
          <w:color w:val="auto"/>
        </w:rPr>
        <w:t>. Each Party shall have the right to terminate this Agreement, immediately by giving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written notice of termination to the other Party, if the other Party files a voluntary petition, or if an involuntary petition is granted in respect of the other Party and appeal proceedings are not commenced within 10 Business Days from the date of such petition or such petition is not discharged within sixty (60) days of the filing thereof under the bankruptcy provisions of Applicable Law, or the other Party is declared insolvent, undergoes voluntary or involuntary dissolution, or makes an assignment for the benefit of its creditors, or is unable to pay its debts as they come due, or suffers the appointment of a receiver or trustee over all, or substantially all, of its assets or properties (all such conditions are termed “Insolvency”). In the event of Insolvency, the provisions of</w:t>
      </w:r>
    </w:p>
    <w:p>
      <w:pPr>
        <w:ind w:left="2440"/>
        <w:spacing w:after="0"/>
        <w:rPr>
          <w:sz w:val="20"/>
          <w:szCs w:val="20"/>
          <w:color w:val="auto"/>
        </w:rPr>
      </w:pPr>
      <w:r>
        <w:rPr>
          <w:rFonts w:ascii="Times New Roman" w:cs="Times New Roman" w:eastAsia="Times New Roman" w:hAnsi="Times New Roman"/>
          <w:sz w:val="14"/>
          <w:szCs w:val="14"/>
          <w:color w:val="auto"/>
        </w:rPr>
        <w:t>Section 14.18 shall apply whether or not this Agreement is terminated under this Section 13.2.4.</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41" w:right="1440" w:bottom="1440" w:gutter="0" w:footer="0" w:header="0"/>
        </w:sectPr>
      </w:pPr>
    </w:p>
    <w:bookmarkStart w:id="841" w:name="page842"/>
    <w:bookmarkEnd w:id="841"/>
    <w:p>
      <w:pPr>
        <w:ind w:left="2440" w:right="29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13.2.6</w:t>
      </w:r>
      <w:r>
        <w:rPr>
          <w:sz w:val="20"/>
          <w:szCs w:val="20"/>
          <w:color w:val="auto"/>
        </w:rPr>
        <w:tab/>
      </w:r>
      <w:r>
        <w:rPr>
          <w:rFonts w:ascii="Times New Roman" w:cs="Times New Roman" w:eastAsia="Times New Roman" w:hAnsi="Times New Roman"/>
          <w:sz w:val="14"/>
          <w:szCs w:val="14"/>
          <w:u w:val="single" w:color="auto"/>
          <w:color w:val="auto"/>
        </w:rPr>
        <w:t>Termination for Reasons Relating to the Janssen Drug</w:t>
      </w:r>
      <w:r>
        <w:rPr>
          <w:rFonts w:ascii="Times New Roman" w:cs="Times New Roman" w:eastAsia="Times New Roman" w:hAnsi="Times New Roman"/>
          <w:sz w:val="14"/>
          <w:szCs w:val="14"/>
          <w:color w:val="auto"/>
        </w:rPr>
        <w:t>. If (i) Janssen determines that the efficacy or safety of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Janssen Drug for the Clinical Treatment is insufficient and will not meet clinical or market needs, (ii) it is unlikely that there will be a sufficient market for the Janssen Drug (as documented by Janssen by written evidence) for the Indication, (iii) if there is adverse Regulatory Authority activity concerning the Janssen Drug used for the Clinical Treatment, (iv) Janssen voluntarily terminates the Clinical Trial for the Indication,</w:t>
      </w:r>
    </w:p>
    <w:p>
      <w:pPr>
        <w:spacing w:after="0" w:line="2" w:lineRule="exact"/>
        <w:rPr>
          <w:sz w:val="20"/>
          <w:szCs w:val="20"/>
          <w:color w:val="auto"/>
        </w:rPr>
      </w:pPr>
    </w:p>
    <w:p>
      <w:pPr>
        <w:ind w:left="2440" w:right="299" w:hanging="3"/>
        <w:spacing w:after="0" w:line="252" w:lineRule="auto"/>
        <w:tabs>
          <w:tab w:leader="none" w:pos="2638"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pauses the Clinical Trial for the Indication due to the expiration or termination of the Prior Collaboration Agreement before the end of the Clinical Trial, or (vi) if the Regulatory Authority determines that the testing of a patient with the BTO CDx is not required prior to or coterminous with prescribing the Janssen Drug, then Janssen may terminate this Agreement by providing written notice thereof to BTO. Such termination shall be effective [***] after BTO’s receipt of such notice.</w:t>
      </w:r>
    </w:p>
    <w:p>
      <w:pPr>
        <w:spacing w:after="0" w:line="74" w:lineRule="exact"/>
        <w:rPr>
          <w:sz w:val="20"/>
          <w:szCs w:val="20"/>
          <w:color w:val="auto"/>
        </w:rPr>
      </w:pPr>
    </w:p>
    <w:p>
      <w:pPr>
        <w:ind w:left="2440" w:right="41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13.2.7</w:t>
      </w:r>
      <w:r>
        <w:rPr>
          <w:sz w:val="20"/>
          <w:szCs w:val="20"/>
          <w:color w:val="auto"/>
        </w:rPr>
        <w:tab/>
      </w:r>
      <w:r>
        <w:rPr>
          <w:rFonts w:ascii="Times New Roman" w:cs="Times New Roman" w:eastAsia="Times New Roman" w:hAnsi="Times New Roman"/>
          <w:sz w:val="14"/>
          <w:szCs w:val="14"/>
          <w:u w:val="single" w:color="auto"/>
          <w:color w:val="auto"/>
        </w:rPr>
        <w:t>Termination for Failure to Amend the Prior Collaboration Agreement</w:t>
      </w:r>
      <w:r>
        <w:rPr>
          <w:rFonts w:ascii="Times New Roman" w:cs="Times New Roman" w:eastAsia="Times New Roman" w:hAnsi="Times New Roman"/>
          <w:sz w:val="14"/>
          <w:szCs w:val="14"/>
          <w:color w:val="auto"/>
        </w:rPr>
        <w:t>. If an amendment to the Prior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Collaboration Agreement extending the term thereof is not executed by the parties thereto prior to October 31, 2025, Janssen may terminate this Agreement on ten (10) days’ prior notice to BTO.</w:t>
      </w:r>
    </w:p>
    <w:p>
      <w:pPr>
        <w:spacing w:after="0" w:line="63" w:lineRule="exact"/>
        <w:rPr>
          <w:sz w:val="20"/>
          <w:szCs w:val="20"/>
          <w:color w:val="auto"/>
        </w:rPr>
      </w:pPr>
    </w:p>
    <w:p>
      <w:pPr>
        <w:ind w:left="2440" w:right="239" w:hanging="503"/>
        <w:spacing w:after="0" w:line="254" w:lineRule="auto"/>
        <w:tabs>
          <w:tab w:leader="none" w:pos="2420" w:val="left"/>
        </w:tabs>
        <w:rPr>
          <w:sz w:val="20"/>
          <w:szCs w:val="20"/>
          <w:color w:val="auto"/>
        </w:rPr>
      </w:pPr>
      <w:r>
        <w:rPr>
          <w:rFonts w:ascii="Times New Roman" w:cs="Times New Roman" w:eastAsia="Times New Roman" w:hAnsi="Times New Roman"/>
          <w:sz w:val="14"/>
          <w:szCs w:val="14"/>
          <w:color w:val="auto"/>
        </w:rPr>
        <w:t>13.2.8</w:t>
      </w:r>
      <w:r>
        <w:rPr>
          <w:sz w:val="20"/>
          <w:szCs w:val="20"/>
          <w:color w:val="auto"/>
        </w:rPr>
        <w:tab/>
      </w:r>
      <w:r>
        <w:rPr>
          <w:rFonts w:ascii="Times New Roman" w:cs="Times New Roman" w:eastAsia="Times New Roman" w:hAnsi="Times New Roman"/>
          <w:sz w:val="14"/>
          <w:szCs w:val="14"/>
          <w:u w:val="single" w:color="auto"/>
          <w:color w:val="auto"/>
        </w:rPr>
        <w:t>Termination for Reasons Relating to Lawsuits</w:t>
      </w:r>
      <w:r>
        <w:rPr>
          <w:rFonts w:ascii="Times New Roman" w:cs="Times New Roman" w:eastAsia="Times New Roman" w:hAnsi="Times New Roman"/>
          <w:sz w:val="14"/>
          <w:szCs w:val="14"/>
          <w:color w:val="auto"/>
        </w:rPr>
        <w:t>. If BTO is expressly precluded from using the BTO CDx in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Territory due to a final, non-appealable judgment or order by a court of competent jurisdiction or other governmental administrative body, which shall be deemed final and non-appealable upon the expiration of the applicable period for filing an appeal without any appeal having been filed, BTO shall provide Janssen with evidence of the finality and non-appealable nature of such judgment or order and may thereafter provide Janssen written notice of its intention to terminate this Agreement. For the avoidance of doubt, BTO shall have no obligation to appeal any such judgment or order, nor shall BTO be required to use the BTO CDx in contravention of the effective date of any bar imposed by such court or administrative body. Termination under this section 13.2.8 shall become effective no earlier than thirty (30) days after Janssen’s receipt of such notice.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41" w:right="1440" w:bottom="1440" w:gutter="0" w:footer="0" w:header="0"/>
        </w:sectPr>
      </w:pPr>
    </w:p>
    <w:bookmarkStart w:id="842" w:name="page843"/>
    <w:bookmarkEnd w:id="842"/>
    <w:p>
      <w:pPr>
        <w:ind w:left="2440" w:right="39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13.2.9</w:t>
      </w:r>
      <w:r>
        <w:rPr>
          <w:sz w:val="20"/>
          <w:szCs w:val="20"/>
          <w:color w:val="auto"/>
        </w:rPr>
        <w:tab/>
      </w:r>
      <w:r>
        <w:rPr>
          <w:rFonts w:ascii="Times New Roman" w:cs="Times New Roman" w:eastAsia="Times New Roman" w:hAnsi="Times New Roman"/>
          <w:sz w:val="14"/>
          <w:szCs w:val="14"/>
          <w:u w:val="single" w:color="auto"/>
          <w:color w:val="auto"/>
        </w:rPr>
        <w:t>Termination for Failure to Agree on Commercialization Plan</w:t>
      </w:r>
      <w:r>
        <w:rPr>
          <w:rFonts w:ascii="Times New Roman" w:cs="Times New Roman" w:eastAsia="Times New Roman" w:hAnsi="Times New Roman"/>
          <w:sz w:val="14"/>
          <w:szCs w:val="14"/>
          <w:color w:val="auto"/>
        </w:rPr>
        <w:t>. If the Parties do not agree on the details of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Commercialization Plan as described in 5.1.1(a), Janssen may terminate this agreement on ten (10) days’ prior notice to BTO.</w:t>
      </w:r>
    </w:p>
    <w:p>
      <w:pPr>
        <w:spacing w:after="0" w:line="63" w:lineRule="exact"/>
        <w:rPr>
          <w:sz w:val="20"/>
          <w:szCs w:val="20"/>
          <w:color w:val="auto"/>
        </w:rPr>
      </w:pPr>
    </w:p>
    <w:p>
      <w:pPr>
        <w:jc w:val="both"/>
        <w:ind w:left="1940" w:right="31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4"/>
          <w:szCs w:val="14"/>
          <w:u w:val="single" w:color="auto"/>
          <w:color w:val="auto"/>
        </w:rPr>
        <w:t>Consequences of Termination or Expiration of this Agreement</w:t>
      </w:r>
      <w:r>
        <w:rPr>
          <w:rFonts w:ascii="Times New Roman" w:cs="Times New Roman" w:eastAsia="Times New Roman" w:hAnsi="Times New Roman"/>
          <w:sz w:val="14"/>
          <w:szCs w:val="14"/>
          <w:color w:val="auto"/>
        </w:rPr>
        <w:t>. Except as otherwise provided below, upon termination or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expiration of this Agreement for any reason, all licenses granted to each Party by the other Party in this Agreement shall automatically terminate.</w:t>
      </w:r>
    </w:p>
    <w:p>
      <w:pPr>
        <w:spacing w:after="0" w:line="63" w:lineRule="exact"/>
        <w:rPr>
          <w:sz w:val="20"/>
          <w:szCs w:val="20"/>
          <w:color w:val="auto"/>
        </w:rPr>
      </w:pPr>
    </w:p>
    <w:p>
      <w:pPr>
        <w:ind w:left="2440" w:right="459" w:hanging="503"/>
        <w:spacing w:after="0" w:line="282" w:lineRule="auto"/>
        <w:tabs>
          <w:tab w:leader="none" w:pos="2420" w:val="left"/>
        </w:tabs>
        <w:rPr>
          <w:sz w:val="20"/>
          <w:szCs w:val="20"/>
          <w:color w:val="auto"/>
        </w:rPr>
      </w:pPr>
      <w:r>
        <w:rPr>
          <w:rFonts w:ascii="Times New Roman" w:cs="Times New Roman" w:eastAsia="Times New Roman" w:hAnsi="Times New Roman"/>
          <w:sz w:val="14"/>
          <w:szCs w:val="14"/>
          <w:color w:val="auto"/>
        </w:rPr>
        <w:t>13.3.1</w:t>
        <w:tab/>
        <w:t>In the event that a Party terminates this Agreement, licenses are hereby granted, property shall be transferred, and payments shall be made as follows:</w:t>
      </w:r>
    </w:p>
    <w:p>
      <w:pPr>
        <w:spacing w:after="0" w:line="52" w:lineRule="exact"/>
        <w:rPr>
          <w:sz w:val="20"/>
          <w:szCs w:val="20"/>
          <w:color w:val="auto"/>
        </w:rPr>
      </w:pPr>
    </w:p>
    <w:p>
      <w:pPr>
        <w:ind w:left="3040" w:hanging="593"/>
        <w:spacing w:after="0"/>
        <w:tabs>
          <w:tab w:leader="none" w:pos="3040" w:val="left"/>
        </w:tabs>
        <w:numPr>
          <w:ilvl w:val="0"/>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Deleted.</w:t>
      </w:r>
    </w:p>
    <w:p>
      <w:pPr>
        <w:spacing w:after="0" w:line="101" w:lineRule="exact"/>
        <w:rPr>
          <w:rFonts w:ascii="Times New Roman" w:cs="Times New Roman" w:eastAsia="Times New Roman" w:hAnsi="Times New Roman"/>
          <w:sz w:val="14"/>
          <w:szCs w:val="14"/>
          <w:color w:val="auto"/>
        </w:rPr>
      </w:pPr>
    </w:p>
    <w:p>
      <w:pPr>
        <w:ind w:left="3040" w:right="419" w:hanging="593"/>
        <w:spacing w:after="0" w:line="266" w:lineRule="auto"/>
        <w:tabs>
          <w:tab w:leader="none" w:pos="3040" w:val="left"/>
        </w:tabs>
        <w:numPr>
          <w:ilvl w:val="0"/>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Janssen terminates this Agreement pursuant to Section 13.2.2 (Material Breach), Section 13.2.3 (Failure of Continuous Supply), or Section 13.2.5 (Insolvency) the following rights and obligations shall apply.</w:t>
      </w:r>
    </w:p>
    <w:p>
      <w:pPr>
        <w:spacing w:after="0" w:line="62" w:lineRule="exact"/>
        <w:rPr>
          <w:rFonts w:ascii="Times New Roman" w:cs="Times New Roman" w:eastAsia="Times New Roman" w:hAnsi="Times New Roman"/>
          <w:sz w:val="14"/>
          <w:szCs w:val="14"/>
          <w:color w:val="auto"/>
        </w:rPr>
      </w:pPr>
    </w:p>
    <w:p>
      <w:pPr>
        <w:ind w:left="3540" w:hanging="495"/>
        <w:spacing w:after="0"/>
        <w:tabs>
          <w:tab w:leader="none" w:pos="3540" w:val="left"/>
        </w:tabs>
        <w:numPr>
          <w:ilvl w:val="1"/>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3040" w:right="359" w:hanging="593"/>
        <w:spacing w:after="0" w:line="266" w:lineRule="auto"/>
        <w:tabs>
          <w:tab w:leader="none" w:pos="3040" w:val="left"/>
        </w:tabs>
        <w:numPr>
          <w:ilvl w:val="0"/>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Janssen terminates this Agreement pursuant to Section 13.2.4 (Failure to Achieve a Milestone), Section 13.2.7 (Failure to Amend the Prior Collaboration Agreement) or 13.2.9 (Failure to Agree on Commercialization Plan), the following rights and obligations shall apply.</w:t>
      </w:r>
    </w:p>
    <w:p>
      <w:pPr>
        <w:spacing w:after="0" w:line="62" w:lineRule="exact"/>
        <w:rPr>
          <w:rFonts w:ascii="Times New Roman" w:cs="Times New Roman" w:eastAsia="Times New Roman" w:hAnsi="Times New Roman"/>
          <w:sz w:val="14"/>
          <w:szCs w:val="14"/>
          <w:color w:val="auto"/>
        </w:rPr>
      </w:pPr>
    </w:p>
    <w:p>
      <w:pPr>
        <w:ind w:left="3540" w:hanging="495"/>
        <w:spacing w:after="0"/>
        <w:tabs>
          <w:tab w:leader="none" w:pos="3540" w:val="left"/>
        </w:tabs>
        <w:numPr>
          <w:ilvl w:val="1"/>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3040" w:right="539" w:hanging="593"/>
        <w:spacing w:after="0" w:line="282" w:lineRule="auto"/>
        <w:tabs>
          <w:tab w:leader="none" w:pos="3040"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Janssen terminates this Agreement pursuant to Section 13.2.6 (</w:t>
      </w:r>
      <w:r>
        <w:rPr>
          <w:rFonts w:ascii="Times New Roman" w:cs="Times New Roman" w:eastAsia="Times New Roman" w:hAnsi="Times New Roman"/>
          <w:sz w:val="14"/>
          <w:szCs w:val="14"/>
          <w:u w:val="single" w:color="auto"/>
          <w:color w:val="auto"/>
        </w:rPr>
        <w:t>Reasons Relating to the Janssen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Drug</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3540" w:hanging="495"/>
        <w:spacing w:after="0"/>
        <w:tabs>
          <w:tab w:leader="none" w:pos="3540"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3040" w:hanging="593"/>
        <w:spacing w:after="0"/>
        <w:tabs>
          <w:tab w:leader="none" w:pos="3040"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BTO terminates this Agreement pursuant to Section 13.2.2 (Material Breach):</w:t>
      </w:r>
    </w:p>
    <w:p>
      <w:pPr>
        <w:spacing w:after="0" w:line="101" w:lineRule="exact"/>
        <w:rPr>
          <w:rFonts w:ascii="Times New Roman" w:cs="Times New Roman" w:eastAsia="Times New Roman" w:hAnsi="Times New Roman"/>
          <w:sz w:val="14"/>
          <w:szCs w:val="14"/>
          <w:color w:val="auto"/>
        </w:rPr>
      </w:pPr>
    </w:p>
    <w:p>
      <w:pPr>
        <w:ind w:left="3540" w:hanging="495"/>
        <w:spacing w:after="0"/>
        <w:tabs>
          <w:tab w:leader="none" w:pos="3540"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3040" w:hanging="593"/>
        <w:spacing w:after="0"/>
        <w:tabs>
          <w:tab w:leader="none" w:pos="3040"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BTO terminates this Agreement pursuant to Section 13.2.4 (Insolvency):</w:t>
      </w:r>
    </w:p>
    <w:p>
      <w:pPr>
        <w:spacing w:after="0" w:line="101" w:lineRule="exact"/>
        <w:rPr>
          <w:rFonts w:ascii="Times New Roman" w:cs="Times New Roman" w:eastAsia="Times New Roman" w:hAnsi="Times New Roman"/>
          <w:sz w:val="14"/>
          <w:szCs w:val="14"/>
          <w:color w:val="auto"/>
        </w:rPr>
      </w:pPr>
    </w:p>
    <w:p>
      <w:pPr>
        <w:ind w:left="3540" w:hanging="495"/>
        <w:spacing w:after="0"/>
        <w:tabs>
          <w:tab w:leader="none" w:pos="3540"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4440" w:right="699" w:hanging="1395"/>
        <w:spacing w:after="0" w:line="454" w:lineRule="auto"/>
        <w:tabs>
          <w:tab w:leader="none" w:pos="3555"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licenses granted to BTO hereunder shall remain in effect pursuant to Section 13.2. 64</w:t>
      </w:r>
    </w:p>
    <w:p>
      <w:pPr>
        <w:sectPr>
          <w:pgSz w:w="11900" w:h="16838" w:orient="portrait"/>
          <w:cols w:equalWidth="0" w:num="1">
            <w:col w:w="9019"/>
          </w:cols>
          <w:pgMar w:left="1440" w:top="240" w:right="1440" w:bottom="1440" w:gutter="0" w:footer="0" w:header="0"/>
        </w:sectPr>
      </w:pPr>
    </w:p>
    <w:bookmarkStart w:id="843" w:name="page844"/>
    <w:bookmarkEnd w:id="843"/>
    <w:p>
      <w:pPr>
        <w:ind w:left="3040" w:right="279" w:hanging="593"/>
        <w:spacing w:after="0" w:line="266" w:lineRule="auto"/>
        <w:tabs>
          <w:tab w:leader="none" w:pos="3040" w:val="left"/>
        </w:tabs>
        <w:numPr>
          <w:ilvl w:val="0"/>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BTO terminates this Agreement pursuant to Section 13.2.8 (Reasons Relating to Lawsuits), Janssen shall pay BTO the Unpaid Amounts and the Early Termination Fees and BTO shall have no further liability to Janssen under this Agreement.</w:t>
      </w:r>
    </w:p>
    <w:p>
      <w:pPr>
        <w:spacing w:after="0" w:line="63" w:lineRule="exact"/>
        <w:rPr>
          <w:sz w:val="20"/>
          <w:szCs w:val="20"/>
          <w:color w:val="auto"/>
        </w:rPr>
      </w:pPr>
    </w:p>
    <w:p>
      <w:pPr>
        <w:ind w:left="1940" w:right="33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13.4</w:t>
      </w:r>
      <w:r>
        <w:rPr>
          <w:sz w:val="20"/>
          <w:szCs w:val="20"/>
          <w:color w:val="auto"/>
        </w:rPr>
        <w:tab/>
      </w:r>
      <w:r>
        <w:rPr>
          <w:rFonts w:ascii="Times New Roman" w:cs="Times New Roman" w:eastAsia="Times New Roman" w:hAnsi="Times New Roman"/>
          <w:sz w:val="14"/>
          <w:szCs w:val="14"/>
          <w:color w:val="auto"/>
        </w:rPr>
        <w:t>Following any termination of this Agreement, each Party shall use its Commercially Reasonable Efforts to mitigate its termination costs. Any disputes with regard thereto shall be resolved by the JSC pursuant to Section 7.3 (JSC Decisions) and, if necessary, pursuant to Sections 14.18 (Governing Law) and 14.19 (Dispute Resolution).</w:t>
      </w:r>
    </w:p>
    <w:p>
      <w:pPr>
        <w:spacing w:after="0" w:line="63" w:lineRule="exact"/>
        <w:rPr>
          <w:sz w:val="20"/>
          <w:szCs w:val="20"/>
          <w:color w:val="auto"/>
        </w:rPr>
      </w:pPr>
    </w:p>
    <w:p>
      <w:pPr>
        <w:ind w:left="1940" w:right="259" w:hanging="597"/>
        <w:spacing w:after="0" w:line="274" w:lineRule="auto"/>
        <w:tabs>
          <w:tab w:leader="none" w:pos="1920" w:val="left"/>
        </w:tabs>
        <w:rPr>
          <w:sz w:val="20"/>
          <w:szCs w:val="20"/>
          <w:color w:val="auto"/>
        </w:rPr>
      </w:pPr>
      <w:r>
        <w:rPr>
          <w:rFonts w:ascii="Times New Roman" w:cs="Times New Roman" w:eastAsia="Times New Roman" w:hAnsi="Times New Roman"/>
          <w:sz w:val="14"/>
          <w:szCs w:val="14"/>
          <w:color w:val="auto"/>
        </w:rPr>
        <w:t>13.5</w:t>
      </w:r>
      <w:r>
        <w:rPr>
          <w:sz w:val="20"/>
          <w:szCs w:val="20"/>
          <w:color w:val="auto"/>
        </w:rPr>
        <w:tab/>
      </w:r>
      <w:r>
        <w:rPr>
          <w:rFonts w:ascii="Times New Roman" w:cs="Times New Roman" w:eastAsia="Times New Roman" w:hAnsi="Times New Roman"/>
          <w:sz w:val="13"/>
          <w:szCs w:val="13"/>
          <w:u w:val="single" w:color="auto"/>
          <w:color w:val="auto"/>
        </w:rPr>
        <w:t>Return of Confidential Information</w:t>
      </w:r>
      <w:r>
        <w:rPr>
          <w:rFonts w:ascii="Times New Roman" w:cs="Times New Roman" w:eastAsia="Times New Roman" w:hAnsi="Times New Roman"/>
          <w:sz w:val="13"/>
          <w:szCs w:val="13"/>
          <w:color w:val="auto"/>
        </w:rPr>
        <w:t>. Following any termination or expiration of this Agreement, and upon written request</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of the other Party, each Party shall, and shall cause its Affiliates to, return or destroy all of the other Party’s Confidential Information it has received under this Agreement 30 calendar days after such written request, provided that the Confidential Information is not necessary for the receiving Party to be able to exercise its rights retained after termination or expiry of this Agreement. Notwithstanding the foregoing, subject to the use and disclosure restrictions under Article 12</w:t>
      </w:r>
    </w:p>
    <w:p>
      <w:pPr>
        <w:spacing w:after="0" w:line="1" w:lineRule="exact"/>
        <w:rPr>
          <w:sz w:val="20"/>
          <w:szCs w:val="20"/>
          <w:color w:val="auto"/>
        </w:rPr>
      </w:pPr>
    </w:p>
    <w:p>
      <w:pPr>
        <w:ind w:left="1940" w:right="339" w:hanging="7"/>
        <w:spacing w:after="0" w:line="251" w:lineRule="auto"/>
        <w:tabs>
          <w:tab w:leader="none" w:pos="2130" w:val="left"/>
        </w:tabs>
        <w:numPr>
          <w:ilvl w:val="0"/>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single copy of such Confidential Information may be retained by a receiving Party for the sole purpose of determining the scope of obligations incurred under this Agreement and (b) the receiving Party shall not be required to destroy (i) any records required to be held by it in accordance with Applicable Law until expiration of the period of time required by Applicable Law, or (ii) computer records or files that have been created pursuant to the receiving Party’s automatic archiving and back-up procedures and the removal of which is not technically reasonable, provided that such records will not be retained for longer than is required by a Party’s archiving and back-up procedures. Upon written request of the other Party, the receiving Party will provide written confirmation of its fulfillment of its obligations under this Section 13.5.</w:t>
      </w:r>
    </w:p>
    <w:p>
      <w:pPr>
        <w:spacing w:after="0" w:line="76" w:lineRule="exact"/>
        <w:rPr>
          <w:sz w:val="20"/>
          <w:szCs w:val="20"/>
          <w:color w:val="auto"/>
        </w:rPr>
      </w:pPr>
    </w:p>
    <w:p>
      <w:pPr>
        <w:ind w:left="1940" w:right="29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13.6</w:t>
      </w:r>
      <w:r>
        <w:rPr>
          <w:sz w:val="20"/>
          <w:szCs w:val="20"/>
          <w:color w:val="auto"/>
        </w:rPr>
        <w:tab/>
      </w:r>
      <w:r>
        <w:rPr>
          <w:rFonts w:ascii="Times New Roman" w:cs="Times New Roman" w:eastAsia="Times New Roman" w:hAnsi="Times New Roman"/>
          <w:sz w:val="14"/>
          <w:szCs w:val="14"/>
          <w:u w:val="single" w:color="auto"/>
          <w:color w:val="auto"/>
        </w:rPr>
        <w:t>No Further License Rights</w:t>
      </w:r>
      <w:r>
        <w:rPr>
          <w:rFonts w:ascii="Times New Roman" w:cs="Times New Roman" w:eastAsia="Times New Roman" w:hAnsi="Times New Roman"/>
          <w:sz w:val="14"/>
          <w:szCs w:val="14"/>
          <w:color w:val="auto"/>
        </w:rPr>
        <w:t>. Except for those license rights that are expressly provided in this Agreement, and only for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period of time expressly provided for such license rights, no other license rights are granted under this Agreement or survive the expiration or termination of this Agreement.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42" w:right="1440" w:bottom="1440" w:gutter="0" w:footer="0" w:header="0"/>
        </w:sectPr>
      </w:pPr>
    </w:p>
    <w:bookmarkStart w:id="844" w:name="page845"/>
    <w:bookmarkEnd w:id="844"/>
    <w:p>
      <w:pPr>
        <w:ind w:left="1940" w:right="27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13.7</w:t>
      </w:r>
      <w:r>
        <w:rPr>
          <w:sz w:val="20"/>
          <w:szCs w:val="20"/>
          <w:color w:val="auto"/>
        </w:rPr>
        <w:tab/>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Termination of this Agreement for whatever reason in accordance with the provisions hereof or expiration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this Agreement shall not affect the accrued rights of the Parties and shall not limit remedies that may be otherwise available in law or equity. The provisions of Article 8 (Intellectual Property), Article 11 (Indemnification; Limitation of Liability; Insurance), Article 12 (Confidentiality), Article 13 (Term and Termination) and Article 14 (Miscellaneous) (together with any other provision that, either expressly or by its nature, is intended to survive) shall survive expiration or termination of this Agreement for any reason.</w:t>
      </w:r>
    </w:p>
    <w:p>
      <w:pPr>
        <w:spacing w:after="0" w:line="258"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MISCELLANEOUS</w:t>
      </w:r>
    </w:p>
    <w:p>
      <w:pPr>
        <w:spacing w:after="0" w:line="103" w:lineRule="exact"/>
        <w:rPr>
          <w:sz w:val="20"/>
          <w:szCs w:val="20"/>
          <w:color w:val="auto"/>
        </w:rPr>
      </w:pPr>
    </w:p>
    <w:p>
      <w:pPr>
        <w:ind w:left="1940" w:right="319" w:hanging="597"/>
        <w:spacing w:after="0" w:line="253" w:lineRule="auto"/>
        <w:tabs>
          <w:tab w:leader="none" w:pos="192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This Agreement may not be assigned by either Party in whole or in part without the prior written consent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other Party, except that either Party may assign its rights under this Agreement to its Affiliate or in connection with the sale of all or substantially all of the assets to which this Agreement relates (for this purpose, the sale of Janssen’s rights respecting the Janssen Drug or the sale of BTO’s rights with respect to the BTO CDx shall be considered to be a sale of substantially all the assets and not require the other Party’s consent to any assignment of this Agreement in whole or in part), provided that (a) BTO shall not assign this Agreement or sell its rights with respect to the BTO Assay to any direct competitor of Janssen offering a biosimilar or a FCRN blocker or inhibitor intended to treat the same Indication without Janssen’s prior written approval and (b) each Party shall require that the permitted assignee has the capacity to perform this Agreement and shall do so. This Agreement shall be binding upon the successors and permitted assigns of the Parties.</w:t>
      </w:r>
    </w:p>
    <w:p>
      <w:pPr>
        <w:spacing w:after="0" w:line="76" w:lineRule="exact"/>
        <w:rPr>
          <w:sz w:val="20"/>
          <w:szCs w:val="20"/>
          <w:color w:val="auto"/>
        </w:rPr>
      </w:pPr>
    </w:p>
    <w:p>
      <w:pPr>
        <w:ind w:left="1940" w:right="3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4"/>
          <w:szCs w:val="14"/>
          <w:u w:val="single" w:color="auto"/>
          <w:color w:val="auto"/>
        </w:rPr>
        <w:t>Affiliates</w:t>
      </w:r>
      <w:r>
        <w:rPr>
          <w:rFonts w:ascii="Times New Roman" w:cs="Times New Roman" w:eastAsia="Times New Roman" w:hAnsi="Times New Roman"/>
          <w:sz w:val="14"/>
          <w:szCs w:val="14"/>
          <w:color w:val="auto"/>
        </w:rPr>
        <w:t>. Both Parties shall have the right, in their sole discretion, to perform some or all of its obligations and exercise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some or all of its rights under this Agreement through its Affiliates.</w:t>
      </w:r>
    </w:p>
    <w:p>
      <w:pPr>
        <w:spacing w:after="0" w:line="52" w:lineRule="exact"/>
        <w:rPr>
          <w:sz w:val="20"/>
          <w:szCs w:val="20"/>
          <w:color w:val="auto"/>
        </w:rPr>
      </w:pPr>
    </w:p>
    <w:p>
      <w:pPr>
        <w:ind w:left="1940" w:right="279" w:hanging="597"/>
        <w:spacing w:after="0" w:line="287" w:lineRule="auto"/>
        <w:tabs>
          <w:tab w:leader="none" w:pos="192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3"/>
          <w:szCs w:val="13"/>
          <w:u w:val="single" w:color="auto"/>
          <w:color w:val="auto"/>
        </w:rPr>
        <w:t>Relationship of the Parties</w:t>
      </w:r>
      <w:r>
        <w:rPr>
          <w:rFonts w:ascii="Times New Roman" w:cs="Times New Roman" w:eastAsia="Times New Roman" w:hAnsi="Times New Roman"/>
          <w:sz w:val="13"/>
          <w:szCs w:val="13"/>
          <w:color w:val="auto"/>
        </w:rPr>
        <w:t>. The status of a Party under this Agreement shall be that of an independent contractor. Nothing</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contained in this Agreement shall be construed as creating a partnership, joint venture or agency relationship between the Parties or as granting either Party the authority to bind or contract any obligation in the name of or on the account of the other Party or to make any statements, representations, warranties or commitments on behalf of the other Party.</w:t>
      </w:r>
    </w:p>
    <w:p>
      <w:pPr>
        <w:spacing w:after="0" w:line="5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4"/>
          <w:szCs w:val="14"/>
          <w:u w:val="single" w:color="auto"/>
          <w:color w:val="auto"/>
        </w:rPr>
        <w:t>Exclusivity Provisions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2440" w:right="279" w:hanging="503"/>
        <w:spacing w:after="0" w:line="266" w:lineRule="auto"/>
        <w:tabs>
          <w:tab w:leader="none" w:pos="2420" w:val="left"/>
        </w:tabs>
        <w:rPr>
          <w:sz w:val="20"/>
          <w:szCs w:val="20"/>
          <w:color w:val="auto"/>
        </w:rPr>
      </w:pPr>
      <w:r>
        <w:rPr>
          <w:rFonts w:ascii="Times New Roman" w:cs="Times New Roman" w:eastAsia="Times New Roman" w:hAnsi="Times New Roman"/>
          <w:sz w:val="14"/>
          <w:szCs w:val="14"/>
          <w:color w:val="auto"/>
        </w:rPr>
        <w:t>14.4.1</w:t>
        <w:tab/>
        <w:t>Unless this Agreement is terminated by Janssen, during the Exclusivity Period, [***] The Exclusivity Period shall also terminate if (i) BTO does not obtain the status of an Approved IVD for the BTO CDx by the date upon which Janssen obtains Regulatory Approval for the Janssen Drug or (ii) if the BTO CDx</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41" w:right="1440" w:bottom="1440" w:gutter="0" w:footer="0" w:header="0"/>
        </w:sectPr>
      </w:pPr>
    </w:p>
    <w:bookmarkStart w:id="845" w:name="page846"/>
    <w:bookmarkEnd w:id="845"/>
    <w:p>
      <w:pPr>
        <w:ind w:left="244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is recalled and the corrective action impacts the ability for Janssen to make the Janssen Drug commercially available by the Regulatory Authority. Upon the conclusion of the Exclusivity Period and at any time for activities not subject to the Exclusivity Period, yet at all times subject to the restrictions set forth in Article 8 (Intellectual Property), Janssen may develop a diagnostic test to detect the Biomarkers alone or in collaboration with a Third Party as a companion diagnostic for the Janssen Drug, without any obligations or consideration to BTO. BTO may collaborate with a Third Party to develop assays and/or products identical or similar to the BTO CDx, including but not limited to facilitation, prescription, administration, or dosing of drugs other than the Janssen Drug, provided that; neither Party shall use any, Confidential Information, Data, Background Technology, or Development Technology of the other Party in connection with any such development activity.</w:t>
      </w:r>
    </w:p>
    <w:p>
      <w:pPr>
        <w:spacing w:after="0" w:line="72" w:lineRule="exact"/>
        <w:rPr>
          <w:sz w:val="20"/>
          <w:szCs w:val="20"/>
          <w:color w:val="auto"/>
        </w:rPr>
      </w:pPr>
    </w:p>
    <w:p>
      <w:pPr>
        <w:ind w:left="2440" w:right="239" w:hanging="503"/>
        <w:spacing w:after="0" w:line="252" w:lineRule="auto"/>
        <w:tabs>
          <w:tab w:leader="none" w:pos="2420" w:val="left"/>
        </w:tabs>
        <w:rPr>
          <w:sz w:val="20"/>
          <w:szCs w:val="20"/>
          <w:color w:val="auto"/>
        </w:rPr>
      </w:pPr>
      <w:r>
        <w:rPr>
          <w:rFonts w:ascii="Times New Roman" w:cs="Times New Roman" w:eastAsia="Times New Roman" w:hAnsi="Times New Roman"/>
          <w:sz w:val="14"/>
          <w:szCs w:val="14"/>
          <w:color w:val="auto"/>
        </w:rPr>
        <w:t>14.4.2</w:t>
      </w:r>
      <w:r>
        <w:rPr>
          <w:sz w:val="20"/>
          <w:szCs w:val="20"/>
          <w:color w:val="auto"/>
        </w:rPr>
        <w:tab/>
      </w:r>
      <w:r>
        <w:rPr>
          <w:rFonts w:ascii="Times New Roman" w:cs="Times New Roman" w:eastAsia="Times New Roman" w:hAnsi="Times New Roman"/>
          <w:sz w:val="14"/>
          <w:szCs w:val="14"/>
          <w:u w:val="single" w:color="auto"/>
          <w:color w:val="auto"/>
        </w:rPr>
        <w:t>Bridging</w:t>
      </w:r>
      <w:r>
        <w:rPr>
          <w:rFonts w:ascii="Times New Roman" w:cs="Times New Roman" w:eastAsia="Times New Roman" w:hAnsi="Times New Roman"/>
          <w:sz w:val="14"/>
          <w:szCs w:val="14"/>
          <w:color w:val="auto"/>
        </w:rPr>
        <w:t>. The Parties acknowledge and agree that Janssen may seek to work with Third Parties for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development of a NGS cfDNA Companion Diagnostic for the administration of the Janssen Drug as a treatment for the Indication within the Territory, during the Exclusivity Period. Such activities with Third Parties are subject to Section 14.4.1, but such provision does not prevent Janssen or any of its Affiliates from directly or indirectly contracting with Third Parties to conduct bridging and concordance studies during the Exclusivity Period. In addition, such provision does not prevent Janssen or any of its Affiliates from directly or indirectly contracting with Third Parties to design, develop, manufacture, seek regulatory approval from regulators outside the Territory, and commercialize a NGS cfDNA Companion Diagnostic outside the Territory, during the Exclusivity Period. BTO shall support concordance studies at Janssen’s request by offering its reasonable assistance, including (i) providing banked Non-Clinical Trial Samples purchased by Janssen with corresponding fetal fraction and fetal antigen and genotyping Data, and (ii) processing Samples with the BTO CDx and delivering Biomarker assay results, inclusive of the quantification values and cutoff thresholds, provided that any values, assay details, or algorithmic decisions that are BTO’s Confidential Information will not be shared, in consideration of such payment as may be classified as optional work pursuant to the Development Plan.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41" w:right="1440" w:bottom="1440" w:gutter="0" w:footer="0" w:header="0"/>
        </w:sectPr>
      </w:pPr>
    </w:p>
    <w:bookmarkStart w:id="846" w:name="page847"/>
    <w:bookmarkEnd w:id="846"/>
    <w:p>
      <w:pPr>
        <w:ind w:left="1940" w:right="29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14.5</w:t>
      </w:r>
      <w:r>
        <w:rPr>
          <w:sz w:val="20"/>
          <w:szCs w:val="20"/>
          <w:color w:val="auto"/>
        </w:rPr>
        <w:tab/>
      </w:r>
      <w:r>
        <w:rPr>
          <w:rFonts w:ascii="Times New Roman" w:cs="Times New Roman" w:eastAsia="Times New Roman" w:hAnsi="Times New Roman"/>
          <w:sz w:val="14"/>
          <w:szCs w:val="14"/>
          <w:color w:val="auto"/>
        </w:rPr>
        <w:t>At any time after the expiration of the CRE Period, if BTO reasonably believes that Commercialization of the BTO CDx is no longer commercially viable because the Commercial Performance Minimum is not being met for reasons beyond BTO’s reasonable control, BTO may inform Janssen of its intent to discontinue Commercialization of the BTO CDx at least [***] days prior to the effective date of such intended discontinuation of Commercialization. Within [***] of such notice, at Janssen’s request, BTO and Janssen will negotiate in good faith, for a period of at least [***] (the “Negotiation Period”), an amendment to this Agreement that would provide for support for BTO to continue Commercialization of the BTO CDx. During the Negotiation Period, at Janssen’s request, BTO shall permit an independent certified public accounting firm selected by Janssen and reasonably acceptable to BTO (the “Auditor”) to examine BTO’s books and records (subject to the Auditor’s execution of a non-disclosure agreement approved by BTO) relevant to verifying that [***]. Such audit shall be conducted at BTO’s premises during normal business hours. The Auditor shall prepare a report with their conclusions [***]. BTO shall review the said report before its release to Janssen for the purpose of ensuring that it complies with the aforementioned confidentiality provisions. [***], the Parties are not able to agree on a solution, BTO may terminate this Agreement and discontinue Commercialization.</w:t>
      </w:r>
    </w:p>
    <w:p>
      <w:pPr>
        <w:spacing w:after="0" w:line="80" w:lineRule="exact"/>
        <w:rPr>
          <w:sz w:val="20"/>
          <w:szCs w:val="20"/>
          <w:color w:val="auto"/>
        </w:rPr>
      </w:pPr>
    </w:p>
    <w:p>
      <w:pPr>
        <w:ind w:left="1940" w:right="299" w:hanging="597"/>
        <w:spacing w:after="0" w:line="256" w:lineRule="auto"/>
        <w:tabs>
          <w:tab w:leader="none" w:pos="1920" w:val="left"/>
        </w:tabs>
        <w:rPr>
          <w:sz w:val="20"/>
          <w:szCs w:val="20"/>
          <w:color w:val="auto"/>
        </w:rPr>
      </w:pPr>
      <w:r>
        <w:rPr>
          <w:rFonts w:ascii="Times New Roman" w:cs="Times New Roman" w:eastAsia="Times New Roman" w:hAnsi="Times New Roman"/>
          <w:sz w:val="14"/>
          <w:szCs w:val="14"/>
          <w:color w:val="auto"/>
        </w:rPr>
        <w:t>14.6</w:t>
      </w:r>
      <w:r>
        <w:rPr>
          <w:sz w:val="20"/>
          <w:szCs w:val="20"/>
          <w:color w:val="auto"/>
        </w:rPr>
        <w:tab/>
      </w:r>
      <w:r>
        <w:rPr>
          <w:rFonts w:ascii="Times New Roman" w:cs="Times New Roman" w:eastAsia="Times New Roman" w:hAnsi="Times New Roman"/>
          <w:sz w:val="14"/>
          <w:szCs w:val="14"/>
          <w:u w:val="single" w:color="auto"/>
          <w:color w:val="auto"/>
        </w:rPr>
        <w:t>General Anti-Corruption Compliance Provision</w:t>
      </w:r>
      <w:r>
        <w:rPr>
          <w:rFonts w:ascii="Times New Roman" w:cs="Times New Roman" w:eastAsia="Times New Roman" w:hAnsi="Times New Roman"/>
          <w:sz w:val="14"/>
          <w:szCs w:val="14"/>
          <w:color w:val="auto"/>
        </w:rPr>
        <w:t>. Neither Party shall perform any actions that are prohibited by local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other anti-corruption laws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 BTO further agrees to comply with the provisions of </w:t>
      </w:r>
      <w:r>
        <w:rPr>
          <w:rFonts w:ascii="Times New Roman" w:cs="Times New Roman" w:eastAsia="Times New Roman" w:hAnsi="Times New Roman"/>
          <w:sz w:val="14"/>
          <w:szCs w:val="14"/>
          <w:u w:val="single" w:color="auto"/>
          <w:color w:val="auto"/>
        </w:rPr>
        <w:t>Exhibit 14.6</w:t>
      </w:r>
      <w:r>
        <w:rPr>
          <w:rFonts w:ascii="Times New Roman" w:cs="Times New Roman" w:eastAsia="Times New Roman" w:hAnsi="Times New Roman"/>
          <w:sz w:val="14"/>
          <w:szCs w:val="14"/>
          <w:color w:val="auto"/>
        </w:rPr>
        <w:t>, attached hereto.</w:t>
      </w:r>
    </w:p>
    <w:p>
      <w:pPr>
        <w:spacing w:after="0" w:line="71" w:lineRule="exact"/>
        <w:rPr>
          <w:sz w:val="20"/>
          <w:szCs w:val="20"/>
          <w:color w:val="auto"/>
        </w:rPr>
      </w:pPr>
    </w:p>
    <w:p>
      <w:pPr>
        <w:ind w:left="1340"/>
        <w:spacing w:after="0"/>
        <w:tabs>
          <w:tab w:leader="none" w:pos="1920" w:val="left"/>
        </w:tabs>
        <w:rPr>
          <w:sz w:val="20"/>
          <w:szCs w:val="20"/>
          <w:color w:val="auto"/>
        </w:rPr>
      </w:pPr>
      <w:r>
        <w:rPr>
          <w:rFonts w:ascii="Times New Roman" w:cs="Times New Roman" w:eastAsia="Times New Roman" w:hAnsi="Times New Roman"/>
          <w:sz w:val="14"/>
          <w:szCs w:val="14"/>
          <w:color w:val="auto"/>
        </w:rPr>
        <w:t>14.7</w:t>
      </w:r>
      <w:r>
        <w:rPr>
          <w:sz w:val="20"/>
          <w:szCs w:val="20"/>
          <w:color w:val="auto"/>
        </w:rPr>
        <w:tab/>
      </w:r>
      <w:r>
        <w:rPr>
          <w:rFonts w:ascii="Times New Roman" w:cs="Times New Roman" w:eastAsia="Times New Roman" w:hAnsi="Times New Roman"/>
          <w:sz w:val="13"/>
          <w:szCs w:val="13"/>
          <w:color w:val="auto"/>
        </w:rPr>
        <w:t xml:space="preserve">Health Care Compliance. BTO agrees to comply with the provisions of </w:t>
      </w:r>
      <w:r>
        <w:rPr>
          <w:rFonts w:ascii="Times New Roman" w:cs="Times New Roman" w:eastAsia="Times New Roman" w:hAnsi="Times New Roman"/>
          <w:sz w:val="13"/>
          <w:szCs w:val="13"/>
          <w:u w:val="single" w:color="auto"/>
          <w:color w:val="auto"/>
        </w:rPr>
        <w:t>Exhibit 14.7</w:t>
      </w:r>
      <w:r>
        <w:rPr>
          <w:rFonts w:ascii="Times New Roman" w:cs="Times New Roman" w:eastAsia="Times New Roman" w:hAnsi="Times New Roman"/>
          <w:sz w:val="13"/>
          <w:szCs w:val="13"/>
          <w:color w:val="auto"/>
        </w:rPr>
        <w:t>, attached hereto.</w:t>
      </w:r>
    </w:p>
    <w:p>
      <w:pPr>
        <w:spacing w:after="0" w:line="101" w:lineRule="exact"/>
        <w:rPr>
          <w:sz w:val="20"/>
          <w:szCs w:val="20"/>
          <w:color w:val="auto"/>
        </w:rPr>
      </w:pPr>
    </w:p>
    <w:p>
      <w:pPr>
        <w:ind w:left="1940" w:right="319" w:hanging="597"/>
        <w:spacing w:after="0" w:line="258" w:lineRule="auto"/>
        <w:tabs>
          <w:tab w:leader="none" w:pos="1920" w:val="left"/>
        </w:tabs>
        <w:rPr>
          <w:sz w:val="20"/>
          <w:szCs w:val="20"/>
          <w:color w:val="auto"/>
        </w:rPr>
      </w:pPr>
      <w:r>
        <w:rPr>
          <w:rFonts w:ascii="Times New Roman" w:cs="Times New Roman" w:eastAsia="Times New Roman" w:hAnsi="Times New Roman"/>
          <w:sz w:val="14"/>
          <w:szCs w:val="14"/>
          <w:color w:val="auto"/>
        </w:rPr>
        <w:t>14.8</w:t>
      </w:r>
      <w:r>
        <w:rPr>
          <w:sz w:val="20"/>
          <w:szCs w:val="20"/>
          <w:color w:val="auto"/>
        </w:rPr>
        <w:tab/>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Except for the Prior Collaboration Agreement, this Agreement contains the entire and only agreement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between the Parties and supersedes and cancels all prior written or oral agreements, undertakings and negotiations between the Parties with respect to the subject matter hereof. Each Party confirms that it is not relying on any representations or warranties of the other Party except as specifically set out in this Agreement and therein. All exhibits referred to in this Agreement are hereby incorporated into and made a part of this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41" w:right="1440" w:bottom="1440" w:gutter="0" w:footer="0" w:header="0"/>
        </w:sectPr>
      </w:pPr>
    </w:p>
    <w:bookmarkStart w:id="847" w:name="page848"/>
    <w:bookmarkEnd w:id="847"/>
    <w:p>
      <w:pPr>
        <w:ind w:left="1940" w:right="33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14.9</w:t>
      </w:r>
      <w:r>
        <w:rPr>
          <w:sz w:val="20"/>
          <w:szCs w:val="20"/>
          <w:color w:val="auto"/>
        </w:rPr>
        <w:tab/>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amendments, changes, modifications or alterations of the terms and conditions of this Agreement shall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be binding upon either Party unless made in writing and signed by both Parties.</w:t>
      </w:r>
    </w:p>
    <w:p>
      <w:pPr>
        <w:spacing w:after="0" w:line="52" w:lineRule="exact"/>
        <w:rPr>
          <w:sz w:val="20"/>
          <w:szCs w:val="20"/>
          <w:color w:val="auto"/>
        </w:rPr>
      </w:pPr>
    </w:p>
    <w:p>
      <w:pPr>
        <w:ind w:left="1940" w:right="4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14.10</w:t>
      </w:r>
      <w:r>
        <w:rPr>
          <w:sz w:val="20"/>
          <w:szCs w:val="20"/>
          <w:color w:val="auto"/>
        </w:rPr>
        <w:tab/>
      </w:r>
      <w:r>
        <w:rPr>
          <w:rFonts w:ascii="Times New Roman" w:cs="Times New Roman" w:eastAsia="Times New Roman" w:hAnsi="Times New Roman"/>
          <w:sz w:val="14"/>
          <w:szCs w:val="14"/>
          <w:u w:val="single" w:color="auto"/>
          <w:color w:val="auto"/>
        </w:rPr>
        <w:t>Enforcement</w:t>
      </w:r>
      <w:r>
        <w:rPr>
          <w:rFonts w:ascii="Times New Roman" w:cs="Times New Roman" w:eastAsia="Times New Roman" w:hAnsi="Times New Roman"/>
          <w:sz w:val="14"/>
          <w:szCs w:val="14"/>
          <w:color w:val="auto"/>
        </w:rPr>
        <w:t>. The failure of either Party at any time to require performance of any provision hereof shall in no manner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affect its rights at a later time to enforce the same.</w:t>
      </w:r>
    </w:p>
    <w:p>
      <w:pPr>
        <w:spacing w:after="0" w:line="52" w:lineRule="exact"/>
        <w:rPr>
          <w:sz w:val="20"/>
          <w:szCs w:val="20"/>
          <w:color w:val="auto"/>
        </w:rPr>
      </w:pPr>
    </w:p>
    <w:p>
      <w:pPr>
        <w:ind w:left="1940" w:right="25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14.11</w:t>
      </w:r>
      <w:r>
        <w:rPr>
          <w:sz w:val="20"/>
          <w:szCs w:val="20"/>
          <w:color w:val="auto"/>
        </w:rPr>
        <w:tab/>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term, provision or condition of this Agreement shall be waived unless such waiver is evidenced in writing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signed by the waiving Party.</w:t>
      </w:r>
    </w:p>
    <w:p>
      <w:pPr>
        <w:spacing w:after="0" w:line="52" w:lineRule="exact"/>
        <w:rPr>
          <w:sz w:val="20"/>
          <w:szCs w:val="20"/>
          <w:color w:val="auto"/>
        </w:rPr>
      </w:pPr>
    </w:p>
    <w:p>
      <w:pPr>
        <w:ind w:left="1940" w:right="31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14.12</w:t>
      </w:r>
      <w:r>
        <w:rPr>
          <w:sz w:val="20"/>
          <w:szCs w:val="20"/>
          <w:color w:val="auto"/>
        </w:rPr>
        <w:tab/>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part of this Agreement is declared invalid by any legally governing authority having jurisdiction over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 Party, then such declaration shall not affect the remainder of the Agreement and the invalidated provision shall be revised in a manner that will render such provision valid while preserving the Parties’ original intent to the maximum extent possible.</w:t>
      </w:r>
    </w:p>
    <w:p>
      <w:pPr>
        <w:spacing w:after="0" w:line="66" w:lineRule="exact"/>
        <w:rPr>
          <w:sz w:val="20"/>
          <w:szCs w:val="20"/>
          <w:color w:val="auto"/>
        </w:rPr>
      </w:pPr>
    </w:p>
    <w:p>
      <w:pPr>
        <w:jc w:val="both"/>
        <w:ind w:left="1940" w:right="279" w:hanging="597"/>
        <w:spacing w:after="0" w:line="296" w:lineRule="auto"/>
        <w:tabs>
          <w:tab w:leader="none" w:pos="1920" w:val="left"/>
        </w:tabs>
        <w:rPr>
          <w:sz w:val="20"/>
          <w:szCs w:val="20"/>
          <w:color w:val="auto"/>
        </w:rPr>
      </w:pPr>
      <w:r>
        <w:rPr>
          <w:rFonts w:ascii="Times New Roman" w:cs="Times New Roman" w:eastAsia="Times New Roman" w:hAnsi="Times New Roman"/>
          <w:sz w:val="14"/>
          <w:szCs w:val="14"/>
          <w:color w:val="auto"/>
        </w:rPr>
        <w:t>14.13</w:t>
      </w:r>
      <w:r>
        <w:rPr>
          <w:sz w:val="20"/>
          <w:szCs w:val="20"/>
          <w:color w:val="auto"/>
        </w:rPr>
        <w:tab/>
      </w:r>
      <w:r>
        <w:rPr>
          <w:rFonts w:ascii="Times New Roman" w:cs="Times New Roman" w:eastAsia="Times New Roman" w:hAnsi="Times New Roman"/>
          <w:sz w:val="13"/>
          <w:szCs w:val="13"/>
          <w:u w:val="single" w:color="auto"/>
          <w:color w:val="auto"/>
        </w:rPr>
        <w:t>Joint Negotiation</w:t>
      </w:r>
      <w:r>
        <w:rPr>
          <w:rFonts w:ascii="Times New Roman" w:cs="Times New Roman" w:eastAsia="Times New Roman" w:hAnsi="Times New Roman"/>
          <w:sz w:val="13"/>
          <w:szCs w:val="13"/>
          <w:color w:val="auto"/>
        </w:rPr>
        <w:t>. This Agreement is the joint product of BTO and Janssen, and each provision hereof has been subject to</w:t>
      </w:r>
      <w:r>
        <w:rPr>
          <w:rFonts w:ascii="Times New Roman" w:cs="Times New Roman" w:eastAsia="Times New Roman" w:hAnsi="Times New Roman"/>
          <w:sz w:val="13"/>
          <w:szCs w:val="13"/>
          <w:u w:val="single" w:color="auto"/>
          <w:color w:val="auto"/>
        </w:rPr>
        <w:t xml:space="preserve"> </w:t>
      </w:r>
      <w:r>
        <w:rPr>
          <w:rFonts w:ascii="Times New Roman" w:cs="Times New Roman" w:eastAsia="Times New Roman" w:hAnsi="Times New Roman"/>
          <w:sz w:val="13"/>
          <w:szCs w:val="13"/>
          <w:color w:val="auto"/>
        </w:rPr>
        <w:t>the mutual consultation, negotiation and agreement of the Parties and their respective legal counsel and advisers and any rule of construction that a document shall be interpreted or construed against the drafting Party shall not be applicable.</w:t>
      </w:r>
    </w:p>
    <w:p>
      <w:pPr>
        <w:spacing w:after="0" w:line="45" w:lineRule="exact"/>
        <w:rPr>
          <w:sz w:val="20"/>
          <w:szCs w:val="20"/>
          <w:color w:val="auto"/>
        </w:rPr>
      </w:pPr>
    </w:p>
    <w:p>
      <w:pPr>
        <w:ind w:left="1940" w:right="43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14.14</w:t>
      </w:r>
      <w:r>
        <w:rPr>
          <w:sz w:val="20"/>
          <w:szCs w:val="20"/>
          <w:color w:val="auto"/>
        </w:rPr>
        <w:tab/>
      </w:r>
      <w:r>
        <w:rPr>
          <w:rFonts w:ascii="Times New Roman" w:cs="Times New Roman" w:eastAsia="Times New Roman" w:hAnsi="Times New Roman"/>
          <w:sz w:val="14"/>
          <w:szCs w:val="14"/>
          <w:u w:val="single" w:color="auto"/>
          <w:color w:val="auto"/>
        </w:rPr>
        <w:t>Headings and Titles</w:t>
      </w:r>
      <w:r>
        <w:rPr>
          <w:rFonts w:ascii="Times New Roman" w:cs="Times New Roman" w:eastAsia="Times New Roman" w:hAnsi="Times New Roman"/>
          <w:sz w:val="14"/>
          <w:szCs w:val="14"/>
          <w:color w:val="auto"/>
        </w:rPr>
        <w:t>. Headings and titles in this Agreement are for convenience purposes only and shall not in any way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influence the construction, performance and enforcement of any of its provisions.</w:t>
      </w:r>
    </w:p>
    <w:p>
      <w:pPr>
        <w:spacing w:after="0" w:line="52" w:lineRule="exact"/>
        <w:rPr>
          <w:sz w:val="20"/>
          <w:szCs w:val="20"/>
          <w:color w:val="auto"/>
        </w:rPr>
      </w:pPr>
    </w:p>
    <w:p>
      <w:pPr>
        <w:ind w:left="1940" w:right="239" w:hanging="597"/>
        <w:spacing w:after="0" w:line="254" w:lineRule="auto"/>
        <w:tabs>
          <w:tab w:leader="none" w:pos="1920" w:val="left"/>
        </w:tabs>
        <w:rPr>
          <w:sz w:val="20"/>
          <w:szCs w:val="20"/>
          <w:color w:val="auto"/>
        </w:rPr>
      </w:pPr>
      <w:r>
        <w:rPr>
          <w:rFonts w:ascii="Times New Roman" w:cs="Times New Roman" w:eastAsia="Times New Roman" w:hAnsi="Times New Roman"/>
          <w:sz w:val="14"/>
          <w:szCs w:val="14"/>
          <w:color w:val="auto"/>
        </w:rPr>
        <w:t>14.15</w:t>
      </w:r>
      <w:r>
        <w:rPr>
          <w:sz w:val="20"/>
          <w:szCs w:val="20"/>
          <w:color w:val="auto"/>
        </w:rPr>
        <w:tab/>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Words in the singular shall be deemed to include the plural and vice versa and words of one gender shall be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deemed to include the other genders as the context requires. The terms “hereof,” “herein,” and “herewith” and words of similar import shall, unless otherwise stated, be construed to refer to this Agreement as a whole (including all of the exhibits hereto) and not to any particular provision of this Agreement. Article, Section, and Exhibit references are to the Articles, Sections, and Exhibits to this Agreement unless otherwise specified. Unless otherwise stated, all references to any agreement shall be deemed to include the Exhibits, Schedules and Annexes, if any, to such agreement. The word “including” and words of similar import when used in this Agreement shall mean “including, without limitation,” unless the context otherwise requires or unless otherwise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42" w:right="1440" w:bottom="1440" w:gutter="0" w:footer="0" w:header="0"/>
        </w:sectPr>
      </w:pPr>
    </w:p>
    <w:bookmarkStart w:id="848" w:name="page849"/>
    <w:bookmarkEnd w:id="848"/>
    <w:p>
      <w:pPr>
        <w:ind w:left="194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specified. Unless otherwise specified in a particular case, the word “days” refers to calendar days. References herein to this Agreement shall be deemed to refer to this Agreement as of its Effective Date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 If there is any inconsistency between this Agreement and its Exhibits or other ancillary documents this Agreement shall prevail.</w:t>
      </w:r>
    </w:p>
    <w:p>
      <w:pPr>
        <w:spacing w:after="0" w:line="71" w:lineRule="exact"/>
        <w:rPr>
          <w:sz w:val="20"/>
          <w:szCs w:val="20"/>
          <w:color w:val="auto"/>
        </w:rPr>
      </w:pPr>
    </w:p>
    <w:p>
      <w:pPr>
        <w:ind w:left="1940" w:right="33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t>14.16</w:t>
      </w:r>
      <w:r>
        <w:rPr>
          <w:sz w:val="20"/>
          <w:szCs w:val="20"/>
          <w:color w:val="auto"/>
        </w:rPr>
        <w:tab/>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Neither Party shall lose any rights hereunder or be liable to the other Party for damages or losses on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account of failure of performance by the defaulting Party, other than a failure to make payment, if the failure is occasioned directly or indirectly by government action, war, terrorism, fire, explosion, flood, strike, lockout, embargo, shortage of utilities, pandemic, act of God, or any other cause beyond the control and without the fault or negligence of the defaulting Party, provided that the Party claiming force majeure has exerted all Commercially Reasonable Efforts to avoid or remedy such force majeure; provided, however, that in no event shall a Party be required to settle any labor dispute or disturbance. Such excuse shall continue as long as the condition preventing the performance continues. Upon cessation of such condition, the affected Party shall promptly resume performance hereunder. Each Party agrees to give the other Party prompt written notice of the occurrence of any such condition, the nature thereof, and the extent to which the affected Party will be unable to perform its obligations hereunder. Each Party further agrees to use all Commercially Reasonable Efforts to correct the condition as quickly as possible and to give the other Party prompt written notice when it is again fully able to perform its obligations hereunder. Without limiting the foregoing, Janssen acknowledges that a force majeure event may necessitate BTO transferring, in whole or in part, and permanently or on a temporary basis, its activities under this Agreement to one or more equivalent and acceptable, as deemed by applicable Regulatory Authority(s), alternative locations other than the location(s) specified in the Development Plan or Commercialization Plan. BTO will promptly provide Janssen written notice of any such required transfer and Janssen hereby agrees to any such transfer.</w:t>
      </w:r>
    </w:p>
    <w:p>
      <w:pPr>
        <w:spacing w:after="0" w:line="75" w:lineRule="exact"/>
        <w:rPr>
          <w:sz w:val="20"/>
          <w:szCs w:val="20"/>
          <w:color w:val="auto"/>
        </w:rPr>
      </w:pPr>
    </w:p>
    <w:p>
      <w:pPr>
        <w:ind w:left="1940" w:right="29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14.17</w:t>
      </w:r>
      <w:r>
        <w:rPr>
          <w:sz w:val="20"/>
          <w:szCs w:val="20"/>
          <w:color w:val="auto"/>
        </w:rPr>
        <w:tab/>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request, demand, waiver, consent, approval or other communication permitted or required under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shall be in writing, shall refer specifically to this Agreement and shall be deemed given only if delivered by hand or sent by internationally recognized overnight delivery service that maintains records 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41" w:right="1440" w:bottom="1440" w:gutter="0" w:footer="0" w:header="0"/>
        </w:sectPr>
      </w:pPr>
    </w:p>
    <w:bookmarkStart w:id="849" w:name="page850"/>
    <w:bookmarkEnd w:id="849"/>
    <w:p>
      <w:pPr>
        <w:ind w:left="1940" w:right="25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delivery, addressed to the Parties at their respective addresses specified below or to such other address as the Party may have provided to the other Party. Such notice shall be deemed to have been given as of the date delivered by hand or transmitted by facsimile (with transmission confirmed) or on the second Business Day (at the place of delivery) after deposit with an internationally recognized overnight delivery service. This Section is not intended to govern the day-to-day business communications necessary between the Parties in performing their obligations under the terms of this Agreement. All notices under this Agreement will be deemed given when made to the address shown below:</w:t>
      </w:r>
    </w:p>
    <w:p>
      <w:pPr>
        <w:spacing w:after="0" w:line="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If to BTO:</w:t>
      </w:r>
    </w:p>
    <w:p>
      <w:pPr>
        <w:spacing w:after="0" w:line="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1035 O’Brien Dr.</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With a copy to:</w:t>
      </w:r>
    </w:p>
    <w:p>
      <w:pPr>
        <w:spacing w:after="0" w:line="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BillionToOne, Inc.</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1035 O’Brien Dr.</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If to Janssen:</w:t>
      </w:r>
    </w:p>
    <w:p>
      <w:pPr>
        <w:spacing w:after="0" w:line="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Janssen Biotech, Inc.</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Attention: [***]</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800/850 Ridgeview Drive</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Horsham PA 19044</w:t>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With a copy to:</w:t>
      </w:r>
    </w:p>
    <w:p>
      <w:pPr>
        <w:spacing w:after="0" w:line="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Janssen Biotech, Inc.</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Attention: [***]</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800/850 Ridgeview Drive</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Horsham PA 19044</w:t>
      </w:r>
    </w:p>
    <w:p>
      <w:pPr>
        <w:spacing w:after="0" w:line="87" w:lineRule="exact"/>
        <w:rPr>
          <w:sz w:val="20"/>
          <w:szCs w:val="20"/>
          <w:color w:val="auto"/>
        </w:rPr>
      </w:pPr>
    </w:p>
    <w:p>
      <w:pPr>
        <w:ind w:left="1940" w:right="379" w:hanging="597"/>
        <w:spacing w:after="0" w:line="282" w:lineRule="auto"/>
        <w:tabs>
          <w:tab w:leader="none" w:pos="1920" w:val="left"/>
        </w:tabs>
        <w:rPr>
          <w:sz w:val="20"/>
          <w:szCs w:val="20"/>
          <w:color w:val="auto"/>
        </w:rPr>
      </w:pPr>
      <w:r>
        <w:rPr>
          <w:rFonts w:ascii="Times New Roman" w:cs="Times New Roman" w:eastAsia="Times New Roman" w:hAnsi="Times New Roman"/>
          <w:sz w:val="14"/>
          <w:szCs w:val="14"/>
          <w:color w:val="auto"/>
        </w:rPr>
        <w:t>14.18</w:t>
      </w:r>
      <w:r>
        <w:rPr>
          <w:sz w:val="20"/>
          <w:szCs w:val="20"/>
          <w:color w:val="auto"/>
        </w:rPr>
        <w:tab/>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is governed by and shall be construed in accordance with the laws of the State of New</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York, excluding any conflicts of law provisions.</w:t>
      </w:r>
    </w:p>
    <w:p>
      <w:pPr>
        <w:spacing w:after="0" w:line="52" w:lineRule="exact"/>
        <w:rPr>
          <w:sz w:val="20"/>
          <w:szCs w:val="20"/>
          <w:color w:val="auto"/>
        </w:rPr>
      </w:pPr>
    </w:p>
    <w:p>
      <w:pPr>
        <w:ind w:left="1940" w:right="619" w:hanging="597"/>
        <w:spacing w:after="0" w:line="266" w:lineRule="auto"/>
        <w:tabs>
          <w:tab w:leader="none" w:pos="1920" w:val="left"/>
        </w:tabs>
        <w:rPr>
          <w:sz w:val="20"/>
          <w:szCs w:val="20"/>
          <w:color w:val="auto"/>
        </w:rPr>
      </w:pPr>
      <w:r>
        <w:rPr>
          <w:rFonts w:ascii="Times New Roman" w:cs="Times New Roman" w:eastAsia="Times New Roman" w:hAnsi="Times New Roman"/>
          <w:sz w:val="14"/>
          <w:szCs w:val="14"/>
          <w:color w:val="auto"/>
        </w:rPr>
        <w:t>14.19</w:t>
      </w:r>
      <w:r>
        <w:rPr>
          <w:sz w:val="20"/>
          <w:szCs w:val="20"/>
          <w:color w:val="auto"/>
        </w:rPr>
        <w:tab/>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Any unresolved dispute, controversy or claim arising out of or related to this Agreement, or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interpretation, application, breach, termination or validity thereof, including any claim of inducement by fraud or otherwise (“Dispute”), shall be resolved in mediation and arbitration.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41" w:right="1440" w:bottom="1440" w:gutter="0" w:footer="0" w:header="0"/>
        </w:sectPr>
      </w:pPr>
    </w:p>
    <w:bookmarkStart w:id="850" w:name="page851"/>
    <w:bookmarkEnd w:id="850"/>
    <w:p>
      <w:pPr>
        <w:ind w:left="1940" w:right="2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Before initiating arbitration, the Parties must first follow any explicit resolution procedure specified in this Agreement for a particular Dispute and, if such procedure is not successful or not specified, attempt to resolve the Dispute by confidential mediation. The mediation shall be held in New York, New York. Either Party may initiate mediation by written notice to the other Party of the existence of a Dispute.</w:t>
      </w:r>
    </w:p>
    <w:p>
      <w:pPr>
        <w:spacing w:after="0" w:line="55" w:lineRule="exact"/>
        <w:rPr>
          <w:sz w:val="20"/>
          <w:szCs w:val="20"/>
          <w:color w:val="auto"/>
        </w:rPr>
      </w:pPr>
    </w:p>
    <w:p>
      <w:pPr>
        <w:ind w:left="1940" w:right="319"/>
        <w:spacing w:after="0" w:line="255" w:lineRule="auto"/>
        <w:rPr>
          <w:sz w:val="20"/>
          <w:szCs w:val="20"/>
          <w:color w:val="auto"/>
        </w:rPr>
      </w:pPr>
      <w:r>
        <w:rPr>
          <w:rFonts w:ascii="Times New Roman" w:cs="Times New Roman" w:eastAsia="Times New Roman" w:hAnsi="Times New Roman"/>
          <w:sz w:val="14"/>
          <w:szCs w:val="14"/>
          <w:color w:val="auto"/>
        </w:rPr>
        <w:t>The Parties shall use a professional mediator selected by agreement from American Arbitration Association, the CPR Institute for Dispute Resolution or like organization. The Parties shall select a mediator within 30 days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businessperson with authority to resolve the Dispute, that the Dispute cannot be resolved by mediation. In no event, however, shall mediation continue more than 60 days from initial notice by a Party to initiate meditation unless the Parties agree in writing to extend that period.</w:t>
      </w:r>
    </w:p>
    <w:p>
      <w:pPr>
        <w:spacing w:after="0" w:line="62" w:lineRule="exact"/>
        <w:rPr>
          <w:sz w:val="20"/>
          <w:szCs w:val="20"/>
          <w:color w:val="auto"/>
        </w:rPr>
      </w:pPr>
    </w:p>
    <w:p>
      <w:pPr>
        <w:ind w:left="1940" w:right="579"/>
        <w:spacing w:after="0" w:line="282" w:lineRule="auto"/>
        <w:rPr>
          <w:sz w:val="20"/>
          <w:szCs w:val="20"/>
          <w:color w:val="auto"/>
        </w:rPr>
      </w:pPr>
      <w:r>
        <w:rPr>
          <w:rFonts w:ascii="Times New Roman" w:cs="Times New Roman" w:eastAsia="Times New Roman" w:hAnsi="Times New Roman"/>
          <w:sz w:val="14"/>
          <w:szCs w:val="14"/>
          <w:color w:val="auto"/>
        </w:rPr>
        <w:t>Any period of limitations that would otherwise expire between the initiation of mediation and its conclusion shall be extended until 20 days after the conclusion of the mediation.</w:t>
      </w:r>
    </w:p>
    <w:p>
      <w:pPr>
        <w:spacing w:after="0" w:line="4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The Parties may jointly opt out of the mediation procedure by written mutual agreement.</w:t>
      </w:r>
    </w:p>
    <w:p>
      <w:pPr>
        <w:spacing w:after="0" w:line="91" w:lineRule="exact"/>
        <w:rPr>
          <w:sz w:val="20"/>
          <w:szCs w:val="20"/>
          <w:color w:val="auto"/>
        </w:rPr>
      </w:pPr>
    </w:p>
    <w:p>
      <w:pPr>
        <w:ind w:left="1940" w:right="259"/>
        <w:spacing w:after="0" w:line="252" w:lineRule="auto"/>
        <w:rPr>
          <w:sz w:val="20"/>
          <w:szCs w:val="20"/>
          <w:color w:val="auto"/>
        </w:rPr>
      </w:pPr>
      <w:r>
        <w:rPr>
          <w:rFonts w:ascii="Times New Roman" w:cs="Times New Roman" w:eastAsia="Times New Roman" w:hAnsi="Times New Roman"/>
          <w:sz w:val="14"/>
          <w:szCs w:val="14"/>
          <w:color w:val="auto"/>
        </w:rPr>
        <w:t>If the Parties fail to resolve the Dispute in mediation, and a Party desires to pursue resolution of the Dispute, the Dispute shall be submitted by either Party for resolution in arbitration pursuant to the then-current CPR Non-Administered Arbitration Rules (“CPR Rules”) (www.cpradr.org), except where they conflict with these provisions, in which case these provisions control.  The arbitration will be held in New York, New York.  All aspects of the arbitration shall be treated as confidential, except to the extent disclosure of the existence of the arbitration is required by law. The arbitration tribunal shall consist of three arbitrators, of whom each party shall designate one. The third arbitrator, who will serve as chair, shall be selected by the two party-appointed arbitrators. Each arbitrator shall be a lawyer: (a) with at least 15 years’ experience with a law firm of over 25 lawyers; or (b) with at least 15 years’ experience in a corporate law department of over 25 lawyers; or (c) who was a judge of a court of general jurisdiction. Upon nomination, each arbitrator shall disclose any circumstance that might give rise to justifiable doubt regarding the candidate’s independence or impartiality. Either Party may strike an arbitrator if that arbitrator has a conflict of interest or if their appointment creates the appearance of impropriety.  Upon nomination, no arbitrator shall have any ex parte communications with either Party to the arbitration. Each arbitrator shall serve as a neutral in resolving the Dispute.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41" w:right="1440" w:bottom="1440" w:gutter="0" w:footer="0" w:header="0"/>
        </w:sectPr>
      </w:pPr>
    </w:p>
    <w:bookmarkStart w:id="851" w:name="page852"/>
    <w:bookmarkEnd w:id="851"/>
    <w:p>
      <w:pPr>
        <w:ind w:left="194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Parties shall select the arbitrators within 30 days of initiation of the arbitration. The hearing will be concluded within nine (9) months after selection of the arbitrators and the award will be rendered within sixty (60) days of the conclusion of the hearing, or of any post hearing briefing, which briefing will be completed by both sides within forty-five (45) days after the conclusion of the hearing.</w:t>
      </w:r>
    </w:p>
    <w:p>
      <w:pPr>
        <w:spacing w:after="0" w:line="55" w:lineRule="exact"/>
        <w:rPr>
          <w:sz w:val="20"/>
          <w:szCs w:val="20"/>
          <w:color w:val="auto"/>
        </w:rPr>
      </w:pPr>
    </w:p>
    <w:p>
      <w:pPr>
        <w:jc w:val="both"/>
        <w:ind w:left="1940" w:right="419"/>
        <w:spacing w:after="0" w:line="257" w:lineRule="auto"/>
        <w:rPr>
          <w:sz w:val="20"/>
          <w:szCs w:val="20"/>
          <w:color w:val="auto"/>
        </w:rPr>
      </w:pPr>
      <w:r>
        <w:rPr>
          <w:rFonts w:ascii="Times New Roman" w:cs="Times New Roman" w:eastAsia="Times New Roman" w:hAnsi="Times New Roman"/>
          <w:sz w:val="14"/>
          <w:szCs w:val="14"/>
          <w:color w:val="auto"/>
        </w:rPr>
        <w:t>The hearing will be concluded in ten hearing days or less. Multiple hearing days will be scheduled consecutively to the greatest extent possible. The Parties agree to seek only limited discovery. The Parties agree to pursue no more than the following discovery in the aggregate from all Parties and non-parties to the action: a total of no more than fifteen</w:t>
      </w:r>
    </w:p>
    <w:p>
      <w:pPr>
        <w:spacing w:after="0" w:line="1" w:lineRule="exact"/>
        <w:rPr>
          <w:sz w:val="20"/>
          <w:szCs w:val="20"/>
          <w:color w:val="auto"/>
        </w:rPr>
      </w:pPr>
    </w:p>
    <w:p>
      <w:pPr>
        <w:jc w:val="both"/>
        <w:ind w:left="1940" w:right="759" w:hanging="5"/>
        <w:spacing w:after="0" w:line="255" w:lineRule="auto"/>
        <w:tabs>
          <w:tab w:leader="none" w:pos="2208" w:val="left"/>
        </w:tabs>
        <w:numPr>
          <w:ilvl w:val="0"/>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requests for documents (including subparts); and a total of no more than forty (40) hours of party deposition testimony, including both fact and expert witnesses, and no more than twenty (20) hours of non-party witnesses.  Electronic discovery of individuals shall be limited to a total of five custodians.</w:t>
      </w:r>
    </w:p>
    <w:p>
      <w:pPr>
        <w:spacing w:after="0" w:line="60" w:lineRule="exact"/>
        <w:rPr>
          <w:sz w:val="20"/>
          <w:szCs w:val="20"/>
          <w:color w:val="auto"/>
        </w:rPr>
      </w:pPr>
    </w:p>
    <w:p>
      <w:pPr>
        <w:ind w:left="1940" w:right="439"/>
        <w:spacing w:after="0" w:line="266" w:lineRule="auto"/>
        <w:rPr>
          <w:sz w:val="20"/>
          <w:szCs w:val="20"/>
          <w:color w:val="auto"/>
        </w:rPr>
      </w:pPr>
      <w:r>
        <w:rPr>
          <w:rFonts w:ascii="Times New Roman" w:cs="Times New Roman" w:eastAsia="Times New Roman" w:hAnsi="Times New Roman"/>
          <w:sz w:val="14"/>
          <w:szCs w:val="14"/>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52" w:lineRule="exact"/>
        <w:rPr>
          <w:sz w:val="20"/>
          <w:szCs w:val="20"/>
          <w:color w:val="auto"/>
        </w:rPr>
      </w:pPr>
    </w:p>
    <w:p>
      <w:pPr>
        <w:jc w:val="both"/>
        <w:ind w:left="1940" w:right="299"/>
        <w:spacing w:after="0" w:line="266" w:lineRule="auto"/>
        <w:rPr>
          <w:sz w:val="20"/>
          <w:szCs w:val="20"/>
          <w:color w:val="auto"/>
        </w:rPr>
      </w:pPr>
      <w:r>
        <w:rPr>
          <w:rFonts w:ascii="Times New Roman" w:cs="Times New Roman" w:eastAsia="Times New Roman" w:hAnsi="Times New Roman"/>
          <w:sz w:val="14"/>
          <w:szCs w:val="14"/>
          <w:color w:val="auto"/>
        </w:rPr>
        <w:t>The arbitrators are required to allow the Parties to submit dispositive motions, and are required to decide such motions in advance of any hearing. The arbitrators shall decide such motions as would a United States District Court Judge sitting in the jurisdiction whose substantive law governs.</w:t>
      </w:r>
    </w:p>
    <w:p>
      <w:pPr>
        <w:spacing w:after="0" w:line="52" w:lineRule="exact"/>
        <w:rPr>
          <w:sz w:val="20"/>
          <w:szCs w:val="20"/>
          <w:color w:val="auto"/>
        </w:rPr>
      </w:pPr>
    </w:p>
    <w:p>
      <w:pPr>
        <w:ind w:left="1940" w:right="239"/>
        <w:spacing w:after="0" w:line="261" w:lineRule="auto"/>
        <w:rPr>
          <w:sz w:val="20"/>
          <w:szCs w:val="20"/>
          <w:color w:val="auto"/>
        </w:rPr>
      </w:pPr>
      <w:r>
        <w:rPr>
          <w:rFonts w:ascii="Times New Roman" w:cs="Times New Roman" w:eastAsia="Times New Roman" w:hAnsi="Times New Roman"/>
          <w:sz w:val="14"/>
          <w:szCs w:val="14"/>
          <w:color w:val="auto"/>
        </w:rPr>
        <w:t>The arbitrators shall render a written opinion stating the reasons upon which the award is 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40" w:right="1440" w:bottom="1440" w:gutter="0" w:footer="0" w:header="0"/>
        </w:sectPr>
      </w:pPr>
    </w:p>
    <w:bookmarkStart w:id="852" w:name="page853"/>
    <w:bookmarkEnd w:id="852"/>
    <w:p>
      <w:pPr>
        <w:ind w:left="1940" w:right="31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Party has the right to seek from the appropriate court provisional remedies such as attachment, preliminary injunction, replevin, etc. to avoid irreparable harm, maintain the status quo, or preserve the subject matter of the Dispute. Rule 14 of the CPR Rules does not apply to this Agreement.</w:t>
      </w:r>
    </w:p>
    <w:p>
      <w:pPr>
        <w:spacing w:after="0" w:line="52" w:lineRule="exact"/>
        <w:rPr>
          <w:sz w:val="20"/>
          <w:szCs w:val="20"/>
          <w:color w:val="auto"/>
        </w:rPr>
      </w:pPr>
    </w:p>
    <w:p>
      <w:pPr>
        <w:ind w:left="1940" w:right="299"/>
        <w:spacing w:after="0" w:line="258" w:lineRule="auto"/>
        <w:rPr>
          <w:sz w:val="20"/>
          <w:szCs w:val="20"/>
          <w:color w:val="auto"/>
        </w:rPr>
      </w:pPr>
      <w:r>
        <w:rPr>
          <w:rFonts w:ascii="Times New Roman" w:cs="Times New Roman" w:eastAsia="Times New Roman" w:hAnsi="Times New Roman"/>
          <w:sz w:val="14"/>
          <w:szCs w:val="14"/>
          <w:color w:val="auto"/>
        </w:rPr>
        <w:t>EACH PARTY HERETO WAIVES: (1) ITS RIGHT TO TRIAL OF ANY ISSUE BY JURY, (2) WITH THE EXCEPTION OF RELIEF MANDATED BY STATUTE, ANY CLAIM TO PUNITIVE, EXEMPLARY, MULTIPLIED, INDIRECT, CONSEQUENTIAL OR LOST PROFITS/REVENUES DAMAGES, AND (3) ANY CLAIM FOR ATTORNEY FEES, COSTS AND PREJUDGMENT INTEREST. THE FOREGOING WAIVERS SHALL NOT APPLY TO A PARTY’S INDEMNIFICATION OBLIGATIONS UNDER ARTICLE 11.</w:t>
      </w:r>
    </w:p>
    <w:p>
      <w:pPr>
        <w:spacing w:after="0" w:line="69" w:lineRule="exact"/>
        <w:rPr>
          <w:sz w:val="20"/>
          <w:szCs w:val="20"/>
          <w:color w:val="auto"/>
        </w:rPr>
      </w:pPr>
    </w:p>
    <w:p>
      <w:pPr>
        <w:ind w:left="1940" w:right="259" w:hanging="597"/>
        <w:spacing w:after="0" w:line="252" w:lineRule="auto"/>
        <w:tabs>
          <w:tab w:leader="none" w:pos="1920" w:val="left"/>
        </w:tabs>
        <w:rPr>
          <w:sz w:val="20"/>
          <w:szCs w:val="20"/>
          <w:color w:val="auto"/>
        </w:rPr>
      </w:pPr>
      <w:r>
        <w:rPr>
          <w:rFonts w:ascii="Times New Roman" w:cs="Times New Roman" w:eastAsia="Times New Roman" w:hAnsi="Times New Roman"/>
          <w:sz w:val="14"/>
          <w:szCs w:val="14"/>
          <w:color w:val="auto"/>
        </w:rPr>
        <w:t>14.20</w:t>
      </w:r>
      <w:r>
        <w:rPr>
          <w:sz w:val="20"/>
          <w:szCs w:val="20"/>
          <w:color w:val="auto"/>
        </w:rPr>
        <w:tab/>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All rights and licenses granted under or pursuant to this Agreement by BTO to Janssen, and by Janssen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BTO respecting each Party’s Intellectual Property Rights subject to license and other rights granted under this Agreement (“Subject IP Rights” of each Party), are, and shall otherwise be deemed to be, for all purposes of Section 365(n) of Title 11 of the U.S. Code (“Title 11”), licenses of rights to intellectual property as defined in Title 11. Each Party agrees during the Term of this Agreement to create and maintain current copies or, if not amenable to copying, detailed descriptions or other appropriate embodiments, of all its Subject IP Rights. If a case is commenced by or against a Party (the “Insolvent Party”) under Title 11, then, unless and until this Agreement is rejected as provided in Title 11, the Insolvent Party (in any capacity, including debtor-in-possession) and its successors and assigns (including, without limitation, a Title 11 trustee) shall either perform all of the obligations provided in this Agreement to be performed by the Insolvent Party or provide to the other Party all its Subject IP Rights (including all embodiments thereof) held by the Insolvent Party and such successors and assigns, as the other Party may elect in a written request, immediately upon such request. If a Title 11 case is commenced by or against the Insolvent Party, this Agreement is rejected as provided in Title 11 and the other Party elects to retain its rights hereunder as provided in Title 11, then the Insolvent Party (in any capacity, including debtor-in-possession) and its successors and assigns (including, without limitation, a Title 11 trustee) shall provide to the other Party all its Subject IP Rights (including all embodiments thereof) held by the Insolvent Party and such successors and assigns immediately upon the other Party’s written request therefor. All rights, powers and remedies of the other Party, as a licensee and grantee of rights hereunder, provided herein are in addition to and not in substitution for any and all other rights, powers and remedies now or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42" w:right="1440" w:bottom="1440" w:gutter="0" w:footer="0" w:header="0"/>
        </w:sectPr>
      </w:pPr>
    </w:p>
    <w:bookmarkStart w:id="853" w:name="page854"/>
    <w:bookmarkEnd w:id="853"/>
    <w:p>
      <w:pPr>
        <w:ind w:left="194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hereafter existing at law or in equity (including, without limitation, Title 11), or under the terms of this Agreement, in the event of the commencement of a Title 11 case by or against the Insolvent Party. The other Party, in addition to the rights, powers and remedies expressly provided herein, shall be entitled to exercise all other such rights and powers and resort to all other such remedies as may now or hereafter exist at law or in equity (including Title 11) in such event. The Parties agree that each Party, as a licensee of such Intellectual Property Rights under this Agreement, shall retain and may fully exercise all of its rights and elections under the U.S. Bankruptcy Code.</w:t>
      </w:r>
    </w:p>
    <w:p>
      <w:pPr>
        <w:spacing w:after="0" w:line="71" w:lineRule="exact"/>
        <w:rPr>
          <w:sz w:val="20"/>
          <w:szCs w:val="20"/>
          <w:color w:val="auto"/>
        </w:rPr>
      </w:pPr>
    </w:p>
    <w:p>
      <w:pPr>
        <w:ind w:left="1940" w:right="259" w:hanging="597"/>
        <w:spacing w:after="0" w:line="261" w:lineRule="auto"/>
        <w:tabs>
          <w:tab w:leader="none" w:pos="1920" w:val="left"/>
        </w:tabs>
        <w:rPr>
          <w:sz w:val="20"/>
          <w:szCs w:val="20"/>
          <w:color w:val="auto"/>
        </w:rPr>
      </w:pPr>
      <w:r>
        <w:rPr>
          <w:rFonts w:ascii="Times New Roman" w:cs="Times New Roman" w:eastAsia="Times New Roman" w:hAnsi="Times New Roman"/>
          <w:sz w:val="14"/>
          <w:szCs w:val="14"/>
          <w:color w:val="auto"/>
        </w:rPr>
        <w:t>14.21</w:t>
      </w:r>
      <w:r>
        <w:rPr>
          <w:sz w:val="20"/>
          <w:szCs w:val="20"/>
          <w:color w:val="auto"/>
        </w:rPr>
        <w:tab/>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any number of counterparts, each of which shall be deemed an original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but all of which together shall constitute one and the same instrument. Each Party acknowledges that an original signature or a copy thereof transmitted by electronic transmission shall constitute an original signature for purposes of this Agreement.</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Parties have caused this Agreement to be executed by their respective duly authorized officers as of the Effective Date.</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BILLIONTOONE, INC.</w:t>
            </w:r>
          </w:p>
        </w:tc>
        <w:tc>
          <w:tcPr>
            <w:tcW w:w="45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JANSSEN BIOTECH, INC.</w:t>
            </w:r>
          </w:p>
        </w:tc>
      </w:tr>
      <w:tr>
        <w:trPr>
          <w:trHeight w:val="33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Oguzhan Atay</w:t>
            </w:r>
          </w:p>
        </w:tc>
        <w:tc>
          <w:tcPr>
            <w:tcW w:w="9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By:</w:t>
            </w:r>
          </w:p>
        </w:tc>
        <w:tc>
          <w:tcPr>
            <w:tcW w:w="35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 Biljana Naumovic</w:t>
            </w:r>
          </w:p>
        </w:tc>
      </w:tr>
      <w:tr>
        <w:trPr>
          <w:trHeight w:val="154"/>
        </w:trPr>
        <w:tc>
          <w:tcPr>
            <w:tcW w:w="5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Name:</w:t>
            </w:r>
          </w:p>
        </w:tc>
        <w:tc>
          <w:tcPr>
            <w:tcW w:w="3520" w:type="dxa"/>
            <w:vAlign w:val="bottom"/>
            <w:tcBorders>
              <w:top w:val="single" w:sz="8" w:color="auto"/>
            </w:tcBorders>
            <w:gridSpan w:val="2"/>
          </w:tcPr>
          <w:p>
            <w:pPr>
              <w:spacing w:after="0" w:line="154" w:lineRule="exact"/>
              <w:rPr>
                <w:sz w:val="20"/>
                <w:szCs w:val="20"/>
                <w:color w:val="auto"/>
              </w:rPr>
            </w:pPr>
            <w:r>
              <w:rPr>
                <w:rFonts w:ascii="Times New Roman" w:cs="Times New Roman" w:eastAsia="Times New Roman" w:hAnsi="Times New Roman"/>
                <w:sz w:val="14"/>
                <w:szCs w:val="14"/>
                <w:color w:val="auto"/>
              </w:rPr>
              <w:t>Oguzhan Atay</w:t>
            </w:r>
          </w:p>
        </w:tc>
        <w:tc>
          <w:tcPr>
            <w:tcW w:w="980" w:type="dxa"/>
            <w:vAlign w:val="bottom"/>
          </w:tcPr>
          <w:p>
            <w:pPr>
              <w:ind w:left="540"/>
              <w:spacing w:after="0" w:line="154" w:lineRule="exact"/>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3"/>
                <w:szCs w:val="13"/>
                <w:color w:val="auto"/>
              </w:rPr>
            </w:pPr>
          </w:p>
        </w:tc>
        <w:tc>
          <w:tcPr>
            <w:tcW w:w="352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Biljana Naumovic</w:t>
            </w:r>
          </w:p>
        </w:tc>
      </w:tr>
      <w:tr>
        <w:trPr>
          <w:trHeight w:val="16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9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Title:</w:t>
            </w:r>
          </w:p>
        </w:tc>
        <w:tc>
          <w:tcPr>
            <w:tcW w:w="35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Managing Director</w:t>
            </w:r>
          </w:p>
        </w:tc>
      </w:tr>
      <w:tr>
        <w:trPr>
          <w:trHeight w:val="183"/>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11, 2025</w:t>
            </w:r>
          </w:p>
        </w:tc>
        <w:tc>
          <w:tcPr>
            <w:tcW w:w="9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July 11, 2025</w:t>
            </w:r>
          </w:p>
        </w:tc>
      </w:tr>
      <w:tr>
        <w:trPr>
          <w:trHeight w:val="420"/>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r>
              <w:rPr>
                <w:rFonts w:ascii="Times New Roman" w:cs="Times New Roman" w:eastAsia="Times New Roman" w:hAnsi="Times New Roman"/>
                <w:sz w:val="14"/>
                <w:szCs w:val="14"/>
                <w:color w:val="auto"/>
              </w:rPr>
              <w:t>:</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5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1.36:</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Plan</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5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2.3.3:</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Protection of Personal Information</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5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2.3.4:</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Data Safeguards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5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2.9:</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Approved BTO Third Party Contractors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5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5.2(a):</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Commercialization Plan</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5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14.6:</w:t>
            </w:r>
          </w:p>
        </w:tc>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Compliance with Anti-Corruption Laws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r>
    </w:tbl>
    <w:p>
      <w:pPr>
        <w:spacing w:after="0" w:line="69" w:lineRule="exact"/>
        <w:rPr>
          <w:sz w:val="20"/>
          <w:szCs w:val="20"/>
          <w:color w:val="auto"/>
        </w:rPr>
      </w:pPr>
    </w:p>
    <w:p>
      <w:pPr>
        <w:ind w:left="1420" w:right="479" w:hanging="1206"/>
        <w:spacing w:after="0" w:line="282" w:lineRule="auto"/>
        <w:tabs>
          <w:tab w:leader="none" w:pos="1400" w:val="left"/>
        </w:tabs>
        <w:rPr>
          <w:sz w:val="20"/>
          <w:szCs w:val="20"/>
          <w:color w:val="auto"/>
        </w:rPr>
      </w:pPr>
      <w:r>
        <w:rPr>
          <w:rFonts w:ascii="Times New Roman" w:cs="Times New Roman" w:eastAsia="Times New Roman" w:hAnsi="Times New Roman"/>
          <w:sz w:val="14"/>
          <w:szCs w:val="14"/>
          <w:color w:val="auto"/>
        </w:rPr>
        <w:t>Exhibit 14.7:</w:t>
      </w:r>
      <w:r>
        <w:rPr>
          <w:sz w:val="20"/>
          <w:szCs w:val="20"/>
          <w:color w:val="auto"/>
        </w:rPr>
        <w:tab/>
      </w:r>
      <w:r>
        <w:rPr>
          <w:rFonts w:ascii="Times New Roman" w:cs="Times New Roman" w:eastAsia="Times New Roman" w:hAnsi="Times New Roman"/>
          <w:sz w:val="14"/>
          <w:szCs w:val="14"/>
          <w:color w:val="auto"/>
        </w:rPr>
        <w:t>Health Care Compliance (“HCC”) Provisions for Suppliers that Interact and Contract with Health Care Providers (“HCPs”) for Services on Janssen’s Behalf</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41" w:right="1440" w:bottom="1440" w:gutter="0" w:footer="0" w:header="0"/>
        </w:sectPr>
      </w:pPr>
    </w:p>
    <w:bookmarkStart w:id="854" w:name="page855"/>
    <w:bookmarkEnd w:id="854"/>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THIS INDEMNIFICATION AGREEMENT </w:t>
      </w:r>
      <w:r>
        <w:rPr>
          <w:rFonts w:ascii="Times New Roman" w:cs="Times New Roman" w:eastAsia="Times New Roman" w:hAnsi="Times New Roman"/>
          <w:sz w:val="14"/>
          <w:szCs w:val="14"/>
          <w:color w:val="auto"/>
        </w:rPr>
        <w:t>(this “Agreement”) dated as of __________________, is made by and between BillionToOne,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Inc., a Delaware corporation (the “Company”), and _________________________ (“Indemnitee”).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The Company desires to attract and retain the services of highly qualified individuals as directors, officers, employees and agents.</w:t>
      </w:r>
    </w:p>
    <w:p>
      <w:pPr>
        <w:spacing w:after="0" w:line="175" w:lineRule="exact"/>
        <w:rPr>
          <w:sz w:val="20"/>
          <w:szCs w:val="20"/>
          <w:color w:val="auto"/>
        </w:rPr>
      </w:pPr>
    </w:p>
    <w:p>
      <w:pPr>
        <w:ind w:left="220" w:right="279" w:firstLine="342"/>
        <w:spacing w:after="0" w:line="282" w:lineRule="auto"/>
        <w:rPr>
          <w:sz w:val="20"/>
          <w:szCs w:val="20"/>
          <w:color w:val="auto"/>
        </w:rPr>
      </w:pPr>
      <w:r>
        <w:rPr>
          <w:rFonts w:ascii="Times New Roman" w:cs="Times New Roman" w:eastAsia="Times New Roman" w:hAnsi="Times New Roman"/>
          <w:sz w:val="14"/>
          <w:szCs w:val="14"/>
          <w:color w:val="auto"/>
        </w:rPr>
        <w:t>B. The Company’s certificate of incorporation, as amended (the “Certificate of Incorporation”) authorizes the Company to indemnify its directors, officers, employees and agents as set forth therein.</w:t>
      </w:r>
    </w:p>
    <w:p>
      <w:pPr>
        <w:spacing w:after="0" w:line="125"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color w:val="auto"/>
        </w:rPr>
        <w:t>C. The Company’s bylaws (the “Bylaws”) require that the Company indemnify and advance expenses to persons who are or were serving as directors and officers of the Company (including persons who, while serving as directors or officers, are or were serving at the request of the Company as a director, officer, employee or agent of another enterprise), and permits the Company to indemnify and advance expenses to such other persons it has the power to indemnify and provide rights to an advance of expenses under the Delaware General Corporation Law, as amended (the “Code”), and such Bylaws expressly provide that the indemnification provided therein is not exclusive and contemplates that the Company may enter into separate agreements with its directors, officers and other persons to set forth specific provisions relating to indemnification and advancement of expenses.</w:t>
      </w:r>
    </w:p>
    <w:p>
      <w:pPr>
        <w:spacing w:after="0" w:line="145"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D. Indemnitee does not regard the protection currently provided by applicable law, the Company’s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36" w:lineRule="exact"/>
        <w:rPr>
          <w:sz w:val="20"/>
          <w:szCs w:val="20"/>
          <w:color w:val="auto"/>
        </w:rPr>
      </w:pPr>
    </w:p>
    <w:p>
      <w:pPr>
        <w:ind w:left="220" w:right="399" w:firstLine="342"/>
        <w:spacing w:after="0" w:line="282" w:lineRule="auto"/>
        <w:rPr>
          <w:sz w:val="20"/>
          <w:szCs w:val="20"/>
          <w:color w:val="auto"/>
        </w:rPr>
      </w:pPr>
      <w:r>
        <w:rPr>
          <w:rFonts w:ascii="Times New Roman" w:cs="Times New Roman" w:eastAsia="Times New Roman" w:hAnsi="Times New Roman"/>
          <w:sz w:val="14"/>
          <w:szCs w:val="14"/>
          <w:color w:val="auto"/>
        </w:rPr>
        <w:t>E. 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25" w:lineRule="exact"/>
        <w:rPr>
          <w:sz w:val="20"/>
          <w:szCs w:val="20"/>
          <w:color w:val="auto"/>
        </w:rPr>
      </w:pPr>
    </w:p>
    <w:p>
      <w:pPr>
        <w:ind w:left="220" w:right="859" w:firstLine="342"/>
        <w:spacing w:after="0" w:line="282" w:lineRule="auto"/>
        <w:rPr>
          <w:sz w:val="20"/>
          <w:szCs w:val="20"/>
          <w:color w:val="auto"/>
        </w:rPr>
      </w:pPr>
      <w:r>
        <w:rPr>
          <w:rFonts w:ascii="Times New Roman" w:cs="Times New Roman" w:eastAsia="Times New Roman" w:hAnsi="Times New Roman"/>
          <w:sz w:val="14"/>
          <w:szCs w:val="14"/>
          <w:color w:val="auto"/>
        </w:rPr>
        <w:t>F. Indemnitee is willing to serve, or to continue to serve, as a director, officer, employee or agent of the Company, as the case may be, if Indemnitee is furnished the indemnity provided for herein by the Company.</w:t>
      </w:r>
    </w:p>
    <w:p>
      <w:pPr>
        <w:spacing w:after="0" w:line="125" w:lineRule="exact"/>
        <w:rPr>
          <w:sz w:val="20"/>
          <w:szCs w:val="20"/>
          <w:color w:val="auto"/>
        </w:rPr>
      </w:pPr>
    </w:p>
    <w:p>
      <w:pPr>
        <w:ind w:left="220" w:right="439" w:firstLine="342"/>
        <w:spacing w:after="0" w:line="301" w:lineRule="auto"/>
        <w:rPr>
          <w:sz w:val="20"/>
          <w:szCs w:val="20"/>
          <w:color w:val="auto"/>
        </w:rPr>
      </w:pPr>
      <w:r>
        <w:rPr>
          <w:rFonts w:ascii="Times New Roman" w:cs="Times New Roman" w:eastAsia="Times New Roman" w:hAnsi="Times New Roman"/>
          <w:sz w:val="13"/>
          <w:szCs w:val="13"/>
          <w:color w:val="auto"/>
        </w:rPr>
        <w:t>G. [Indemnitee has certain rights to indemnification and/or insurance provided by (“[Venture Fund]”) which Indemnitee and [Venture Fund] intend to be secondary to the primary obligation of the Company to indemnify Indemnitee as provided herein, with the Company’s acknowledgement and agreement to the foregoing being a material condition to Indemnitee’s willingness to serve on the Company’s Board of Directors.]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-8890</wp:posOffset>
            </wp:positionV>
            <wp:extent cx="593090" cy="63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93090" cy="6350"/>
                    </a:xfrm>
                    <a:prstGeom prst="rect">
                      <a:avLst/>
                    </a:prstGeom>
                    <a:noFill/>
                  </pic:spPr>
                </pic:pic>
              </a:graphicData>
            </a:graphic>
          </wp:anchor>
        </w:drawing>
      </w:r>
    </w:p>
    <w:p>
      <w:pPr>
        <w:ind w:left="560" w:hanging="337"/>
        <w:spacing w:after="0" w:line="183" w:lineRule="auto"/>
        <w:tabs>
          <w:tab w:leader="none" w:pos="560" w:val="left"/>
        </w:tabs>
        <w:numPr>
          <w:ilvl w:val="0"/>
          <w:numId w:val="60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NTD: To be included in affiliated-director indemnification agreements.</w:t>
      </w:r>
    </w:p>
    <w:p>
      <w:pPr>
        <w:sectPr>
          <w:pgSz w:w="11900" w:h="16838" w:orient="portrait"/>
          <w:cols w:equalWidth="0" w:num="1">
            <w:col w:w="9019"/>
          </w:cols>
          <w:pgMar w:left="1440" w:top="123" w:right="1440" w:bottom="1440" w:gutter="0" w:footer="0" w:header="0"/>
        </w:sectPr>
      </w:pPr>
    </w:p>
    <w:bookmarkStart w:id="855" w:name="page856"/>
    <w:bookmarkEnd w:id="85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AGREEMENT</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mutual covenants and agreements set forth herein, the parties hereto, intending to be legally bound, hereby agree as follows:</w:t>
      </w:r>
    </w:p>
    <w:p>
      <w:pPr>
        <w:spacing w:after="0" w:line="125" w:lineRule="exact"/>
        <w:rPr>
          <w:sz w:val="20"/>
          <w:szCs w:val="20"/>
          <w:color w:val="auto"/>
        </w:rPr>
      </w:pPr>
    </w:p>
    <w:p>
      <w:pPr>
        <w:ind w:left="700" w:hanging="135"/>
        <w:spacing w:after="0"/>
        <w:tabs>
          <w:tab w:leader="none" w:pos="700" w:val="left"/>
        </w:tabs>
        <w:numPr>
          <w:ilvl w:val="0"/>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459" w:firstLine="773"/>
        <w:spacing w:after="0" w:line="261" w:lineRule="auto"/>
        <w:tabs>
          <w:tab w:leader="none" w:pos="1181" w:val="left"/>
        </w:tabs>
        <w:numPr>
          <w:ilvl w:val="1"/>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For purposes of this Agreement, the term “agent” of the Company means any person who: (i) is or was a director, officer, employee or other fiduciary of the Company or a subsidiary of the Company; or (ii) is or was serving at the request or for the convenience of, or representing the interests of, the Company or a subsidiary of the Company, as a director, officer, employee or other fiduciary of a foreign or domestic corporation, partnership, joint venture, trust or other enterprise.</w:t>
      </w:r>
    </w:p>
    <w:p>
      <w:pPr>
        <w:spacing w:after="0" w:line="139" w:lineRule="exact"/>
        <w:rPr>
          <w:rFonts w:ascii="Times New Roman" w:cs="Times New Roman" w:eastAsia="Times New Roman" w:hAnsi="Times New Roman"/>
          <w:sz w:val="14"/>
          <w:szCs w:val="14"/>
          <w:color w:val="auto"/>
        </w:rPr>
      </w:pPr>
    </w:p>
    <w:p>
      <w:pPr>
        <w:ind w:left="220" w:right="419" w:firstLine="773"/>
        <w:spacing w:after="0" w:line="282" w:lineRule="auto"/>
        <w:tabs>
          <w:tab w:leader="none" w:pos="1188" w:val="left"/>
        </w:tabs>
        <w:numPr>
          <w:ilvl w:val="1"/>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For purposes of this Agreement, the term “change in control” shall be deemed to occur upon the earliest to occur after the date of this Agreement of any of the following events:</w:t>
      </w:r>
    </w:p>
    <w:p>
      <w:pPr>
        <w:spacing w:after="0" w:line="123" w:lineRule="exact"/>
        <w:rPr>
          <w:rFonts w:ascii="Times New Roman" w:cs="Times New Roman" w:eastAsia="Times New Roman" w:hAnsi="Times New Roman"/>
          <w:sz w:val="14"/>
          <w:szCs w:val="14"/>
          <w:color w:val="auto"/>
        </w:rPr>
      </w:pPr>
    </w:p>
    <w:p>
      <w:pPr>
        <w:ind w:left="220" w:right="459" w:firstLine="1116"/>
        <w:spacing w:after="0" w:line="267" w:lineRule="auto"/>
        <w:tabs>
          <w:tab w:leader="none" w:pos="1500" w:val="left"/>
        </w:tabs>
        <w:numPr>
          <w:ilvl w:val="2"/>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Acquisition of Stock by Third Party. </w:t>
      </w:r>
      <w:r>
        <w:rPr>
          <w:rFonts w:ascii="Times New Roman" w:cs="Times New Roman" w:eastAsia="Times New Roman" w:hAnsi="Times New Roman"/>
          <w:sz w:val="14"/>
          <w:szCs w:val="14"/>
          <w:color w:val="auto"/>
        </w:rPr>
        <w:t>Any Person (as defined below) is or becomes the Beneficial Owner (as defined below),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or indirectly, of securities of the Company representing twenty percent (20%) or more of the combined voting power of the Company’s then-outstanding securities;</w:t>
      </w:r>
    </w:p>
    <w:p>
      <w:pPr>
        <w:spacing w:after="0" w:line="134" w:lineRule="exact"/>
        <w:rPr>
          <w:rFonts w:ascii="Times New Roman" w:cs="Times New Roman" w:eastAsia="Times New Roman" w:hAnsi="Times New Roman"/>
          <w:sz w:val="14"/>
          <w:szCs w:val="14"/>
          <w:color w:val="auto"/>
        </w:rPr>
      </w:pPr>
    </w:p>
    <w:p>
      <w:pPr>
        <w:ind w:left="220" w:right="399" w:firstLine="1116"/>
        <w:spacing w:after="0" w:line="257" w:lineRule="auto"/>
        <w:tabs>
          <w:tab w:leader="none" w:pos="1539" w:val="left"/>
        </w:tabs>
        <w:numPr>
          <w:ilvl w:val="2"/>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Change in Board Composition. </w:t>
      </w:r>
      <w:r>
        <w:rPr>
          <w:rFonts w:ascii="Times New Roman" w:cs="Times New Roman" w:eastAsia="Times New Roman" w:hAnsi="Times New Roman"/>
          <w:sz w:val="14"/>
          <w:szCs w:val="14"/>
          <w:color w:val="auto"/>
        </w:rPr>
        <w:t>During any period of two consecutive years (not including any period prior to the execution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1(b)(i), 1(b)(iii) or 1(b)(iv))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40" w:lineRule="exact"/>
        <w:rPr>
          <w:rFonts w:ascii="Times New Roman" w:cs="Times New Roman" w:eastAsia="Times New Roman" w:hAnsi="Times New Roman"/>
          <w:sz w:val="14"/>
          <w:szCs w:val="14"/>
          <w:color w:val="auto"/>
        </w:rPr>
      </w:pPr>
    </w:p>
    <w:p>
      <w:pPr>
        <w:ind w:left="220" w:right="259" w:firstLine="1116"/>
        <w:spacing w:after="0" w:line="259" w:lineRule="auto"/>
        <w:tabs>
          <w:tab w:leader="none" w:pos="1578" w:val="left"/>
        </w:tabs>
        <w:numPr>
          <w:ilvl w:val="2"/>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Transactions. </w:t>
      </w:r>
      <w:r>
        <w:rPr>
          <w:rFonts w:ascii="Times New Roman" w:cs="Times New Roman" w:eastAsia="Times New Roman" w:hAnsi="Times New Roman"/>
          <w:sz w:val="14"/>
          <w:szCs w:val="14"/>
          <w:color w:val="auto"/>
        </w:rPr>
        <w:t>The effective date of a merger or consolidation of the Company with any other entity, other than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856" w:name="page857"/>
    <w:bookmarkEnd w:id="856"/>
    <w:p>
      <w:pPr>
        <w:ind w:left="220" w:right="359" w:firstLine="1116"/>
        <w:spacing w:after="0" w:line="285" w:lineRule="auto"/>
        <w:tabs>
          <w:tab w:leader="none" w:pos="1570" w:val="left"/>
        </w:tabs>
        <w:numPr>
          <w:ilvl w:val="0"/>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Liquidation. </w:t>
      </w:r>
      <w:r>
        <w:rPr>
          <w:rFonts w:ascii="Times New Roman" w:cs="Times New Roman" w:eastAsia="Times New Roman" w:hAnsi="Times New Roman"/>
          <w:sz w:val="14"/>
          <w:szCs w:val="14"/>
          <w:color w:val="auto"/>
        </w:rPr>
        <w:t>The approval by the stockholders of the Company of a dissolution, liquidation and winding up of the Company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agreement for the sale or disposition by the Company of all or substantially all of the Company’s assets; and</w:t>
      </w:r>
    </w:p>
    <w:p>
      <w:pPr>
        <w:spacing w:after="0" w:line="121" w:lineRule="exact"/>
        <w:rPr>
          <w:rFonts w:ascii="Times New Roman" w:cs="Times New Roman" w:eastAsia="Times New Roman" w:hAnsi="Times New Roman"/>
          <w:sz w:val="14"/>
          <w:szCs w:val="14"/>
          <w:color w:val="auto"/>
        </w:rPr>
      </w:pPr>
    </w:p>
    <w:p>
      <w:pPr>
        <w:ind w:left="220" w:right="539" w:firstLine="1116"/>
        <w:spacing w:after="0" w:line="262" w:lineRule="auto"/>
        <w:tabs>
          <w:tab w:leader="none" w:pos="1531" w:val="left"/>
        </w:tabs>
        <w:numPr>
          <w:ilvl w:val="0"/>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Events. </w:t>
      </w:r>
      <w:r>
        <w:rPr>
          <w:rFonts w:ascii="Times New Roman" w:cs="Times New Roman" w:eastAsia="Times New Roman" w:hAnsi="Times New Roman"/>
          <w:sz w:val="14"/>
          <w:szCs w:val="14"/>
          <w:color w:val="auto"/>
        </w:rPr>
        <w:t>Any other event of a nature that would be required to be reported in response to Item 6(e) of Schedule 14A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14A (or in response to any similar item on any similar schedule or form) promulgated under the Securities Exchange Act of 1934, as amended, whether or not the Company is then subject to such reporting requirement, except the completion of the Company’s initial public offering shall not be considered a change in control.</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this Section 1(b), the following terms shall have the following meanings: (A) “</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shall have the meaning as set forth in</w:t>
      </w:r>
    </w:p>
    <w:p>
      <w:pPr>
        <w:spacing w:after="0" w:line="24" w:lineRule="exact"/>
        <w:rPr>
          <w:sz w:val="20"/>
          <w:szCs w:val="20"/>
          <w:color w:val="auto"/>
        </w:rPr>
      </w:pPr>
    </w:p>
    <w:p>
      <w:pPr>
        <w:ind w:left="220" w:right="259"/>
        <w:spacing w:after="0" w:line="252" w:lineRule="auto"/>
        <w:rPr>
          <w:sz w:val="20"/>
          <w:szCs w:val="20"/>
          <w:color w:val="auto"/>
        </w:rPr>
      </w:pPr>
      <w:r>
        <w:rPr>
          <w:rFonts w:ascii="Times New Roman" w:cs="Times New Roman" w:eastAsia="Times New Roman" w:hAnsi="Times New Roman"/>
          <w:sz w:val="14"/>
          <w:szCs w:val="14"/>
          <w:color w:val="auto"/>
        </w:rPr>
        <w:t xml:space="preserve">Sections 13(d) and 14(d) of the Securities Exchange Act of 1934, as amended;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 and (B) “</w:t>
      </w:r>
      <w:r>
        <w:rPr>
          <w:rFonts w:ascii="Times New Roman" w:cs="Times New Roman" w:eastAsia="Times New Roman" w:hAnsi="Times New Roman"/>
          <w:sz w:val="14"/>
          <w:szCs w:val="14"/>
          <w:i w:val="1"/>
          <w:iCs w:val="1"/>
          <w:color w:val="auto"/>
        </w:rPr>
        <w:t>Beneficial Owner</w:t>
      </w:r>
      <w:r>
        <w:rPr>
          <w:rFonts w:ascii="Times New Roman" w:cs="Times New Roman" w:eastAsia="Times New Roman" w:hAnsi="Times New Roman"/>
          <w:sz w:val="14"/>
          <w:szCs w:val="14"/>
          <w:color w:val="auto"/>
        </w:rPr>
        <w:t xml:space="preserve">” shall have the meaning given to such term in Rule 13d-3 under the Securities Exchange Act of 1934, as amended;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i w:val="1"/>
          <w:iCs w:val="1"/>
          <w:color w:val="auto"/>
        </w:rPr>
        <w:t>Beneficial Owner</w:t>
      </w:r>
      <w:r>
        <w:rPr>
          <w:rFonts w:ascii="Times New Roman" w:cs="Times New Roman" w:eastAsia="Times New Roman" w:hAnsi="Times New Roman"/>
          <w:sz w:val="14"/>
          <w:szCs w:val="14"/>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46" w:lineRule="exact"/>
        <w:rPr>
          <w:sz w:val="20"/>
          <w:szCs w:val="20"/>
          <w:color w:val="auto"/>
        </w:rPr>
      </w:pPr>
    </w:p>
    <w:p>
      <w:pPr>
        <w:ind w:left="220" w:right="299" w:firstLine="773"/>
        <w:spacing w:after="0" w:line="282" w:lineRule="auto"/>
        <w:tabs>
          <w:tab w:leader="none" w:pos="1181"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For purposes of this Agreement, the term “disinterested director” shall be a director of the Company who is not and was not a party to the proceeding in respect of which indemnification is sought by Indemnitee.</w:t>
      </w:r>
    </w:p>
    <w:p>
      <w:pPr>
        <w:spacing w:after="0" w:line="125" w:lineRule="exact"/>
        <w:rPr>
          <w:rFonts w:ascii="Times New Roman" w:cs="Times New Roman" w:eastAsia="Times New Roman" w:hAnsi="Times New Roman"/>
          <w:sz w:val="14"/>
          <w:szCs w:val="14"/>
          <w:color w:val="auto"/>
        </w:rPr>
      </w:pPr>
    </w:p>
    <w:p>
      <w:pPr>
        <w:ind w:left="220" w:right="279" w:firstLine="773"/>
        <w:spacing w:after="0" w:line="253" w:lineRule="auto"/>
        <w:tabs>
          <w:tab w:leader="none" w:pos="1188"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For purposes of this Agreement, the term “expenses” shall be broadly construed and shall include, without limitation, all direct and indirect costs of any type (including, without limitation, all reasonable attorneys’, witness, or other professional fees and related disbursements, and other reasonable out-of-pocket costs), actually and reasonably incurred by Indemnitee in connection with the investigation, defense or appeal of a proceeding or establishing or enforcing a right to indemnification under this Agreement, the Code or otherwise, and amounts paid in settlement by or on behalf of Indemnitee, but shall not include any judgments, fines or penalties actually levied against Indemnitee for such individual’s violations of law. The term “expenses” shall also include reasonable compensation for time spent by Indemnitee for which Indemnitee is not compensated by the Company or any subsidiary or third party (i) for any period during which Indemnitee is not an agent, in the employment of, serving as a director of the Company or its parent entity or subsidiary, or providing services for compensation to, the Company or its parent entity or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857" w:name="page858"/>
    <w:bookmarkEnd w:id="857"/>
    <w:p>
      <w:pPr>
        <w:ind w:left="220" w:right="319" w:firstLine="773"/>
        <w:spacing w:after="0" w:line="254" w:lineRule="auto"/>
        <w:tabs>
          <w:tab w:leader="none" w:pos="1181"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Proceedings</w:t>
      </w:r>
      <w:r>
        <w:rPr>
          <w:rFonts w:ascii="Times New Roman" w:cs="Times New Roman" w:eastAsia="Times New Roman" w:hAnsi="Times New Roman"/>
          <w:sz w:val="14"/>
          <w:szCs w:val="14"/>
          <w:color w:val="auto"/>
        </w:rPr>
        <w:t>. For purposes of this Agreement, the term “proceeding” shall be broadly construed and shall include, without limitation,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or otherwise by reason of: (i) the fact that Indemnitee is or was a director or officer of the Company; (ii) the fact that any action taken by Indemnitee or of any action on Indemnitee’s part while acting as director, officer, employee or agent of the Company;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w:t>
      </w:r>
    </w:p>
    <w:p>
      <w:pPr>
        <w:spacing w:after="0" w:line="145" w:lineRule="exact"/>
        <w:rPr>
          <w:rFonts w:ascii="Times New Roman" w:cs="Times New Roman" w:eastAsia="Times New Roman" w:hAnsi="Times New Roman"/>
          <w:sz w:val="14"/>
          <w:szCs w:val="14"/>
          <w:color w:val="auto"/>
        </w:rPr>
      </w:pPr>
    </w:p>
    <w:p>
      <w:pPr>
        <w:jc w:val="both"/>
        <w:ind w:left="220" w:right="239" w:firstLine="773"/>
        <w:spacing w:after="0" w:line="261" w:lineRule="auto"/>
        <w:tabs>
          <w:tab w:leader="none" w:pos="1165"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For purposes of this Agreement, the term “subsidiary” means any corporation or limited liability company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139" w:lineRule="exact"/>
        <w:rPr>
          <w:rFonts w:ascii="Times New Roman" w:cs="Times New Roman" w:eastAsia="Times New Roman" w:hAnsi="Times New Roman"/>
          <w:sz w:val="14"/>
          <w:szCs w:val="14"/>
          <w:color w:val="auto"/>
        </w:rPr>
      </w:pPr>
    </w:p>
    <w:p>
      <w:pPr>
        <w:ind w:left="220" w:right="259" w:firstLine="773"/>
        <w:spacing w:after="0" w:line="256" w:lineRule="auto"/>
        <w:tabs>
          <w:tab w:leader="none" w:pos="1188"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Independent Counsel</w:t>
      </w:r>
      <w:r>
        <w:rPr>
          <w:rFonts w:ascii="Times New Roman" w:cs="Times New Roman" w:eastAsia="Times New Roman" w:hAnsi="Times New Roman"/>
          <w:sz w:val="14"/>
          <w:szCs w:val="14"/>
          <w:color w:val="auto"/>
        </w:rPr>
        <w:t>. For purposes of this Agreement, the term “independent counsel” means a law firm, or a partner (or, if applicable, member) of such a law firm, that is experienced in the matters relevant to the issue(s) concerning such indemnification claims,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44" w:lineRule="exact"/>
        <w:rPr>
          <w:rFonts w:ascii="Times New Roman" w:cs="Times New Roman" w:eastAsia="Times New Roman" w:hAnsi="Times New Roman"/>
          <w:sz w:val="14"/>
          <w:szCs w:val="14"/>
          <w:color w:val="auto"/>
        </w:rPr>
      </w:pPr>
    </w:p>
    <w:p>
      <w:pPr>
        <w:ind w:left="220" w:right="239" w:firstLine="345"/>
        <w:spacing w:after="0" w:line="255" w:lineRule="auto"/>
        <w:tabs>
          <w:tab w:leader="none" w:pos="702"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Serve</w:t>
      </w:r>
      <w:r>
        <w:rPr>
          <w:rFonts w:ascii="Times New Roman" w:cs="Times New Roman" w:eastAsia="Times New Roman" w:hAnsi="Times New Roman"/>
          <w:sz w:val="14"/>
          <w:szCs w:val="14"/>
          <w:color w:val="auto"/>
        </w:rPr>
        <w:t>. Indemnitee will serve, or continue to serve, as a director, officer, employee or agent of the Company or any subsidiary, as the case may be, faithfully and to the best of his or her ability, at the will of the Company or such subsidiary (or under separate agreement, if such agreement exists), in the capacity Indemnitee currently serves as an agent of the Company or such subsidiary, so long as Indemnitee is duly appointed or elected and qualified in accordance with the applicable provisions of the Bylaws or other applicable governing documents of the Company or such other subsidiary, as applicable, or until such time as Indemnitee resigns from such position;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858" w:name="page859"/>
    <w:bookmarkEnd w:id="858"/>
    <w:p>
      <w:pPr>
        <w:ind w:left="220" w:right="319" w:firstLine="34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acknowledges that it has entered into this Agreement and assumes the obligations imposed on it hereby, in addition to and separate from its obligations to Indemnitee under the Bylaws, to induce Indemnitee to serve, or continue to serve, as a director, officer, employee or agent of the Company and/or any subsidiary of the Company, and the Company acknowledges that Indemnitee is relying upon this Agreement in serving as a director, officer, employee or agent of the Company and/or any such subsidiary.</w:t>
      </w:r>
    </w:p>
    <w:p>
      <w:pPr>
        <w:spacing w:after="0" w:line="139" w:lineRule="exact"/>
        <w:rPr>
          <w:sz w:val="20"/>
          <w:szCs w:val="20"/>
          <w:color w:val="auto"/>
        </w:rPr>
      </w:pPr>
    </w:p>
    <w:p>
      <w:pPr>
        <w:ind w:left="700" w:hanging="135"/>
        <w:spacing w:after="0"/>
        <w:tabs>
          <w:tab w:leader="none" w:pos="700"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79" w:firstLine="773"/>
        <w:spacing w:after="0" w:line="261" w:lineRule="auto"/>
        <w:tabs>
          <w:tab w:leader="none" w:pos="1181" w:val="left"/>
        </w:tabs>
        <w:numPr>
          <w:ilvl w:val="1"/>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in Third Party Proceedings</w:t>
      </w:r>
      <w:r>
        <w:rPr>
          <w:rFonts w:ascii="Times New Roman" w:cs="Times New Roman" w:eastAsia="Times New Roman" w:hAnsi="Times New Roman"/>
          <w:sz w:val="14"/>
          <w:szCs w:val="14"/>
          <w:color w:val="auto"/>
        </w:rPr>
        <w:t>. Subject to Section 10 below, the Company shall indemnify Indemnitee to the fullest extent permitted by the Code, as the same may be amended from time to time, if Indemnitee is a party to or threatened to be made a party to or otherwise involved in any proceeding, for any and all expenses, actually and reasonably incurred by Indemnitee in connection with the investigation, defense, settlement or appeal of such proceeding.</w:t>
      </w:r>
    </w:p>
    <w:p>
      <w:pPr>
        <w:spacing w:after="0" w:line="139" w:lineRule="exact"/>
        <w:rPr>
          <w:rFonts w:ascii="Times New Roman" w:cs="Times New Roman" w:eastAsia="Times New Roman" w:hAnsi="Times New Roman"/>
          <w:sz w:val="14"/>
          <w:szCs w:val="14"/>
          <w:color w:val="auto"/>
        </w:rPr>
      </w:pPr>
    </w:p>
    <w:p>
      <w:pPr>
        <w:ind w:left="220" w:right="279" w:firstLine="773"/>
        <w:spacing w:after="0" w:line="261" w:lineRule="auto"/>
        <w:tabs>
          <w:tab w:leader="none" w:pos="1188" w:val="left"/>
        </w:tabs>
        <w:numPr>
          <w:ilvl w:val="1"/>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in Derivative Actions and Direct Actions by the Company</w:t>
      </w:r>
      <w:r>
        <w:rPr>
          <w:rFonts w:ascii="Times New Roman" w:cs="Times New Roman" w:eastAsia="Times New Roman" w:hAnsi="Times New Roman"/>
          <w:sz w:val="14"/>
          <w:szCs w:val="14"/>
          <w:color w:val="auto"/>
        </w:rPr>
        <w:t>. Subject to Section 10 below, the Company shall indemnify Indemnitee to the fullest extent permitted by the Code,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w:t>
      </w:r>
    </w:p>
    <w:p>
      <w:pPr>
        <w:spacing w:after="0" w:line="139" w:lineRule="exact"/>
        <w:rPr>
          <w:rFonts w:ascii="Times New Roman" w:cs="Times New Roman" w:eastAsia="Times New Roman" w:hAnsi="Times New Roman"/>
          <w:sz w:val="14"/>
          <w:szCs w:val="14"/>
          <w:color w:val="auto"/>
        </w:rPr>
      </w:pPr>
    </w:p>
    <w:p>
      <w:pPr>
        <w:ind w:left="220" w:right="239" w:firstLine="345"/>
        <w:spacing w:after="0" w:line="254" w:lineRule="auto"/>
        <w:tabs>
          <w:tab w:leader="none" w:pos="702"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Expenses of Successful Party</w:t>
      </w:r>
      <w:r>
        <w:rPr>
          <w:rFonts w:ascii="Times New Roman" w:cs="Times New Roman" w:eastAsia="Times New Roman" w:hAnsi="Times New Roman"/>
          <w:sz w:val="14"/>
          <w:szCs w:val="14"/>
          <w:color w:val="auto"/>
        </w:rPr>
        <w:t>. To the extent that Indemnitee is a 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47" w:lineRule="exact"/>
        <w:rPr>
          <w:rFonts w:ascii="Times New Roman" w:cs="Times New Roman" w:eastAsia="Times New Roman" w:hAnsi="Times New Roman"/>
          <w:sz w:val="14"/>
          <w:szCs w:val="14"/>
          <w:color w:val="auto"/>
        </w:rPr>
      </w:pPr>
    </w:p>
    <w:p>
      <w:pPr>
        <w:ind w:left="220" w:right="519" w:firstLine="345"/>
        <w:spacing w:after="0" w:line="261" w:lineRule="auto"/>
        <w:tabs>
          <w:tab w:leader="none" w:pos="702"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Indemnification</w:t>
      </w:r>
      <w:r>
        <w:rPr>
          <w:rFonts w:ascii="Times New Roman" w:cs="Times New Roman" w:eastAsia="Times New Roman" w:hAnsi="Times New Roman"/>
          <w:sz w:val="14"/>
          <w:szCs w:val="14"/>
          <w:color w:val="auto"/>
        </w:rPr>
        <w:t>. If Indemnitee is entitled under any provision of this Agreement to indemnification by the Company for some or a 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w:t>
      </w:r>
    </w:p>
    <w:p>
      <w:pPr>
        <w:spacing w:after="0" w:line="139" w:lineRule="exact"/>
        <w:rPr>
          <w:rFonts w:ascii="Times New Roman" w:cs="Times New Roman" w:eastAsia="Times New Roman" w:hAnsi="Times New Roman"/>
          <w:sz w:val="14"/>
          <w:szCs w:val="14"/>
          <w:color w:val="auto"/>
        </w:rPr>
      </w:pPr>
    </w:p>
    <w:p>
      <w:pPr>
        <w:jc w:val="both"/>
        <w:ind w:left="220" w:right="259" w:firstLine="345"/>
        <w:spacing w:after="0" w:line="261" w:lineRule="auto"/>
        <w:tabs>
          <w:tab w:leader="none" w:pos="702"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To the extent not prohibited by law, the Company shall advance the expenses incurred by Indemnitee in connection with any proceeding, and such advancement shall be made as soon as practicable but no more than forty-five (45) days after the receipt by the Company of a statement or statements requesting such advances (which shall include invoices received by Indemnitee in connection with such expenses but, in the case of invoices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859" w:name="page860"/>
    <w:bookmarkEnd w:id="859"/>
    <w:p>
      <w:pPr>
        <w:ind w:left="22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connection with legal services, any references to legal work performed or to expenditures made that would cause Indemnitee to waive any privilege accorded by applicable law shall not be included with the invoice). Advances shall be unsecured, interest free and without regard to Indemnitee’s ability to repay the expenses. Indemnitee hereby undertakes to repay any advance to the extent that it is ultimately determined by a court of competent jurisdiction in a final judgment, not subject to appeal, that Indemnitee is not entitled to be indemnified by the Company.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148" w:lineRule="exact"/>
        <w:rPr>
          <w:sz w:val="20"/>
          <w:szCs w:val="20"/>
          <w:color w:val="auto"/>
        </w:rPr>
      </w:pPr>
    </w:p>
    <w:p>
      <w:pPr>
        <w:ind w:left="700" w:hanging="135"/>
        <w:spacing w:after="0"/>
        <w:tabs>
          <w:tab w:leader="none" w:pos="700" w:val="left"/>
        </w:tabs>
        <w:numPr>
          <w:ilvl w:val="0"/>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and Other Indemnification Procedures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59" w:firstLine="773"/>
        <w:spacing w:after="0" w:line="261" w:lineRule="auto"/>
        <w:tabs>
          <w:tab w:leader="none" w:pos="1181"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 of Proceeding</w:t>
      </w:r>
      <w:r>
        <w:rPr>
          <w:rFonts w:ascii="Times New Roman" w:cs="Times New Roman" w:eastAsia="Times New Roman" w:hAnsi="Times New Roman"/>
          <w:sz w:val="14"/>
          <w:szCs w:val="14"/>
          <w:color w:val="auto"/>
        </w:rPr>
        <w:t>.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39" w:lineRule="exact"/>
        <w:rPr>
          <w:rFonts w:ascii="Times New Roman" w:cs="Times New Roman" w:eastAsia="Times New Roman" w:hAnsi="Times New Roman"/>
          <w:sz w:val="14"/>
          <w:szCs w:val="14"/>
          <w:color w:val="auto"/>
        </w:rPr>
      </w:pPr>
    </w:p>
    <w:p>
      <w:pPr>
        <w:ind w:left="220" w:right="239" w:firstLine="773"/>
        <w:spacing w:after="0" w:line="258" w:lineRule="auto"/>
        <w:tabs>
          <w:tab w:leader="none" w:pos="1188"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Request for Indemnification and Indemnification Payments</w:t>
      </w:r>
      <w:r>
        <w:rPr>
          <w:rFonts w:ascii="Times New Roman" w:cs="Times New Roman" w:eastAsia="Times New Roman" w:hAnsi="Times New Roman"/>
          <w:sz w:val="14"/>
          <w:szCs w:val="14"/>
          <w:color w:val="auto"/>
        </w:rPr>
        <w:t>. Indemnitee shall notify the Company promptly in writing upon receiving notice of any demand, judgment or other requirement for payment that is the subject to indemnification under the terms of this Agreement and shall request payment thereof by the Company. Indemnification payments requested by Indemnitee under Section 3 hereof shall be made by the Company as soon as practicable but no later than sixty (60) days after receipt of the written request of Indemnitee. Claims for advancement of expenses shall be made under the provisions of Section 6 herein.</w:t>
      </w:r>
    </w:p>
    <w:p>
      <w:pPr>
        <w:spacing w:after="0" w:line="142" w:lineRule="exact"/>
        <w:rPr>
          <w:rFonts w:ascii="Times New Roman" w:cs="Times New Roman" w:eastAsia="Times New Roman" w:hAnsi="Times New Roman"/>
          <w:sz w:val="14"/>
          <w:szCs w:val="14"/>
          <w:color w:val="auto"/>
        </w:rPr>
      </w:pPr>
    </w:p>
    <w:p>
      <w:pPr>
        <w:ind w:left="220" w:right="339" w:firstLine="773"/>
        <w:spacing w:after="0" w:line="256" w:lineRule="auto"/>
        <w:tabs>
          <w:tab w:leader="none" w:pos="1181"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for Enforcement</w:t>
      </w:r>
      <w:r>
        <w:rPr>
          <w:rFonts w:ascii="Times New Roman" w:cs="Times New Roman" w:eastAsia="Times New Roman" w:hAnsi="Times New Roman"/>
          <w:sz w:val="14"/>
          <w:szCs w:val="14"/>
          <w:color w:val="auto"/>
        </w:rPr>
        <w:t>. In the event the Company fails to make 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by that indemnification or advancement of expenses to Indemnitee is not required under this Agreement or permitted by applicable law. Any determination by the Company (including its board of directors, stockholders or independent counsel) that Indemnitee is not entitled to indemnification hereunder, shall not create any presumption that Indemnitee is not entitled to indemnification or advancement of expenses hereunder.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860" w:name="page861"/>
    <w:bookmarkEnd w:id="860"/>
    <w:p>
      <w:pPr>
        <w:ind w:left="1200" w:hanging="207"/>
        <w:spacing w:after="0"/>
        <w:tabs>
          <w:tab w:leader="none" w:pos="1200" w:val="left"/>
        </w:tabs>
        <w:numPr>
          <w:ilvl w:val="1"/>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Procedures Upon Application for Indemnification</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99" w:firstLine="1116"/>
        <w:spacing w:after="0" w:line="256" w:lineRule="auto"/>
        <w:tabs>
          <w:tab w:leader="none" w:pos="1500" w:val="left"/>
        </w:tabs>
        <w:numPr>
          <w:ilvl w:val="2"/>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request by Indemnitee for indemnification herein, a determination with respect to Indemnitee’s entitlement thereto shall be made as follows, provided that a change in control shall not have occurred: (i) by a majority vote of the disinterested directors, even if less than a quorum of the Company’s board of directors; (ii) by a committee of disinterested directors designated by a majority vote of the disinterested directors, even if less than a quorum of the Company’s board of directors; (iii) if there are no such disinterested directors or, if such disinterested directors so direct, by independent counsel in a written opinion to the Company’s board of directors, a copy of which shall be delivered to Indemnitee; or (iv) if so directed by the Company’s board of directors, by the Company’s stockholders.</w:t>
      </w:r>
    </w:p>
    <w:p>
      <w:pPr>
        <w:spacing w:after="0" w:line="144" w:lineRule="exact"/>
        <w:rPr>
          <w:rFonts w:ascii="Times New Roman" w:cs="Times New Roman" w:eastAsia="Times New Roman" w:hAnsi="Times New Roman"/>
          <w:sz w:val="14"/>
          <w:szCs w:val="14"/>
          <w:color w:val="auto"/>
        </w:rPr>
      </w:pPr>
    </w:p>
    <w:p>
      <w:pPr>
        <w:ind w:left="220" w:right="399" w:firstLine="1116"/>
        <w:spacing w:after="0" w:line="255" w:lineRule="auto"/>
        <w:tabs>
          <w:tab w:leader="none" w:pos="1539" w:val="left"/>
        </w:tabs>
        <w:numPr>
          <w:ilvl w:val="2"/>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shall have occurred, a determination with respect to Indemnitee’s entitlement to indemnification shall be made by independent counsel in a written opinion to the Company’s board of directors, a copy of which shall be delivered to Indemnitee.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45" w:lineRule="exact"/>
        <w:rPr>
          <w:rFonts w:ascii="Times New Roman" w:cs="Times New Roman" w:eastAsia="Times New Roman" w:hAnsi="Times New Roman"/>
          <w:sz w:val="14"/>
          <w:szCs w:val="14"/>
          <w:color w:val="auto"/>
        </w:rPr>
      </w:pPr>
    </w:p>
    <w:p>
      <w:pPr>
        <w:ind w:left="220" w:right="319" w:firstLine="1116"/>
        <w:spacing w:after="0" w:line="254" w:lineRule="auto"/>
        <w:tabs>
          <w:tab w:leader="none" w:pos="1578" w:val="left"/>
        </w:tabs>
        <w:numPr>
          <w:ilvl w:val="2"/>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determination of entitlement to indemnification is to be made by independent counsel, the independent counsel shall be selected as provided below and consistent with the requirements of an independent counsel as set forth in Section 1. If a change in control shall not have occurred, the independent counsel shall be selected by the Company’s board of directors, with the consent of the Indemnitee (which consent shall not be unreasonably withheld). If a change in control shall have occurred, the independent counsel shall be selected by Indemnitee (unless Indemnitee shall request that such selection be made by the Company’s board of directors, in which event the preceding sentence shall apply, or in the event that there are multiple indemnitees relating to the same indemnification claims without a conflict of interest, in which case such indemnitees shall endeavor to unanimously appoint a single independent counsel), with the consent of the Company (which consent shall not be unreasonably withheld). The Company shall pay the reasonable fees and expenses of any independent counsel relating to the indemnification matters contemplated herein consistent with the terms of this Agreement.</w:t>
      </w:r>
    </w:p>
    <w:p>
      <w:pPr>
        <w:spacing w:after="0" w:line="145" w:lineRule="exact"/>
        <w:rPr>
          <w:rFonts w:ascii="Times New Roman" w:cs="Times New Roman" w:eastAsia="Times New Roman" w:hAnsi="Times New Roman"/>
          <w:sz w:val="14"/>
          <w:szCs w:val="14"/>
          <w:color w:val="auto"/>
        </w:rPr>
      </w:pPr>
    </w:p>
    <w:p>
      <w:pPr>
        <w:ind w:left="220" w:right="419" w:firstLine="773"/>
        <w:spacing w:after="0" w:line="282" w:lineRule="auto"/>
        <w:tabs>
          <w:tab w:leader="none" w:pos="1181" w:val="left"/>
        </w:tabs>
        <w:numPr>
          <w:ilvl w:val="1"/>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Indemnitee shall provide the Company such information and cooperation in connection with any proceeding as may be reasonably appropriate.</w:t>
      </w:r>
    </w:p>
    <w:p>
      <w:pPr>
        <w:spacing w:after="0" w:line="125" w:lineRule="exact"/>
        <w:rPr>
          <w:rFonts w:ascii="Times New Roman" w:cs="Times New Roman" w:eastAsia="Times New Roman" w:hAnsi="Times New Roman"/>
          <w:sz w:val="14"/>
          <w:szCs w:val="14"/>
          <w:color w:val="auto"/>
        </w:rPr>
      </w:pPr>
    </w:p>
    <w:p>
      <w:pPr>
        <w:ind w:left="220" w:right="239" w:firstLine="345"/>
        <w:spacing w:after="0" w:line="256" w:lineRule="auto"/>
        <w:tabs>
          <w:tab w:leader="none" w:pos="702" w:val="left"/>
        </w:tabs>
        <w:numPr>
          <w:ilvl w:val="0"/>
          <w:numId w:val="6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Assumption of Defense</w:t>
      </w:r>
      <w:r>
        <w:rPr>
          <w:rFonts w:ascii="Times New Roman" w:cs="Times New Roman" w:eastAsia="Times New Roman" w:hAnsi="Times New Roman"/>
          <w:sz w:val="14"/>
          <w:szCs w:val="14"/>
          <w:color w:val="auto"/>
        </w:rPr>
        <w:t>. In the event the Company may be obligated to make any indemnity to Indemnitee contemplated hereunder in connection with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861" w:name="page862"/>
    <w:bookmarkEnd w:id="861"/>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cost and expense. Notwithstanding the foregoing, if Indemnitee’s counsel delivers a written notice to the Company stating that such counsel has reasonably concluded that there is, or is reasonably likely to be, a conflict of interest between the Company and Indemnitee in the conduct of any such defense or the Company shall not have employed counsel or otherwise actively pursued the defense of such proceeding within a reasonable time, then in any such event the reasonable fees and expenses of Indemnitee’s counsel to defend such proceeding shall be subject to the indemnification and advancement of expenses provisions of this Agreement.</w:t>
      </w:r>
    </w:p>
    <w:p>
      <w:pPr>
        <w:spacing w:after="0" w:line="142" w:lineRule="exact"/>
        <w:rPr>
          <w:sz w:val="20"/>
          <w:szCs w:val="20"/>
          <w:color w:val="auto"/>
        </w:rPr>
      </w:pPr>
    </w:p>
    <w:p>
      <w:pPr>
        <w:ind w:left="220" w:right="259" w:firstLine="345"/>
        <w:spacing w:after="0" w:line="252" w:lineRule="auto"/>
        <w:tabs>
          <w:tab w:leader="none" w:pos="702" w:val="left"/>
        </w:tabs>
        <w:numPr>
          <w:ilvl w:val="0"/>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To the extent that the Company maintains an insurance policy or policies providing liability insurance for directors, officers, employees, or agents of the Company or of any subsidiary (“D&amp;O Insurance”),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D&amp;O Insurance in effect, the Company shall give prompt notice of the commencement of such proceeding to the insurers in accordance with the procedures set forth in the respective policies. The Company shall thereafter take all commercially reasonable or desirable action to cause such insurers to pay, on behalf of Indemnitee, all amounts payable as a result of such proceeding in accordance with the terms of such policies. In the event of a Change in Control, or the Company becoming insolvent (including being placed into receivership or entering the federal bankruptcy process and the like), the Company shall maintain in force any and all insurance policies then maintained by the Company in respect of Indemnitee (including directors’ and officers’ liability, fiduciary, employment practices or otherwise), for a period of six years thereafter (“Tail Policy”). The Tail Policy shall be placed by the broker of the Company’s choice with incumbent insurance carriers using the policies that were in place at the time of the Change in Control (unless the incumbent carriers do not offer such policies, in which case the Tail Policy shall be substantially comparable in scope and amount as the expiring policies, and the insurance carriers for the Tail Policy shall have an AM Best rating that is the same or better than the AM Best ratings of the expiring policies).</w:t>
      </w:r>
    </w:p>
    <w:p>
      <w:pPr>
        <w:spacing w:after="0" w:line="153" w:lineRule="exact"/>
        <w:rPr>
          <w:rFonts w:ascii="Times New Roman" w:cs="Times New Roman" w:eastAsia="Times New Roman" w:hAnsi="Times New Roman"/>
          <w:sz w:val="14"/>
          <w:szCs w:val="14"/>
          <w:color w:val="auto"/>
        </w:rPr>
      </w:pPr>
    </w:p>
    <w:p>
      <w:pPr>
        <w:ind w:left="780" w:hanging="215"/>
        <w:spacing w:after="0"/>
        <w:tabs>
          <w:tab w:leader="none" w:pos="780" w:val="left"/>
        </w:tabs>
        <w:numPr>
          <w:ilvl w:val="0"/>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Exceptions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39" w:firstLine="773"/>
        <w:spacing w:after="0" w:line="253" w:lineRule="auto"/>
        <w:tabs>
          <w:tab w:leader="none" w:pos="1181"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Matters</w:t>
      </w:r>
      <w:r>
        <w:rPr>
          <w:rFonts w:ascii="Times New Roman" w:cs="Times New Roman" w:eastAsia="Times New Roman" w:hAnsi="Times New Roman"/>
          <w:sz w:val="14"/>
          <w:szCs w:val="14"/>
          <w:color w:val="auto"/>
        </w:rPr>
        <w:t>. 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 (iii) a final judgment or other final adjudication that Indemnitee’s conduct was in bad faith, knowingly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862" w:name="page863"/>
    <w:bookmarkEnd w:id="862"/>
    <w:p>
      <w:pPr>
        <w:ind w:left="2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30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fraudulent or deliberately dishonest or constituted willful misconduct (but only to the extent of such specific determination); (iv) on account of conduct that is established by a final judgment as constituting a breach of Indemnitee’s duty of loyalty to the Company or resulting in any personal profit or advantage to which Indemnitee is not legally entitled; or (v)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Securities Exchange Act.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46" w:lineRule="exact"/>
        <w:rPr>
          <w:sz w:val="20"/>
          <w:szCs w:val="20"/>
          <w:color w:val="auto"/>
        </w:rPr>
      </w:pPr>
    </w:p>
    <w:p>
      <w:pPr>
        <w:ind w:left="220" w:right="239" w:firstLine="773"/>
        <w:spacing w:after="0" w:line="255" w:lineRule="auto"/>
        <w:tabs>
          <w:tab w:leader="none" w:pos="1188"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Claims Initiated by Indemnitee</w:t>
      </w:r>
      <w:r>
        <w:rPr>
          <w:rFonts w:ascii="Times New Roman" w:cs="Times New Roman" w:eastAsia="Times New Roman" w:hAnsi="Times New Roman"/>
          <w:sz w:val="14"/>
          <w:szCs w:val="14"/>
          <w:color w:val="auto"/>
        </w:rPr>
        <w:t>. Any provision herein to the contrary notwithstanding, the Company shall not be obligated to indemnify or advance expenses to Indemnitee with respect to proceedings or claims (or any part thereof) initiated or brought by Indemnitee against the Company or its directors, officers, employees or other agents and not by way of defense, except (i) with respect to proceedings brought to establish or enforce a right to indemnification or an advancement of expenses under this Agreement or under any other agreement, provision in the Bylaws or Certificate of Incorporation or applicable law, or (ii) with respect to any other proceeding initiated by Indemnitee that is either approved by the Company’s board of directors. However, indemnification or advancement of expenses may be provided by the Company in specific cases if the Company’s board of directors determines it to be appropriate.</w:t>
      </w:r>
    </w:p>
    <w:p>
      <w:pPr>
        <w:spacing w:after="0" w:line="145" w:lineRule="exact"/>
        <w:rPr>
          <w:rFonts w:ascii="Times New Roman" w:cs="Times New Roman" w:eastAsia="Times New Roman" w:hAnsi="Times New Roman"/>
          <w:sz w:val="14"/>
          <w:szCs w:val="14"/>
          <w:color w:val="auto"/>
        </w:rPr>
      </w:pPr>
    </w:p>
    <w:p>
      <w:pPr>
        <w:ind w:left="220" w:right="239" w:firstLine="773"/>
        <w:spacing w:after="0" w:line="254" w:lineRule="auto"/>
        <w:tabs>
          <w:tab w:leader="none" w:pos="1181"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Unauthorized Settlements</w:t>
      </w:r>
      <w:r>
        <w:rPr>
          <w:rFonts w:ascii="Times New Roman" w:cs="Times New Roman" w:eastAsia="Times New Roman" w:hAnsi="Times New Roman"/>
          <w:sz w:val="14"/>
          <w:szCs w:val="14"/>
          <w:color w:val="auto"/>
        </w:rPr>
        <w:t>. Any provision herein to the contrary notwithstanding, the Company shall not be obligated pursuant to the terms of this Agreement to indemnify Indemnitee under this Agreement for any amounts paid in settlement of a proceeding effected without the Company’s written consent. The Company shall not, without the Indemnitee’s prior written consent, enter into any such settlement of any proceeding contemplated by this Agreement (in whole or in part) unless such settlement (i) provides for a full and final release of all claims asserted against Indemnitee and (ii) does not impose any expense, judgment, fine, penalty or limitation on Indemnitee.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47" w:lineRule="exact"/>
        <w:rPr>
          <w:rFonts w:ascii="Times New Roman" w:cs="Times New Roman" w:eastAsia="Times New Roman" w:hAnsi="Times New Roman"/>
          <w:sz w:val="14"/>
          <w:szCs w:val="14"/>
          <w:color w:val="auto"/>
        </w:rPr>
      </w:pPr>
    </w:p>
    <w:p>
      <w:pPr>
        <w:ind w:left="220" w:right="279" w:firstLine="773"/>
        <w:spacing w:after="0" w:line="255" w:lineRule="auto"/>
        <w:tabs>
          <w:tab w:leader="none" w:pos="1188"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Act Liabilities</w:t>
      </w:r>
      <w:r>
        <w:rPr>
          <w:rFonts w:ascii="Times New Roman" w:cs="Times New Roman" w:eastAsia="Times New Roman" w:hAnsi="Times New Roman"/>
          <w:sz w:val="14"/>
          <w:szCs w:val="14"/>
          <w:color w:val="auto"/>
        </w:rPr>
        <w:t>. 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2" w:right="1440" w:bottom="1440" w:gutter="0" w:footer="0" w:header="0"/>
        </w:sectPr>
      </w:pPr>
    </w:p>
    <w:bookmarkStart w:id="863" w:name="page864"/>
    <w:bookmarkEnd w:id="863"/>
    <w:p>
      <w:pPr>
        <w:ind w:left="220" w:right="479" w:firstLine="773"/>
        <w:spacing w:after="0" w:line="266" w:lineRule="auto"/>
        <w:tabs>
          <w:tab w:leader="none" w:pos="1181" w:val="left"/>
        </w:tabs>
        <w:numPr>
          <w:ilvl w:val="1"/>
          <w:numId w:val="6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 Duplication of Payment</w:t>
      </w:r>
      <w:r>
        <w:rPr>
          <w:rFonts w:ascii="Times New Roman" w:cs="Times New Roman" w:eastAsia="Times New Roman" w:hAnsi="Times New Roman"/>
          <w:sz w:val="14"/>
          <w:szCs w:val="14"/>
          <w:color w:val="auto"/>
        </w:rPr>
        <w:t>. The Company shall not be obligated under this Agreement to make any payment of amounts otherwise indemnifiable hereunder (or for which advancement is provided hereunder) if and to the extent payment has actually been made to or on behalf of Indemnitee under any statute, insurance policy, indemnity provision or otherwise.</w:t>
      </w:r>
    </w:p>
    <w:p>
      <w:pPr>
        <w:spacing w:after="0" w:line="136"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Priority of Payment and Survival of Rights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299" w:firstLine="773"/>
        <w:spacing w:after="0" w:line="254" w:lineRule="auto"/>
        <w:tabs>
          <w:tab w:leader="none" w:pos="1181" w:val="left"/>
        </w:tabs>
        <w:numPr>
          <w:ilvl w:val="1"/>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indemnification and advancement of expenses set forth in this Agreement shall 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of the Company, in any court in which a proceeding is brought, and Indemnitee’s rights hereunder shall continue after Indemnitee has ceased acting as an agent of the Company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45" w:lineRule="exact"/>
        <w:rPr>
          <w:rFonts w:ascii="Times New Roman" w:cs="Times New Roman" w:eastAsia="Times New Roman" w:hAnsi="Times New Roman"/>
          <w:sz w:val="14"/>
          <w:szCs w:val="14"/>
          <w:color w:val="auto"/>
        </w:rPr>
      </w:pPr>
    </w:p>
    <w:p>
      <w:pPr>
        <w:ind w:left="220" w:right="239" w:firstLine="773"/>
        <w:spacing w:after="0" w:line="274" w:lineRule="auto"/>
        <w:tabs>
          <w:tab w:leader="none" w:pos="1189" w:val="left"/>
        </w:tabs>
        <w:numPr>
          <w:ilvl w:val="1"/>
          <w:numId w:val="6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acknowledges that Indemnitee has certain rights to indemnification, advancement of expenses and/or insurance provided by [Venture Fund] and certain of its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11(b).]</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864" w:name="page865"/>
    <w:bookmarkEnd w:id="864"/>
    <w:p>
      <w:pPr>
        <w:ind w:left="220" w:right="299" w:firstLine="773"/>
        <w:spacing w:after="0" w:line="254" w:lineRule="auto"/>
        <w:tabs>
          <w:tab w:leader="none" w:pos="1181"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47"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72"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This Agreement shall continue until and terminate upon the later of: (a) ten (10) years after the date that Indemnitee shall have ceased to serve as a director or and/or officer, employee or agent of the Company; or (b) one (1) year after the final termination of any proceeding, including any appeal, then pending, in respect to which Indemnitee was granted, or otherwise may be entitled to, rights of indemnification or advancement of expenses hereunder. For the avoidance of doubt, this Agreement shall provide for rights of indemnification and advancement of Expenses as set forth herein for any event or occurrence related to Indemnitee’s service for the Company, regardless of whether such events or occurrences occurred before or after the date of this Agreement.</w:t>
      </w:r>
    </w:p>
    <w:p>
      <w:pPr>
        <w:spacing w:after="0" w:line="145" w:lineRule="exact"/>
        <w:rPr>
          <w:sz w:val="20"/>
          <w:szCs w:val="20"/>
          <w:color w:val="auto"/>
        </w:rPr>
      </w:pPr>
    </w:p>
    <w:p>
      <w:pPr>
        <w:ind w:left="220" w:right="479" w:firstLine="342"/>
        <w:spacing w:after="0" w:line="258" w:lineRule="auto"/>
        <w:rPr>
          <w:sz w:val="20"/>
          <w:szCs w:val="20"/>
          <w:color w:val="auto"/>
        </w:rPr>
      </w:pPr>
      <w:r>
        <w:rPr>
          <w:rFonts w:ascii="Times New Roman" w:cs="Times New Roman" w:eastAsia="Times New Roman" w:hAnsi="Times New Roman"/>
          <w:sz w:val="14"/>
          <w:szCs w:val="14"/>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42" w:lineRule="exact"/>
        <w:rPr>
          <w:sz w:val="20"/>
          <w:szCs w:val="20"/>
          <w:color w:val="auto"/>
        </w:rPr>
      </w:pPr>
    </w:p>
    <w:p>
      <w:pPr>
        <w:ind w:left="220" w:right="259" w:firstLine="345"/>
        <w:spacing w:after="0" w:line="261" w:lineRule="auto"/>
        <w:tabs>
          <w:tab w:leader="none" w:pos="772"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Subrogation</w:t>
      </w:r>
      <w:r>
        <w:rPr>
          <w:rFonts w:ascii="Times New Roman" w:cs="Times New Roman" w:eastAsia="Times New Roman" w:hAnsi="Times New Roman"/>
          <w:sz w:val="14"/>
          <w:szCs w:val="14"/>
          <w:color w:val="auto"/>
        </w:rPr>
        <w:t>. In the event of any payment under this Agreement, the Company shall be subrogated to the extent of such payment to all of the rights of recovery of Indemnitee (other than against the Fund Indemnitor), who, at the request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39" w:lineRule="exact"/>
        <w:rPr>
          <w:rFonts w:ascii="Times New Roman" w:cs="Times New Roman" w:eastAsia="Times New Roman" w:hAnsi="Times New Roman"/>
          <w:sz w:val="14"/>
          <w:szCs w:val="14"/>
          <w:color w:val="auto"/>
        </w:rPr>
      </w:pPr>
    </w:p>
    <w:p>
      <w:pPr>
        <w:ind w:left="220" w:right="579" w:firstLine="345"/>
        <w:spacing w:after="0" w:line="282" w:lineRule="auto"/>
        <w:tabs>
          <w:tab w:leader="none" w:pos="772"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 of Agreement</w:t>
      </w:r>
      <w:r>
        <w:rPr>
          <w:rFonts w:ascii="Times New Roman" w:cs="Times New Roman" w:eastAsia="Times New Roman" w:hAnsi="Times New Roman"/>
          <w:sz w:val="14"/>
          <w:szCs w:val="14"/>
          <w:color w:val="auto"/>
        </w:rPr>
        <w:t>. It is understood that the parties hereto intend this Agreement to be interpreted and enforced so as to provide indemnification to Indemnitee to the fullest extent now or hereafter permitted by law.</w:t>
      </w:r>
    </w:p>
    <w:p>
      <w:pPr>
        <w:spacing w:after="0" w:line="125" w:lineRule="exact"/>
        <w:rPr>
          <w:rFonts w:ascii="Times New Roman" w:cs="Times New Roman" w:eastAsia="Times New Roman" w:hAnsi="Times New Roman"/>
          <w:sz w:val="14"/>
          <w:szCs w:val="14"/>
          <w:color w:val="auto"/>
        </w:rPr>
      </w:pPr>
    </w:p>
    <w:p>
      <w:pPr>
        <w:ind w:left="220" w:right="259" w:firstLine="345"/>
        <w:spacing w:after="0" w:line="255" w:lineRule="auto"/>
        <w:tabs>
          <w:tab w:leader="none" w:pos="772"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865" w:name="page866"/>
    <w:bookmarkEnd w:id="865"/>
    <w:p>
      <w:pPr>
        <w:ind w:left="220" w:right="399" w:firstLine="345"/>
        <w:spacing w:after="0" w:line="266" w:lineRule="auto"/>
        <w:tabs>
          <w:tab w:leader="none" w:pos="772"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Amendment and Waiver</w:t>
      </w:r>
      <w:r>
        <w:rPr>
          <w:rFonts w:ascii="Times New Roman" w:cs="Times New Roman" w:eastAsia="Times New Roman" w:hAnsi="Times New Roman"/>
          <w:sz w:val="14"/>
          <w:szCs w:val="14"/>
          <w:color w:val="auto"/>
        </w:rPr>
        <w:t>. 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136"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72"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Except as otherwise provided herein, any notice or demand which, by the provisions hereof, is required or which may be given to or served upon the parties hereto shall be in writing and,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44" w:lineRule="exact"/>
        <w:rPr>
          <w:rFonts w:ascii="Times New Roman" w:cs="Times New Roman" w:eastAsia="Times New Roman" w:hAnsi="Times New Roman"/>
          <w:sz w:val="14"/>
          <w:szCs w:val="14"/>
          <w:color w:val="auto"/>
        </w:rPr>
      </w:pPr>
    </w:p>
    <w:p>
      <w:pPr>
        <w:ind w:left="220" w:right="259" w:firstLine="345"/>
        <w:spacing w:after="0" w:line="255" w:lineRule="auto"/>
        <w:tabs>
          <w:tab w:leader="none" w:pos="772"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45" w:lineRule="exact"/>
        <w:rPr>
          <w:rFonts w:ascii="Times New Roman" w:cs="Times New Roman" w:eastAsia="Times New Roman" w:hAnsi="Times New Roman"/>
          <w:sz w:val="14"/>
          <w:szCs w:val="14"/>
          <w:color w:val="auto"/>
        </w:rPr>
      </w:pPr>
    </w:p>
    <w:p>
      <w:pPr>
        <w:ind w:left="780" w:hanging="215"/>
        <w:spacing w:after="0"/>
        <w:tabs>
          <w:tab w:leader="none" w:pos="780"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Venue</w:t>
      </w:r>
      <w:r>
        <w:rPr>
          <w:rFonts w:ascii="Times New Roman" w:cs="Times New Roman" w:eastAsia="Times New Roman" w:hAnsi="Times New Roman"/>
          <w:sz w:val="14"/>
          <w:szCs w:val="14"/>
          <w:color w:val="auto"/>
        </w:rPr>
        <w:t>. This Agreement shall be governed exclusively by and construed according to the laws of the State</w:t>
      </w:r>
    </w:p>
    <w:p>
      <w:pPr>
        <w:spacing w:after="0" w:line="22" w:lineRule="exact"/>
        <w:rPr>
          <w:sz w:val="20"/>
          <w:szCs w:val="20"/>
          <w:color w:val="auto"/>
        </w:rPr>
      </w:pPr>
    </w:p>
    <w:p>
      <w:pPr>
        <w:ind w:left="220" w:right="279"/>
        <w:spacing w:after="0" w:line="269" w:lineRule="auto"/>
        <w:rPr>
          <w:sz w:val="20"/>
          <w:szCs w:val="20"/>
          <w:color w:val="auto"/>
        </w:rPr>
      </w:pPr>
      <w:r>
        <w:rPr>
          <w:rFonts w:ascii="Times New Roman" w:cs="Times New Roman" w:eastAsia="Times New Roman" w:hAnsi="Times New Roman"/>
          <w:sz w:val="13"/>
          <w:szCs w:val="13"/>
          <w:color w:val="auto"/>
        </w:rPr>
        <w:t>of Delaware, without giving effect to any conflicts of laws principles that require the application of the law of a different state. The Company and Indemnitee hereby irrevocably and unconditionally (i) agree that any action or proceeding arising out of or in connection with this Agreement shall be brought only in the Court of Chancery of the State of Delaware (the “</w:t>
      </w:r>
      <w:r>
        <w:rPr>
          <w:rFonts w:ascii="Times New Roman" w:cs="Times New Roman" w:eastAsia="Times New Roman" w:hAnsi="Times New Roman"/>
          <w:sz w:val="13"/>
          <w:szCs w:val="13"/>
          <w:b w:val="1"/>
          <w:bCs w:val="1"/>
          <w:color w:val="auto"/>
        </w:rPr>
        <w:t>Delaware Court</w:t>
      </w:r>
      <w:r>
        <w:rPr>
          <w:rFonts w:ascii="Times New Roman" w:cs="Times New Roman" w:eastAsia="Times New Roman" w:hAnsi="Times New Roman"/>
          <w:sz w:val="13"/>
          <w:szCs w:val="13"/>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to appoint the registered agent of the Company irrevocably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w:t>
      </w:r>
    </w:p>
    <w:p>
      <w:pPr>
        <w:spacing w:after="0" w:line="3" w:lineRule="exact"/>
        <w:rPr>
          <w:sz w:val="20"/>
          <w:szCs w:val="20"/>
          <w:color w:val="auto"/>
        </w:rPr>
      </w:pPr>
    </w:p>
    <w:p>
      <w:pPr>
        <w:ind w:left="220" w:right="699" w:firstLine="3"/>
        <w:spacing w:after="0" w:line="260" w:lineRule="auto"/>
        <w:tabs>
          <w:tab w:leader="none" w:pos="418" w:val="left"/>
        </w:tabs>
        <w:numPr>
          <w:ilvl w:val="0"/>
          <w:numId w:val="6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and agree not to plead or to make, any claim that any such action or proceeding brought in the Delaware Court has been brought in an improper or inconvenient forum.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866" w:name="page867"/>
    <w:bookmarkEnd w:id="866"/>
    <w:p>
      <w:pPr>
        <w:ind w:left="220" w:right="279" w:firstLine="345"/>
        <w:spacing w:after="0" w:line="266" w:lineRule="auto"/>
        <w:tabs>
          <w:tab w:leader="none" w:pos="772"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Counterparts</w:t>
      </w:r>
      <w:r>
        <w:rPr>
          <w:rFonts w:ascii="Times New Roman" w:cs="Times New Roman" w:eastAsia="Times New Roman" w:hAnsi="Times New Roman"/>
          <w:sz w:val="14"/>
          <w:szCs w:val="14"/>
          <w:color w:val="auto"/>
        </w:rPr>
        <w:t>.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spacing w:after="0" w:line="136" w:lineRule="exact"/>
        <w:rPr>
          <w:rFonts w:ascii="Times New Roman" w:cs="Times New Roman" w:eastAsia="Times New Roman" w:hAnsi="Times New Roman"/>
          <w:sz w:val="14"/>
          <w:szCs w:val="14"/>
          <w:color w:val="auto"/>
        </w:rPr>
      </w:pPr>
    </w:p>
    <w:p>
      <w:pPr>
        <w:ind w:left="220" w:right="359" w:firstLine="345"/>
        <w:spacing w:after="0" w:line="282" w:lineRule="auto"/>
        <w:tabs>
          <w:tab w:leader="none" w:pos="772"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sections of this Agreement are inserted for convenience only and shall not be deemed to constitute part of this Agreement or to affect the construction hereof.</w:t>
      </w:r>
    </w:p>
    <w:p>
      <w:pPr>
        <w:spacing w:after="0" w:line="125" w:lineRule="exact"/>
        <w:rPr>
          <w:rFonts w:ascii="Times New Roman" w:cs="Times New Roman" w:eastAsia="Times New Roman" w:hAnsi="Times New Roman"/>
          <w:sz w:val="14"/>
          <w:szCs w:val="14"/>
          <w:color w:val="auto"/>
        </w:rPr>
      </w:pPr>
    </w:p>
    <w:p>
      <w:pPr>
        <w:ind w:left="220" w:right="279" w:firstLine="345"/>
        <w:spacing w:after="0" w:line="287" w:lineRule="auto"/>
        <w:tabs>
          <w:tab w:leader="none" w:pos="772" w:val="left"/>
        </w:tabs>
        <w:numPr>
          <w:ilvl w:val="0"/>
          <w:numId w:val="6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867" w:name="page868"/>
    <w:bookmarkEnd w:id="86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parties hereto have entered into this Agreement effective as of the date set forth in the first paragraph hereof.</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INDEMNITEE</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226695</wp:posOffset>
            </wp:positionV>
            <wp:extent cx="1672590" cy="635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13970</wp:posOffset>
            </wp:positionV>
            <wp:extent cx="1672590" cy="635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NDEMNIFICATION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ectPr>
          <w:pgSz w:w="11900" w:h="16838" w:orient="portrait"/>
          <w:cols w:equalWidth="0" w:num="1">
            <w:col w:w="9019"/>
          </w:cols>
          <w:pgMar w:left="1440" w:top="238" w:right="1440" w:bottom="1440" w:gutter="0" w:footer="0" w:header="0"/>
        </w:sectPr>
      </w:pPr>
    </w:p>
    <w:bookmarkStart w:id="868" w:name="page869"/>
    <w:bookmarkEnd w:id="86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2627 Hanover St, Palo Alto, CA 94304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Oguzhan Atay</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Oguzhan Atay:</w:t>
      </w:r>
    </w:p>
    <w:p>
      <w:pPr>
        <w:spacing w:after="0" w:line="175"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pleased to offer you employment with the Company on the terms described below.</w:t>
      </w:r>
    </w:p>
    <w:p>
      <w:pPr>
        <w:spacing w:after="0" w:line="125" w:lineRule="exact"/>
        <w:rPr>
          <w:sz w:val="20"/>
          <w:szCs w:val="20"/>
          <w:color w:val="auto"/>
        </w:rPr>
      </w:pPr>
    </w:p>
    <w:p>
      <w:pPr>
        <w:ind w:left="220" w:right="339" w:firstLine="345"/>
        <w:spacing w:after="0" w:line="266" w:lineRule="auto"/>
        <w:tabs>
          <w:tab w:leader="none" w:pos="702"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You will start in a full-time position as Chief Executive Officer and you will report to the Company’s Board of Directors. You will perform the duties customarily performed by an employee in your position. By signing this letter, you confirm with the Company that you are under no contractual or other legal obligations that would prohibit you from performing your duties with the Company.</w:t>
      </w:r>
    </w:p>
    <w:p>
      <w:pPr>
        <w:spacing w:after="0" w:line="136" w:lineRule="exact"/>
        <w:rPr>
          <w:rFonts w:ascii="Times New Roman" w:cs="Times New Roman" w:eastAsia="Times New Roman" w:hAnsi="Times New Roman"/>
          <w:sz w:val="14"/>
          <w:szCs w:val="14"/>
          <w:color w:val="auto"/>
        </w:rPr>
      </w:pPr>
    </w:p>
    <w:p>
      <w:pPr>
        <w:ind w:left="220" w:right="279" w:firstLine="345"/>
        <w:spacing w:after="0" w:line="256" w:lineRule="auto"/>
        <w:tabs>
          <w:tab w:leader="none" w:pos="702"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Employee Benefits</w:t>
      </w:r>
      <w:r>
        <w:rPr>
          <w:rFonts w:ascii="Times New Roman" w:cs="Times New Roman" w:eastAsia="Times New Roman" w:hAnsi="Times New Roman"/>
          <w:sz w:val="14"/>
          <w:szCs w:val="14"/>
          <w:color w:val="auto"/>
        </w:rPr>
        <w:t>. You will be paid as compensation for services at a gross rate of $80,000.00 per year, of which $10,000 will be paid immediately as a bonus, and the rest will be payable on the Company’s regular payroll dates. The yearly salary will increase to $140,000.00 per year upon closing of next round of at least $1,000,000 fundraising in 2017. In addition, 3,000,000 Common Shares that you currently hold will continue to vest as specified in the original Restricted Stock Purchase Agreement between you and the Company and as determined by the Company’s Board of Directors. As an employee of the Company, you will be eligible to participate in those Company-sponsored benefits generally made available to all employees. These benefits will include the payment for or reimbursement of a healthcare insurance plan available to employees.</w:t>
      </w:r>
    </w:p>
    <w:p>
      <w:pPr>
        <w:spacing w:after="0" w:line="144" w:lineRule="exact"/>
        <w:rPr>
          <w:rFonts w:ascii="Times New Roman" w:cs="Times New Roman" w:eastAsia="Times New Roman" w:hAnsi="Times New Roman"/>
          <w:sz w:val="14"/>
          <w:szCs w:val="14"/>
          <w:color w:val="auto"/>
        </w:rPr>
      </w:pPr>
    </w:p>
    <w:p>
      <w:pPr>
        <w:ind w:left="220" w:right="259" w:firstLine="345"/>
        <w:spacing w:after="0" w:line="261" w:lineRule="auto"/>
        <w:tabs>
          <w:tab w:leader="none" w:pos="702"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Relationship</w:t>
      </w:r>
      <w:r>
        <w:rPr>
          <w:rFonts w:ascii="Times New Roman" w:cs="Times New Roman" w:eastAsia="Times New Roman" w:hAnsi="Times New Roman"/>
          <w:sz w:val="14"/>
          <w:szCs w:val="14"/>
          <w:color w:val="auto"/>
        </w:rPr>
        <w:t>. 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“At will” nature of your employment may only be changed in an express written agreement signed by you and the Company’s Board of Directors.</w:t>
      </w:r>
    </w:p>
    <w:p>
      <w:pPr>
        <w:spacing w:after="0" w:line="139"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All forms of compensation referred to in this letter are subject to applicable withholding and payroll taxes.</w:t>
      </w:r>
    </w:p>
    <w:p>
      <w:pPr>
        <w:spacing w:after="0" w:line="174"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773"/>
        <w:spacing w:after="0" w:line="266" w:lineRule="auto"/>
        <w:tabs>
          <w:tab w:leader="none" w:pos="1181" w:val="left"/>
        </w:tabs>
        <w:numPr>
          <w:ilvl w:val="1"/>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the terms of this letter,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36" w:lineRule="exact"/>
        <w:rPr>
          <w:rFonts w:ascii="Times New Roman" w:cs="Times New Roman" w:eastAsia="Times New Roman" w:hAnsi="Times New Roman"/>
          <w:sz w:val="14"/>
          <w:szCs w:val="14"/>
          <w:color w:val="auto"/>
        </w:rPr>
      </w:pPr>
    </w:p>
    <w:p>
      <w:pPr>
        <w:ind w:left="220" w:right="379" w:firstLine="773"/>
        <w:spacing w:after="0" w:line="266" w:lineRule="auto"/>
        <w:tabs>
          <w:tab w:leader="none" w:pos="1188" w:val="left"/>
        </w:tabs>
        <w:numPr>
          <w:ilvl w:val="1"/>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ectPr>
          <w:pgSz w:w="11900" w:h="16838" w:orient="portrait"/>
          <w:cols w:equalWidth="0" w:num="1">
            <w:col w:w="9019"/>
          </w:cols>
          <w:pgMar w:left="1440" w:top="124" w:right="1440" w:bottom="1440" w:gutter="0" w:footer="0" w:header="0"/>
        </w:sectPr>
      </w:pPr>
    </w:p>
    <w:bookmarkStart w:id="869" w:name="page870"/>
    <w:bookmarkEnd w:id="869"/>
    <w:p>
      <w:pPr>
        <w:ind w:left="220" w:right="639" w:firstLine="773"/>
        <w:spacing w:after="0" w:line="282" w:lineRule="auto"/>
        <w:tabs>
          <w:tab w:leader="none" w:pos="1181"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Counterparts</w:t>
      </w:r>
      <w:r>
        <w:rPr>
          <w:rFonts w:ascii="Times New Roman" w:cs="Times New Roman" w:eastAsia="Times New Roman" w:hAnsi="Times New Roman"/>
          <w:sz w:val="14"/>
          <w:szCs w:val="14"/>
          <w:color w:val="auto"/>
        </w:rPr>
        <w:t>. This letter may be executed in any number of counterparts, each of which when so executed and delivered shall be deemed an original, and all of which together shall constitute one and the same agreement.</w:t>
      </w:r>
    </w:p>
    <w:p>
      <w:pPr>
        <w:spacing w:after="0" w:line="125" w:lineRule="exact"/>
        <w:rPr>
          <w:rFonts w:ascii="Times New Roman" w:cs="Times New Roman" w:eastAsia="Times New Roman" w:hAnsi="Times New Roman"/>
          <w:sz w:val="14"/>
          <w:szCs w:val="14"/>
          <w:color w:val="auto"/>
        </w:rPr>
      </w:pPr>
    </w:p>
    <w:p>
      <w:pPr>
        <w:jc w:val="both"/>
        <w:ind w:left="220" w:right="579" w:firstLine="773"/>
        <w:spacing w:after="0" w:line="261" w:lineRule="auto"/>
        <w:tabs>
          <w:tab w:leader="none" w:pos="1188"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The Company may, in its sole discretion, decide to deliver any documents related to this letter or any notices required by applicable law or the Company’s Certificate of Incorporation or Bylaws by email or any other electronic means. You hereby consent to receive such documents and notices by such electronic delivery and agree to participate through an on-line or electronic system established and maintained by the Company or a third party designated by the Company.</w:t>
      </w:r>
    </w:p>
    <w:p>
      <w:pPr>
        <w:spacing w:after="0" w:line="139"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As required by law, your employment with the Company is also contingent upon your providing legal proof of your identity and authorization to work in the United States.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Your start date will be January 14, 2017.</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ILLIONTOONE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David Tsao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David Tsao, President</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GUZHAN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TAY</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13970</wp:posOffset>
            </wp:positionV>
            <wp:extent cx="2018665" cy="635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870" w:name="page871"/>
    <w:bookmarkEnd w:id="870"/>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10.17</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April 5, 2017</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David Tsao:</w:t>
      </w:r>
    </w:p>
    <w:p>
      <w:pPr>
        <w:spacing w:after="0" w:line="175"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pleased to offer you employment with the Company on the terms described below.</w:t>
      </w:r>
    </w:p>
    <w:p>
      <w:pPr>
        <w:spacing w:after="0" w:line="125" w:lineRule="exact"/>
        <w:rPr>
          <w:sz w:val="20"/>
          <w:szCs w:val="20"/>
          <w:color w:val="auto"/>
        </w:rPr>
      </w:pPr>
    </w:p>
    <w:p>
      <w:pPr>
        <w:ind w:left="220" w:right="459" w:firstLine="345"/>
        <w:spacing w:after="0" w:line="266" w:lineRule="auto"/>
        <w:tabs>
          <w:tab w:leader="none" w:pos="702"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You will start in a full-time position as Chief Technology Officer and you will report to the Company’s CEO and to the Board of Directors. You will perform the duties customarily performed by an employee in your position. By signing this letter, you confirm with the Company that you are under no contractual or other legal obligations that would prohibit you from performing your duties with the Company.</w:t>
      </w:r>
    </w:p>
    <w:p>
      <w:pPr>
        <w:spacing w:after="0" w:line="136" w:lineRule="exact"/>
        <w:rPr>
          <w:rFonts w:ascii="Times New Roman" w:cs="Times New Roman" w:eastAsia="Times New Roman" w:hAnsi="Times New Roman"/>
          <w:sz w:val="14"/>
          <w:szCs w:val="14"/>
          <w:color w:val="auto"/>
        </w:rPr>
      </w:pPr>
    </w:p>
    <w:p>
      <w:pPr>
        <w:ind w:left="220" w:right="479" w:firstLine="345"/>
        <w:spacing w:after="0" w:line="258" w:lineRule="auto"/>
        <w:tabs>
          <w:tab w:leader="none" w:pos="702"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Employee Benefits</w:t>
      </w:r>
      <w:r>
        <w:rPr>
          <w:rFonts w:ascii="Times New Roman" w:cs="Times New Roman" w:eastAsia="Times New Roman" w:hAnsi="Times New Roman"/>
          <w:sz w:val="14"/>
          <w:szCs w:val="14"/>
          <w:color w:val="auto"/>
        </w:rPr>
        <w:t>. You will be paid as compensation for services at a gross rate of $70,000.00 per year, payable on the Company’s regular payroll dates. In addition, 3,000,000 Common Shares that you currently hold will continue to vest as specified in the original Restricted Stock Purchase Agreement between you and the Company and as amended and determined by the Company’s Board of Directors. As an employee of the Company, you will be eligible to participate in those Company-sponsored benefits generally made available to all employees. These benefits will include the payment for or reimbursement of a healthcare insurance plan available to employees.</w:t>
      </w:r>
    </w:p>
    <w:p>
      <w:pPr>
        <w:spacing w:after="0" w:line="142" w:lineRule="exact"/>
        <w:rPr>
          <w:rFonts w:ascii="Times New Roman" w:cs="Times New Roman" w:eastAsia="Times New Roman" w:hAnsi="Times New Roman"/>
          <w:sz w:val="14"/>
          <w:szCs w:val="14"/>
          <w:color w:val="auto"/>
        </w:rPr>
      </w:pPr>
    </w:p>
    <w:p>
      <w:pPr>
        <w:ind w:left="220" w:right="259" w:firstLine="345"/>
        <w:spacing w:after="0" w:line="261" w:lineRule="auto"/>
        <w:tabs>
          <w:tab w:leader="none" w:pos="702"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Relationship</w:t>
      </w:r>
      <w:r>
        <w:rPr>
          <w:rFonts w:ascii="Times New Roman" w:cs="Times New Roman" w:eastAsia="Times New Roman" w:hAnsi="Times New Roman"/>
          <w:sz w:val="14"/>
          <w:szCs w:val="14"/>
          <w:color w:val="auto"/>
        </w:rPr>
        <w:t>. 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“At will” nature of your employment may only be changed in an express written agreement signed by you and the Company’s Board of Directors.</w:t>
      </w:r>
    </w:p>
    <w:p>
      <w:pPr>
        <w:spacing w:after="0" w:line="139"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All forms of compensation referred to in this letter are subject to applicable withholding and payroll taxes.</w:t>
      </w:r>
    </w:p>
    <w:p>
      <w:pPr>
        <w:spacing w:after="0" w:line="174"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773"/>
        <w:spacing w:after="0" w:line="266" w:lineRule="auto"/>
        <w:tabs>
          <w:tab w:leader="none" w:pos="1181" w:val="left"/>
        </w:tabs>
        <w:numPr>
          <w:ilvl w:val="1"/>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the terms of this letter,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36" w:lineRule="exact"/>
        <w:rPr>
          <w:rFonts w:ascii="Times New Roman" w:cs="Times New Roman" w:eastAsia="Times New Roman" w:hAnsi="Times New Roman"/>
          <w:sz w:val="14"/>
          <w:szCs w:val="14"/>
          <w:color w:val="auto"/>
        </w:rPr>
      </w:pPr>
    </w:p>
    <w:p>
      <w:pPr>
        <w:ind w:left="220" w:right="379" w:firstLine="773"/>
        <w:spacing w:after="0" w:line="266" w:lineRule="auto"/>
        <w:tabs>
          <w:tab w:leader="none" w:pos="1188" w:val="left"/>
        </w:tabs>
        <w:numPr>
          <w:ilvl w:val="1"/>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ectPr>
          <w:pgSz w:w="11900" w:h="16838" w:orient="portrait"/>
          <w:cols w:equalWidth="0" w:num="1">
            <w:col w:w="9019"/>
          </w:cols>
          <w:pgMar w:left="1440" w:top="124" w:right="1440" w:bottom="1440" w:gutter="0" w:footer="0" w:header="0"/>
        </w:sectPr>
      </w:pPr>
    </w:p>
    <w:bookmarkStart w:id="871" w:name="page872"/>
    <w:bookmarkEnd w:id="871"/>
    <w:p>
      <w:pPr>
        <w:ind w:left="220" w:right="639" w:firstLine="773"/>
        <w:spacing w:after="0" w:line="282" w:lineRule="auto"/>
        <w:tabs>
          <w:tab w:leader="none" w:pos="1181"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Counterparts</w:t>
      </w:r>
      <w:r>
        <w:rPr>
          <w:rFonts w:ascii="Times New Roman" w:cs="Times New Roman" w:eastAsia="Times New Roman" w:hAnsi="Times New Roman"/>
          <w:sz w:val="14"/>
          <w:szCs w:val="14"/>
          <w:color w:val="auto"/>
        </w:rPr>
        <w:t>. This letter may be executed in any number of counterparts, each of which when so executed and delivered shall be deemed an original, and all of which together shall constitute one and the same agreement.</w:t>
      </w:r>
    </w:p>
    <w:p>
      <w:pPr>
        <w:spacing w:after="0" w:line="125" w:lineRule="exact"/>
        <w:rPr>
          <w:rFonts w:ascii="Times New Roman" w:cs="Times New Roman" w:eastAsia="Times New Roman" w:hAnsi="Times New Roman"/>
          <w:sz w:val="14"/>
          <w:szCs w:val="14"/>
          <w:color w:val="auto"/>
        </w:rPr>
      </w:pPr>
    </w:p>
    <w:p>
      <w:pPr>
        <w:jc w:val="both"/>
        <w:ind w:left="220" w:right="579" w:firstLine="773"/>
        <w:spacing w:after="0" w:line="261" w:lineRule="auto"/>
        <w:tabs>
          <w:tab w:leader="none" w:pos="1188"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The Company may, in its sole discretion, decide to deliver any documents related to this letter or any notices required by applicable law or the Company’s Certificate of Incorporation or Bylaws by email or any other electronic means. You hereby consent to receive such documents and notices by such electronic delivery and agree to participate through an on-line or electronic system established and maintained by the Company or a third party designated by the Company.</w:t>
      </w:r>
    </w:p>
    <w:p>
      <w:pPr>
        <w:spacing w:after="0" w:line="139"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As required by law, your employment with the Company is also contingent upon your providing legal proof of your identity and authorization to work in the United States.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Your start date will be April 5, 2017.</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Oguzhan Atay, CEO</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AVID</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SAO</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David Tsao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13970</wp:posOffset>
            </wp:positionV>
            <wp:extent cx="2018665" cy="635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872" w:name="page873"/>
    <w:bookmarkEnd w:id="872"/>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10.18</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1035 O’Brien Drive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January 2, 2024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Ross Taylor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Ross Taylor:</w:t>
      </w:r>
    </w:p>
    <w:p>
      <w:pPr>
        <w:spacing w:after="0" w:line="175"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pleased to offer you employment with the Company on the terms described below.</w:t>
      </w:r>
    </w:p>
    <w:p>
      <w:pPr>
        <w:spacing w:after="0" w:line="125" w:lineRule="exact"/>
        <w:rPr>
          <w:sz w:val="20"/>
          <w:szCs w:val="20"/>
          <w:color w:val="auto"/>
        </w:rPr>
      </w:pPr>
    </w:p>
    <w:p>
      <w:pPr>
        <w:ind w:left="220" w:right="239" w:firstLine="345"/>
        <w:spacing w:after="0" w:line="261" w:lineRule="auto"/>
        <w:tabs>
          <w:tab w:leader="none" w:pos="702" w:val="left"/>
        </w:tabs>
        <w:numPr>
          <w:ilvl w:val="1"/>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You will start in a full-time position as Chief Financial Officer and you will initially report to the Company’s Chief Executive Officer. You will perform the duties customarily performed by an employee in your position or as otherwise may be assigned to you by the Company. By signing this letter, you confirm with the Company that you are under no contractual or other legal obligations that would prohibit you from performing your duties with the Company.</w:t>
      </w:r>
    </w:p>
    <w:p>
      <w:pPr>
        <w:spacing w:after="0" w:line="139" w:lineRule="exact"/>
        <w:rPr>
          <w:rFonts w:ascii="Times New Roman" w:cs="Times New Roman" w:eastAsia="Times New Roman" w:hAnsi="Times New Roman"/>
          <w:sz w:val="14"/>
          <w:szCs w:val="14"/>
          <w:color w:val="auto"/>
        </w:rPr>
      </w:pPr>
    </w:p>
    <w:p>
      <w:pPr>
        <w:ind w:left="220" w:right="379" w:firstLine="345"/>
        <w:spacing w:after="0" w:line="261" w:lineRule="auto"/>
        <w:tabs>
          <w:tab w:leader="none" w:pos="702" w:val="left"/>
        </w:tabs>
        <w:numPr>
          <w:ilvl w:val="1"/>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Employee Benefits</w:t>
      </w:r>
      <w:r>
        <w:rPr>
          <w:rFonts w:ascii="Times New Roman" w:cs="Times New Roman" w:eastAsia="Times New Roman" w:hAnsi="Times New Roman"/>
          <w:sz w:val="14"/>
          <w:szCs w:val="14"/>
          <w:color w:val="auto"/>
        </w:rPr>
        <w:t>. You will be paid as compensation for your services at a gross rate of $300,000.00 per year, payable on the Company’s regular payroll dates. The Company will pay you a one-time, non-recurring sign-on bonus of $100,000.00 to be paid within thirty</w:t>
      </w:r>
    </w:p>
    <w:p>
      <w:pPr>
        <w:ind w:left="220" w:right="279" w:firstLine="3"/>
        <w:spacing w:after="0" w:line="252" w:lineRule="auto"/>
        <w:tabs>
          <w:tab w:leader="none" w:pos="488" w:val="left"/>
        </w:tabs>
        <w:numPr>
          <w:ilvl w:val="0"/>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your Start Date, subject to applicable withholdings. In line with the general practices for sign-on bonuses, in the event that you resign your employment with the Company prior to the 2-year anniversary of your Start Date, you will repay a prorated portion of the sign-on bonus to the Company. In the event that the Company is subject to a Change of Control (as defined in the Company’s Stock Plan (the “Plan”)) before your service terminates, and if you are subject to an Involuntary Termination (as defined in the Plan) within twelve (12) months of such Change of Control, then you shall be entitled to a one-time severance payment equal to twelve (12) months of your then-current base salary, payable within thirty (30) days of such Involuntary Termination. As a regular employee of the Company, you will also be eligible to participate in those Company-sponsored benefits generally made available to all employees.</w:t>
      </w:r>
    </w:p>
    <w:p>
      <w:pPr>
        <w:spacing w:after="0" w:line="145" w:lineRule="exact"/>
        <w:rPr>
          <w:rFonts w:ascii="Times New Roman" w:cs="Times New Roman" w:eastAsia="Times New Roman" w:hAnsi="Times New Roman"/>
          <w:sz w:val="14"/>
          <w:szCs w:val="14"/>
          <w:color w:val="auto"/>
        </w:rPr>
      </w:pPr>
    </w:p>
    <w:p>
      <w:pPr>
        <w:ind w:left="220" w:right="239" w:firstLine="345"/>
        <w:spacing w:after="0" w:line="253" w:lineRule="auto"/>
        <w:tabs>
          <w:tab w:leader="none" w:pos="702" w:val="left"/>
        </w:tabs>
        <w:numPr>
          <w:ilvl w:val="1"/>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Subject to the approval of the Company’s Board of Directors, you will have the opportunity to acquire an equity interest in the Company in the form of Stock Options (the “</w:t>
      </w:r>
      <w:r>
        <w:rPr>
          <w:rFonts w:ascii="Times New Roman" w:cs="Times New Roman" w:eastAsia="Times New Roman" w:hAnsi="Times New Roman"/>
          <w:sz w:val="14"/>
          <w:szCs w:val="14"/>
          <w:u w:val="single" w:color="auto"/>
          <w:color w:val="auto"/>
        </w:rPr>
        <w:t>Equity Award</w:t>
      </w:r>
      <w:r>
        <w:rPr>
          <w:rFonts w:ascii="Times New Roman" w:cs="Times New Roman" w:eastAsia="Times New Roman" w:hAnsi="Times New Roman"/>
          <w:sz w:val="14"/>
          <w:szCs w:val="14"/>
          <w:color w:val="auto"/>
        </w:rPr>
        <w:t>”). The Equity Award will cover 175,000 shares of the Company’s common stock and will be subject to the terms and conditions applicable to such awards granted under the Company’s Stock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as described in that Plan and the applicable Plan agreement, which you will be required to sign. 175,000 of the Equity Award shares (the “</w:t>
      </w:r>
      <w:r>
        <w:rPr>
          <w:rFonts w:ascii="Times New Roman" w:cs="Times New Roman" w:eastAsia="Times New Roman" w:hAnsi="Times New Roman"/>
          <w:sz w:val="14"/>
          <w:szCs w:val="14"/>
          <w:u w:val="single" w:color="auto"/>
          <w:color w:val="auto"/>
        </w:rPr>
        <w:t>Vesting Shares</w:t>
      </w:r>
      <w:r>
        <w:rPr>
          <w:rFonts w:ascii="Times New Roman" w:cs="Times New Roman" w:eastAsia="Times New Roman" w:hAnsi="Times New Roman"/>
          <w:sz w:val="14"/>
          <w:szCs w:val="14"/>
          <w:color w:val="auto"/>
        </w:rPr>
        <w:t>”) will be subject to vesting. Subject to your continued service with the Company and the terms of the applicable Plan agreement, the Vesting Shares will vest as follows: 1/4th of the Vesting Shares shall vest on the 12-month anniversary of the commencement of your employment, and an additional 1/48th of the Vesting Shares shall vest each month thereafter. The applicable share price or exercise price used in connection with the Equity Award will be equal to the fair market value per share of the Company’s common stock on the date the Equity Award is granted, as determined by the Company’s Board of Directors. There is no guarantee that the Internal Revenue Service will agree with this value. You should consult with your own tax advisor concerning the tax consequences of accepting the Equity Award.</w:t>
      </w:r>
    </w:p>
    <w:p>
      <w:pPr>
        <w:sectPr>
          <w:pgSz w:w="11900" w:h="16838" w:orient="portrait"/>
          <w:cols w:equalWidth="0" w:num="1">
            <w:col w:w="9019"/>
          </w:cols>
          <w:pgMar w:left="1440" w:top="124" w:right="1440" w:bottom="1440" w:gutter="0" w:footer="0" w:header="0"/>
        </w:sectPr>
      </w:pPr>
    </w:p>
    <w:bookmarkStart w:id="873" w:name="page874"/>
    <w:bookmarkEnd w:id="873"/>
    <w:p>
      <w:pPr>
        <w:ind w:left="220" w:right="539" w:firstLine="345"/>
        <w:spacing w:after="0" w:line="282" w:lineRule="auto"/>
        <w:tabs>
          <w:tab w:leader="none" w:pos="702"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Confidential Information and Invention Assignment Agreement</w:t>
      </w:r>
      <w:r>
        <w:rPr>
          <w:rFonts w:ascii="Times New Roman" w:cs="Times New Roman" w:eastAsia="Times New Roman" w:hAnsi="Times New Roman"/>
          <w:sz w:val="14"/>
          <w:szCs w:val="14"/>
          <w:color w:val="auto"/>
        </w:rPr>
        <w:t>. Like all Company employees, you will be required, as a condition of your employment with the Company, to sign the Company’s standard Confidential Information and Invention Assignment Agreement.</w:t>
      </w:r>
    </w:p>
    <w:p>
      <w:pPr>
        <w:spacing w:after="0" w:line="125" w:lineRule="exact"/>
        <w:rPr>
          <w:rFonts w:ascii="Times New Roman" w:cs="Times New Roman" w:eastAsia="Times New Roman" w:hAnsi="Times New Roman"/>
          <w:sz w:val="14"/>
          <w:szCs w:val="14"/>
          <w:color w:val="auto"/>
        </w:rPr>
      </w:pPr>
    </w:p>
    <w:p>
      <w:pPr>
        <w:ind w:left="220" w:right="339" w:firstLine="345"/>
        <w:spacing w:after="0" w:line="256" w:lineRule="auto"/>
        <w:tabs>
          <w:tab w:leader="none" w:pos="702"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Relationship</w:t>
      </w:r>
      <w:r>
        <w:rPr>
          <w:rFonts w:ascii="Times New Roman" w:cs="Times New Roman" w:eastAsia="Times New Roman" w:hAnsi="Times New Roman"/>
          <w:sz w:val="14"/>
          <w:szCs w:val="14"/>
          <w:color w:val="auto"/>
        </w:rPr>
        <w:t>. 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44" w:lineRule="exact"/>
        <w:rPr>
          <w:rFonts w:ascii="Times New Roman" w:cs="Times New Roman" w:eastAsia="Times New Roman" w:hAnsi="Times New Roman"/>
          <w:sz w:val="14"/>
          <w:szCs w:val="14"/>
          <w:color w:val="auto"/>
        </w:rPr>
      </w:pPr>
    </w:p>
    <w:p>
      <w:pPr>
        <w:ind w:left="220" w:right="279" w:firstLine="345"/>
        <w:spacing w:after="0" w:line="282" w:lineRule="auto"/>
        <w:tabs>
          <w:tab w:leader="none" w:pos="702"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Outside Activities</w:t>
      </w:r>
      <w:r>
        <w:rPr>
          <w:rFonts w:ascii="Times New Roman" w:cs="Times New Roman" w:eastAsia="Times New Roman" w:hAnsi="Times New Roman"/>
          <w:sz w:val="14"/>
          <w:szCs w:val="14"/>
          <w:color w:val="auto"/>
        </w:rPr>
        <w:t>. While you render services to the Company, you agree that you will not engage in any other employment, consulting or other business activity without the written consent of the Company.</w:t>
      </w:r>
    </w:p>
    <w:p>
      <w:pPr>
        <w:spacing w:after="0" w:line="125"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All forms of compensation referred to in this letter are subject to applicable withholding and payroll taxes.</w:t>
      </w:r>
    </w:p>
    <w:p>
      <w:pPr>
        <w:spacing w:after="0" w:line="174"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773"/>
        <w:spacing w:after="0" w:line="266" w:lineRule="auto"/>
        <w:tabs>
          <w:tab w:leader="none" w:pos="1181" w:val="left"/>
        </w:tabs>
        <w:numPr>
          <w:ilvl w:val="1"/>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the terms of this letter,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36" w:lineRule="exact"/>
        <w:rPr>
          <w:rFonts w:ascii="Times New Roman" w:cs="Times New Roman" w:eastAsia="Times New Roman" w:hAnsi="Times New Roman"/>
          <w:sz w:val="14"/>
          <w:szCs w:val="14"/>
          <w:color w:val="auto"/>
        </w:rPr>
      </w:pPr>
    </w:p>
    <w:p>
      <w:pPr>
        <w:ind w:left="220" w:right="379" w:firstLine="773"/>
        <w:spacing w:after="0" w:line="266" w:lineRule="auto"/>
        <w:tabs>
          <w:tab w:leader="none" w:pos="1188" w:val="left"/>
        </w:tabs>
        <w:numPr>
          <w:ilvl w:val="1"/>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pacing w:after="0" w:line="136" w:lineRule="exact"/>
        <w:rPr>
          <w:rFonts w:ascii="Times New Roman" w:cs="Times New Roman" w:eastAsia="Times New Roman" w:hAnsi="Times New Roman"/>
          <w:sz w:val="14"/>
          <w:szCs w:val="14"/>
          <w:color w:val="auto"/>
        </w:rPr>
      </w:pPr>
    </w:p>
    <w:p>
      <w:pPr>
        <w:ind w:left="220" w:right="639" w:firstLine="773"/>
        <w:spacing w:after="0" w:line="282" w:lineRule="auto"/>
        <w:tabs>
          <w:tab w:leader="none" w:pos="1181" w:val="left"/>
        </w:tabs>
        <w:numPr>
          <w:ilvl w:val="1"/>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letter may be executed in any number of counterparts, each of which when so executed and delivered shall be deemed an original, and all of which together shall constitute one and the same agreement.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874" w:name="page875"/>
    <w:bookmarkEnd w:id="874"/>
    <w:p>
      <w:pPr>
        <w:jc w:val="both"/>
        <w:ind w:left="220" w:right="579" w:firstLine="773"/>
        <w:spacing w:after="0" w:line="261" w:lineRule="auto"/>
        <w:tabs>
          <w:tab w:leader="none" w:pos="1188"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Electronic Delivery</w:t>
      </w:r>
      <w:r>
        <w:rPr>
          <w:rFonts w:ascii="Times New Roman" w:cs="Times New Roman" w:eastAsia="Times New Roman" w:hAnsi="Times New Roman"/>
          <w:sz w:val="14"/>
          <w:szCs w:val="14"/>
          <w:color w:val="auto"/>
        </w:rPr>
        <w:t>. The Company may, in its sole discretion, decide to deliver any documents related to this letter or any notices required by applicable law or the Company’s Certificate of Incorporation or Bylaws by email or any other electronic means. You hereby consent to receive such documents and notices by such electronic delivery and agree to participate through an on-line or electronic system established and maintained by the Company or a third party designated by the Company.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875" w:name="page876"/>
    <w:bookmarkEnd w:id="875"/>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This offer has been sent to you for electronic signature. By electronically signing this offer, you agree and acknowledge that you have been able to access and review the offer and choose to sign the offer electronically. If you wish to accept this offer, please electronically sign this letter and the accompanying Confidential Information and Invention Assignment Agreement. As required by law, your employment with the Company is also contingent upon your providing legal proof of your identity and authorization to work in the United States. This offer, if not accepted, will expire at the close of business on January 4, 2024.</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look forward to having you join us no later than January 8, 2024.</w:t>
      </w:r>
    </w:p>
    <w:p>
      <w:pPr>
        <w:spacing w:after="0" w:line="2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Oguzhan Atay, CEO</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ACCEPTED AND AGREED: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January 03, 2024</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OSS</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AYLOR</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Ross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13970</wp:posOffset>
            </wp:positionV>
            <wp:extent cx="2018665" cy="635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76" w:name="page877"/>
    <w:bookmarkEnd w:id="876"/>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10.19</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BILLIONTOONE,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1455 Adams Drive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April 21, 2019</w:t>
      </w: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Nancy J. Johnson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Nancy J. Johnson:</w:t>
      </w:r>
    </w:p>
    <w:p>
      <w:pPr>
        <w:spacing w:after="0" w:line="175"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BillionToOne,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pleased to offer you employment with the Company on the terms described below.</w:t>
      </w:r>
    </w:p>
    <w:p>
      <w:pPr>
        <w:spacing w:after="0" w:line="125" w:lineRule="exact"/>
        <w:rPr>
          <w:sz w:val="20"/>
          <w:szCs w:val="20"/>
          <w:color w:val="auto"/>
        </w:rPr>
      </w:pPr>
    </w:p>
    <w:p>
      <w:pPr>
        <w:ind w:left="220" w:right="399" w:firstLine="345"/>
        <w:spacing w:after="0" w:line="261" w:lineRule="auto"/>
        <w:tabs>
          <w:tab w:leader="none" w:pos="702"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You will start in a full-time position as VP of Sales and you will initially report to the Company’s Chief Executive Officer. You will perform the duties customarily performed by an employee in your position or as otherwise may be assigned to you by the Company. By signing this letter, you confirm with the Company that you are under no contractual or other legal obligations that would prohibit you from performing your duties with the Company.</w:t>
      </w:r>
    </w:p>
    <w:p>
      <w:pPr>
        <w:spacing w:after="0" w:line="139" w:lineRule="exact"/>
        <w:rPr>
          <w:rFonts w:ascii="Times New Roman" w:cs="Times New Roman" w:eastAsia="Times New Roman" w:hAnsi="Times New Roman"/>
          <w:sz w:val="14"/>
          <w:szCs w:val="14"/>
          <w:color w:val="auto"/>
        </w:rPr>
      </w:pPr>
    </w:p>
    <w:p>
      <w:pPr>
        <w:ind w:left="220" w:right="279" w:firstLine="345"/>
        <w:spacing w:after="0" w:line="253" w:lineRule="auto"/>
        <w:tabs>
          <w:tab w:leader="none" w:pos="702"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Employee Benefits</w:t>
      </w:r>
      <w:r>
        <w:rPr>
          <w:rFonts w:ascii="Times New Roman" w:cs="Times New Roman" w:eastAsia="Times New Roman" w:hAnsi="Times New Roman"/>
          <w:sz w:val="14"/>
          <w:szCs w:val="14"/>
          <w:color w:val="auto"/>
        </w:rPr>
        <w:t>. You will be paid as compensation for your services at a gross rate of $175,000.00 per year (“Base Compensation”), payable on the Company’s regular payroll dates. In addition, you are eligible for a variable incentive compensation payout (“Incentive Compensation”) and equity award (“Incentive Equity Award”) at the end of each fiscal quarter. Your variable target bonus will be formalized by the Company in a separate Schedule of Incentive Payments (“The Schedule”), which will specify MBOs and sales targets for earning variable Incentive Compensation and Incentive Equity Awards. The Schedule may be revised from time to time at the Company’s sole discretion. Your Incentive Compensation will initially be set to target $62,500 per year, and your Incentive Equity Award will initially be set to target 24,150 Restricted Stock per year. Your Incentive Compensation and Incentive Equity Award will be paid quarterly and will be pro-rated based on the number of business days you were employed by the Company during each fiscal quarter. All equity awards are subject to the approval of Board of Directors and the target award may be revised when the underlying value of the stock changes and at the Company’s sole discretion. You may also receive a car allowance up to $750 per month or be reimbursed for mileage within the IRS guidelines, as set by the Company’s internal policies. As a regular employee of the Company, you will also be eligible to participate in those Company-sponsored benefits generally made available to all employees.</w:t>
      </w:r>
    </w:p>
    <w:p>
      <w:pPr>
        <w:spacing w:after="0" w:line="147" w:lineRule="exact"/>
        <w:rPr>
          <w:rFonts w:ascii="Times New Roman" w:cs="Times New Roman" w:eastAsia="Times New Roman" w:hAnsi="Times New Roman"/>
          <w:sz w:val="14"/>
          <w:szCs w:val="14"/>
          <w:color w:val="auto"/>
        </w:rPr>
      </w:pPr>
    </w:p>
    <w:p>
      <w:pPr>
        <w:ind w:left="220" w:right="259" w:firstLine="345"/>
        <w:spacing w:after="0" w:line="256" w:lineRule="auto"/>
        <w:tabs>
          <w:tab w:leader="none" w:pos="702"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Subject to the approval of the Company’s Board of Directors, you will have the opportunity to acquire an equity interest in the Company in the form of Stock Options (the “</w:t>
      </w:r>
      <w:r>
        <w:rPr>
          <w:rFonts w:ascii="Times New Roman" w:cs="Times New Roman" w:eastAsia="Times New Roman" w:hAnsi="Times New Roman"/>
          <w:sz w:val="14"/>
          <w:szCs w:val="14"/>
          <w:u w:val="single" w:color="auto"/>
          <w:color w:val="auto"/>
        </w:rPr>
        <w:t>Equity Award</w:t>
      </w:r>
      <w:r>
        <w:rPr>
          <w:rFonts w:ascii="Times New Roman" w:cs="Times New Roman" w:eastAsia="Times New Roman" w:hAnsi="Times New Roman"/>
          <w:sz w:val="14"/>
          <w:szCs w:val="14"/>
          <w:color w:val="auto"/>
        </w:rPr>
        <w:t>”). The Equity Award will cover 125,000 shares of the Company’s common stock and will be subject to the terms and conditions applicable to such awards granted under the Company’s Stock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as described in that Plan and the applicable Plan agreement, which you will be required to sign. 125,000 of the Equity Award shares (the “</w:t>
      </w:r>
      <w:r>
        <w:rPr>
          <w:rFonts w:ascii="Times New Roman" w:cs="Times New Roman" w:eastAsia="Times New Roman" w:hAnsi="Times New Roman"/>
          <w:sz w:val="14"/>
          <w:szCs w:val="14"/>
          <w:u w:val="single" w:color="auto"/>
          <w:color w:val="auto"/>
        </w:rPr>
        <w:t>Vesting Shares</w:t>
      </w:r>
      <w:r>
        <w:rPr>
          <w:rFonts w:ascii="Times New Roman" w:cs="Times New Roman" w:eastAsia="Times New Roman" w:hAnsi="Times New Roman"/>
          <w:sz w:val="14"/>
          <w:szCs w:val="14"/>
          <w:color w:val="auto"/>
        </w:rPr>
        <w:t>”) will be subject to vesting. Subject to your continued service with the Company and the terms of the applicable Plan agreement, the Vesting Shares will vest as follows: 1/4th of the Vesting Shares shall vest on the 12-month anniversary of the commencement of your employment, and an</w:t>
      </w:r>
    </w:p>
    <w:p>
      <w:pPr>
        <w:sectPr>
          <w:pgSz w:w="11900" w:h="16838" w:orient="portrait"/>
          <w:cols w:equalWidth="0" w:num="1">
            <w:col w:w="9019"/>
          </w:cols>
          <w:pgMar w:left="1440" w:top="124" w:right="1440" w:bottom="1440" w:gutter="0" w:footer="0" w:header="0"/>
        </w:sectPr>
      </w:pPr>
    </w:p>
    <w:bookmarkStart w:id="877" w:name="page878"/>
    <w:bookmarkEnd w:id="877"/>
    <w:p>
      <w:pPr>
        <w:ind w:left="220" w:right="2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additional 1/48th of the Vesting Shares shall vest each month thereafter. The applicable share price or exercise price used in connection with the Equity Award will be equal to the fair market value per share of the Company’s common stock on the date the Equity Award is granted, as determined by the Company’s Board of Directors. There is no guarantee that the Internal Revenue Service will agree with this value. You should consult with your own tax advisor concerning the tax consequences of accepting the Equity Award.</w:t>
      </w:r>
    </w:p>
    <w:p>
      <w:pPr>
        <w:spacing w:after="0" w:line="139" w:lineRule="exact"/>
        <w:rPr>
          <w:sz w:val="20"/>
          <w:szCs w:val="20"/>
          <w:color w:val="auto"/>
        </w:rPr>
      </w:pPr>
    </w:p>
    <w:p>
      <w:pPr>
        <w:ind w:left="220" w:right="539" w:firstLine="345"/>
        <w:spacing w:after="0" w:line="282" w:lineRule="auto"/>
        <w:tabs>
          <w:tab w:leader="none" w:pos="702"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 Information and Invention Assignment Agreement</w:t>
      </w:r>
      <w:r>
        <w:rPr>
          <w:rFonts w:ascii="Times New Roman" w:cs="Times New Roman" w:eastAsia="Times New Roman" w:hAnsi="Times New Roman"/>
          <w:sz w:val="14"/>
          <w:szCs w:val="14"/>
          <w:color w:val="auto"/>
        </w:rPr>
        <w:t>. Like all Company employees, you will be required, as a condition of your employment with the Company, to sign the Company’s standard Confidential Information and Invention Assignment Agreement.</w:t>
      </w:r>
    </w:p>
    <w:p>
      <w:pPr>
        <w:spacing w:after="0" w:line="125" w:lineRule="exact"/>
        <w:rPr>
          <w:rFonts w:ascii="Times New Roman" w:cs="Times New Roman" w:eastAsia="Times New Roman" w:hAnsi="Times New Roman"/>
          <w:sz w:val="14"/>
          <w:szCs w:val="14"/>
          <w:color w:val="auto"/>
        </w:rPr>
      </w:pPr>
    </w:p>
    <w:p>
      <w:pPr>
        <w:ind w:left="220" w:right="339" w:firstLine="345"/>
        <w:spacing w:after="0" w:line="256" w:lineRule="auto"/>
        <w:tabs>
          <w:tab w:leader="none" w:pos="702"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Relationship</w:t>
      </w:r>
      <w:r>
        <w:rPr>
          <w:rFonts w:ascii="Times New Roman" w:cs="Times New Roman" w:eastAsia="Times New Roman" w:hAnsi="Times New Roman"/>
          <w:sz w:val="14"/>
          <w:szCs w:val="14"/>
          <w:color w:val="auto"/>
        </w:rPr>
        <w:t>. 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44" w:lineRule="exact"/>
        <w:rPr>
          <w:rFonts w:ascii="Times New Roman" w:cs="Times New Roman" w:eastAsia="Times New Roman" w:hAnsi="Times New Roman"/>
          <w:sz w:val="14"/>
          <w:szCs w:val="14"/>
          <w:color w:val="auto"/>
        </w:rPr>
      </w:pPr>
    </w:p>
    <w:p>
      <w:pPr>
        <w:ind w:left="220" w:right="279" w:firstLine="345"/>
        <w:spacing w:after="0" w:line="282" w:lineRule="auto"/>
        <w:tabs>
          <w:tab w:leader="none" w:pos="702"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Outside Activities</w:t>
      </w:r>
      <w:r>
        <w:rPr>
          <w:rFonts w:ascii="Times New Roman" w:cs="Times New Roman" w:eastAsia="Times New Roman" w:hAnsi="Times New Roman"/>
          <w:sz w:val="14"/>
          <w:szCs w:val="14"/>
          <w:color w:val="auto"/>
        </w:rPr>
        <w:t>. While you render services to the Company, you agree that you will not engage in any other employment, consulting or other business activity without the written consent of the Company.</w:t>
      </w:r>
    </w:p>
    <w:p>
      <w:pPr>
        <w:spacing w:after="0" w:line="125"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All forms of compensation referred to in this letter are subject to applicable withholding and payroll taxes.</w:t>
      </w:r>
    </w:p>
    <w:p>
      <w:pPr>
        <w:spacing w:after="0" w:line="174" w:lineRule="exact"/>
        <w:rPr>
          <w:rFonts w:ascii="Times New Roman" w:cs="Times New Roman" w:eastAsia="Times New Roman" w:hAnsi="Times New Roman"/>
          <w:sz w:val="14"/>
          <w:szCs w:val="14"/>
          <w:color w:val="auto"/>
        </w:rPr>
      </w:pPr>
    </w:p>
    <w:p>
      <w:pPr>
        <w:ind w:left="700" w:hanging="135"/>
        <w:spacing w:after="0"/>
        <w:tabs>
          <w:tab w:leader="none" w:pos="70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773"/>
        <w:spacing w:after="0" w:line="266" w:lineRule="auto"/>
        <w:tabs>
          <w:tab w:leader="none" w:pos="1181" w:val="left"/>
        </w:tabs>
        <w:numPr>
          <w:ilvl w:val="1"/>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the terms of this letter,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36" w:lineRule="exact"/>
        <w:rPr>
          <w:rFonts w:ascii="Times New Roman" w:cs="Times New Roman" w:eastAsia="Times New Roman" w:hAnsi="Times New Roman"/>
          <w:sz w:val="14"/>
          <w:szCs w:val="14"/>
          <w:color w:val="auto"/>
        </w:rPr>
      </w:pPr>
    </w:p>
    <w:p>
      <w:pPr>
        <w:ind w:left="220" w:right="379" w:firstLine="773"/>
        <w:spacing w:after="0" w:line="266" w:lineRule="auto"/>
        <w:tabs>
          <w:tab w:leader="none" w:pos="1188" w:val="left"/>
        </w:tabs>
        <w:numPr>
          <w:ilvl w:val="1"/>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pacing w:after="0" w:line="136" w:lineRule="exact"/>
        <w:rPr>
          <w:rFonts w:ascii="Times New Roman" w:cs="Times New Roman" w:eastAsia="Times New Roman" w:hAnsi="Times New Roman"/>
          <w:sz w:val="14"/>
          <w:szCs w:val="14"/>
          <w:color w:val="auto"/>
        </w:rPr>
      </w:pPr>
    </w:p>
    <w:p>
      <w:pPr>
        <w:ind w:left="220" w:right="639" w:firstLine="773"/>
        <w:spacing w:after="0" w:line="282" w:lineRule="auto"/>
        <w:tabs>
          <w:tab w:leader="none" w:pos="1181" w:val="left"/>
        </w:tabs>
        <w:numPr>
          <w:ilvl w:val="1"/>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letter may be executed in any number of counterparts, each of which when so executed and delivered shall be deemed an original, and all of which together shall constitute one and the same agreement.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878" w:name="page879"/>
    <w:bookmarkEnd w:id="878"/>
    <w:p>
      <w:pPr>
        <w:jc w:val="both"/>
        <w:ind w:left="220" w:right="579" w:firstLine="773"/>
        <w:spacing w:after="0" w:line="261" w:lineRule="auto"/>
        <w:tabs>
          <w:tab w:leader="none" w:pos="1188" w:val="left"/>
        </w:tabs>
        <w:numPr>
          <w:ilvl w:val="0"/>
          <w:numId w:val="6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Electronic Delivery</w:t>
      </w:r>
      <w:r>
        <w:rPr>
          <w:rFonts w:ascii="Times New Roman" w:cs="Times New Roman" w:eastAsia="Times New Roman" w:hAnsi="Times New Roman"/>
          <w:sz w:val="14"/>
          <w:szCs w:val="14"/>
          <w:color w:val="auto"/>
        </w:rPr>
        <w:t>. The Company may, in its sole discretion, decide to deliver any documents related to this letter or any notices required by applicable law or the Company’s Certificate of Incorporation or Bylaws by email or any other electronic means. You hereby consent to receive such documents and notices by such electronic delivery and agree to participate through an on-line or electronic system established and maintained by the Company or a third party designated by the Company.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879" w:name="page880"/>
    <w:bookmarkEnd w:id="879"/>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This offer has been sent to you for electronic signature. By electronically signing this offer, you agree and acknowledge that you have been able to access and review the offer and choose to sign the offer electronically. If you wish to accept this offer, please electronically sign this letter and the accompanying Confidential Information and Invention Assignment Agreement. As required by law, your employment with the Company is also contingent upon your providing legal proof of your identity and authorization to work in the United States. This offer, if not accepted, will expire at the close of business on April 23, 2019.</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look forward to having you join us no later than April 23, 2019.</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ILLION</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2018665" cy="635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Oguzhan Atay, CEO</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ACCEPTED AND AGREED: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April 21, 2019</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ANCY</w:t>
      </w:r>
      <w:r>
        <w:rPr>
          <w:rFonts w:ascii="Times New Roman" w:cs="Times New Roman" w:eastAsia="Times New Roman" w:hAnsi="Times New Roman"/>
          <w:sz w:val="14"/>
          <w:szCs w:val="14"/>
          <w:b w:val="1"/>
          <w:bCs w:val="1"/>
          <w:color w:val="auto"/>
        </w:rPr>
        <w:t xml:space="preserve"> J. J</w:t>
      </w:r>
      <w:r>
        <w:rPr>
          <w:rFonts w:ascii="Times New Roman" w:cs="Times New Roman" w:eastAsia="Times New Roman" w:hAnsi="Times New Roman"/>
          <w:sz w:val="11"/>
          <w:szCs w:val="11"/>
          <w:b w:val="1"/>
          <w:bCs w:val="1"/>
          <w:color w:val="auto"/>
        </w:rPr>
        <w:t>OHNSON</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Nancy J.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13970</wp:posOffset>
            </wp:positionV>
            <wp:extent cx="2018665" cy="635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80" w:name="page881"/>
    <w:bookmarkEnd w:id="880"/>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ind w:left="220" w:right="259"/>
        <w:spacing w:after="0" w:line="266"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BillionToOne, Inc. of our report dated June 20, 2025 relating to the financial statements of BillionToOne, Inc., which appears in this Registration Statement. We also consent to the reference to us under the heading “Experts” in such Registration Statement.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Florham Park, New Jersey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October 7, 2025</w:t>
      </w:r>
    </w:p>
    <w:p>
      <w:pPr>
        <w:sectPr>
          <w:pgSz w:w="11900" w:h="16838" w:orient="portrait"/>
          <w:cols w:equalWidth="0" w:num="1">
            <w:col w:w="9019"/>
          </w:cols>
          <w:pgMar w:left="1440" w:top="123" w:right="1440" w:bottom="1440" w:gutter="0" w:footer="0" w:header="0"/>
        </w:sectPr>
      </w:pPr>
    </w:p>
    <w:bookmarkStart w:id="881" w:name="page882"/>
    <w:bookmarkEnd w:id="881"/>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BillionToOne,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2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40"/>
              <w:spacing w:after="0" w:line="16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67"/>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ind w:left="14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20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3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4"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240" w:hanging="185"/>
        <w:spacing w:after="0" w:line="227" w:lineRule="auto"/>
        <w:tabs>
          <w:tab w:leader="none" w:pos="220" w:val="left"/>
        </w:tabs>
        <w:numPr>
          <w:ilvl w:val="0"/>
          <w:numId w:val="638"/>
        </w:numPr>
        <w:rPr>
          <w:rFonts w:ascii="Arial" w:cs="Arial" w:eastAsia="Arial" w:hAnsi="Arial"/>
          <w:sz w:val="21"/>
          <w:szCs w:val="21"/>
          <w:color w:val="auto"/>
          <w:vertAlign w:val="superscript"/>
        </w:rPr>
      </w:pPr>
      <w:r>
        <w:rPr>
          <w:rFonts w:ascii="Arial" w:cs="Arial" w:eastAsia="Arial" w:hAnsi="Arial"/>
          <w:sz w:val="17"/>
          <w:szCs w:val="17"/>
          <w:color w:val="auto"/>
        </w:rPr>
        <w:t>(1) Estimated solely for the purpose of calculating the amount of the registration fee pursuant to Rule 457(o) under the Securities Act of 1933, as amended. (2) Includes the aggregate offering price of additional shares of Class A common stock that the underwriters have the option to purchase to solely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19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2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gridSpan w:val="2"/>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7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8"/>
              </w:rPr>
              <w:t>Table 3: Combined Prospectuses</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19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0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6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59"/>
              <w:spacing w:after="0" w:line="189"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1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4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CB0DA4"/>
    <w:multiLevelType w:val="hybridMultilevel"/>
    <w:lvl w:ilvl="0">
      <w:lvlJc w:val="left"/>
      <w:lvlText w:val="(%1)"/>
      <w:numFmt w:val="decimal"/>
      <w:start w:val="1"/>
    </w:lvl>
  </w:abstractNum>
  <w:abstractNum w:abstractNumId="1">
    <w:nsid w:val="7B9B743C"/>
    <w:multiLevelType w:val="hybridMultilevel"/>
    <w:lvl w:ilvl="0">
      <w:lvlJc w:val="left"/>
      <w:lvlText w:val="1"/>
      <w:numFmt w:val="bullet"/>
      <w:start w:val="1"/>
    </w:lvl>
  </w:abstractNum>
  <w:abstractNum w:abstractNumId="2">
    <w:nsid w:val="13E21002"/>
    <w:multiLevelType w:val="hybridMultilevel"/>
    <w:lvl w:ilvl="0">
      <w:lvlJc w:val="left"/>
      <w:lvlText w:val="2"/>
      <w:numFmt w:val="bullet"/>
      <w:start w:val="1"/>
    </w:lvl>
  </w:abstractNum>
  <w:abstractNum w:abstractNumId="3">
    <w:nsid w:val="257D63F4"/>
    <w:multiLevelType w:val="hybridMultilevel"/>
    <w:lvl w:ilvl="0">
      <w:lvlJc w:val="left"/>
      <w:lvlText w:val="3"/>
      <w:numFmt w:val="bullet"/>
      <w:start w:val="1"/>
    </w:lvl>
  </w:abstractNum>
  <w:abstractNum w:abstractNumId="4">
    <w:nsid w:val="70EC11B2"/>
    <w:multiLevelType w:val="hybridMultilevel"/>
    <w:lvl w:ilvl="0">
      <w:lvlJc w:val="left"/>
      <w:lvlText w:val="4"/>
      <w:numFmt w:val="bullet"/>
      <w:start w:val="1"/>
    </w:lvl>
  </w:abstractNum>
  <w:abstractNum w:abstractNumId="5">
    <w:nsid w:val="2EDA00ED"/>
    <w:multiLevelType w:val="hybridMultilevel"/>
    <w:lvl w:ilvl="0">
      <w:lvlJc w:val="left"/>
      <w:lvlText w:val="5"/>
      <w:numFmt w:val="bullet"/>
      <w:start w:val="1"/>
    </w:lvl>
  </w:abstractNum>
  <w:abstractNum w:abstractNumId="6">
    <w:nsid w:val="73209072"/>
    <w:multiLevelType w:val="hybridMultilevel"/>
    <w:lvl w:ilvl="0">
      <w:lvlJc w:val="left"/>
      <w:lvlText w:val="6"/>
      <w:numFmt w:val="bullet"/>
      <w:start w:val="1"/>
    </w:lvl>
  </w:abstractNum>
  <w:abstractNum w:abstractNumId="7">
    <w:nsid w:val="5FB29816"/>
    <w:multiLevelType w:val="hybridMultilevel"/>
    <w:lvl w:ilvl="0">
      <w:lvlJc w:val="left"/>
      <w:lvlText w:val="7"/>
      <w:numFmt w:val="bullet"/>
      <w:start w:val="1"/>
    </w:lvl>
  </w:abstractNum>
  <w:abstractNum w:abstractNumId="8">
    <w:nsid w:val="3CE732EC"/>
    <w:multiLevelType w:val="hybridMultilevel"/>
    <w:lvl w:ilvl="0">
      <w:lvlJc w:val="left"/>
      <w:lvlText w:val="8"/>
      <w:numFmt w:val="bullet"/>
      <w:start w:val="1"/>
    </w:lvl>
  </w:abstractNum>
  <w:abstractNum w:abstractNumId="9">
    <w:nsid w:val="22F13DF3"/>
    <w:multiLevelType w:val="hybridMultilevel"/>
    <w:lvl w:ilvl="0">
      <w:lvlJc w:val="left"/>
      <w:lvlText w:val="9"/>
      <w:numFmt w:val="bullet"/>
      <w:start w:val="1"/>
    </w:lvl>
  </w:abstractNum>
  <w:abstractNum w:abstractNumId="10">
    <w:nsid w:val="792B8401"/>
    <w:multiLevelType w:val="hybridMultilevel"/>
    <w:lvl w:ilvl="0">
      <w:lvlJc w:val="left"/>
      <w:lvlText w:val="%1"/>
      <w:numFmt w:val="decimal"/>
      <w:start w:val="10"/>
    </w:lvl>
  </w:abstractNum>
  <w:abstractNum w:abstractNumId="11">
    <w:nsid w:val="FA85F4D"/>
    <w:multiLevelType w:val="hybridMultilevel"/>
    <w:lvl w:ilvl="0">
      <w:lvlJc w:val="left"/>
      <w:lvlText w:val="%1"/>
      <w:numFmt w:val="decimal"/>
      <w:start w:val="11"/>
    </w:lvl>
  </w:abstractNum>
  <w:abstractNum w:abstractNumId="12">
    <w:nsid w:val="6ECE91F0"/>
    <w:multiLevelType w:val="hybridMultilevel"/>
    <w:lvl w:ilvl="0">
      <w:lvlJc w:val="left"/>
      <w:lvlText w:val="%1"/>
      <w:numFmt w:val="decimal"/>
      <w:start w:val="12"/>
    </w:lvl>
  </w:abstractNum>
  <w:abstractNum w:abstractNumId="13">
    <w:nsid w:val="4FC4D600"/>
    <w:multiLevelType w:val="hybridMultilevel"/>
    <w:lvl w:ilvl="0">
      <w:lvlJc w:val="left"/>
      <w:lvlText w:val="%1"/>
      <w:numFmt w:val="decimal"/>
      <w:start w:val="14"/>
    </w:lvl>
  </w:abstractNum>
  <w:abstractNum w:abstractNumId="14">
    <w:nsid w:val="5BFD4210"/>
    <w:multiLevelType w:val="hybridMultilevel"/>
    <w:lvl w:ilvl="0">
      <w:lvlJc w:val="left"/>
      <w:lvlText w:val="%1"/>
      <w:numFmt w:val="decimal"/>
      <w:start w:val="17"/>
    </w:lvl>
  </w:abstractNum>
  <w:abstractNum w:abstractNumId="15">
    <w:nsid w:val="76574F8B"/>
    <w:multiLevelType w:val="hybridMultilevel"/>
    <w:lvl w:ilvl="0">
      <w:lvlJc w:val="left"/>
      <w:lvlText w:val="(%1)"/>
      <w:numFmt w:val="lowerRoman"/>
      <w:start w:val="2"/>
    </w:lvl>
  </w:abstractNum>
  <w:abstractNum w:abstractNumId="16">
    <w:nsid w:val="178F7B67"/>
    <w:multiLevelType w:val="hybridMultilevel"/>
    <w:lvl w:ilvl="0">
      <w:lvlJc w:val="left"/>
      <w:lvlText w:val="%1"/>
      <w:numFmt w:val="decimal"/>
      <w:start w:val="20"/>
    </w:lvl>
  </w:abstractNum>
  <w:abstractNum w:abstractNumId="17">
    <w:nsid w:val="2421DFCF"/>
    <w:multiLevelType w:val="hybridMultilevel"/>
    <w:lvl w:ilvl="0">
      <w:lvlJc w:val="left"/>
      <w:lvlText w:val="•"/>
      <w:numFmt w:val="bullet"/>
      <w:start w:val="1"/>
    </w:lvl>
  </w:abstractNum>
  <w:abstractNum w:abstractNumId="18">
    <w:nsid w:val="1565AC99"/>
    <w:multiLevelType w:val="hybridMultilevel"/>
    <w:lvl w:ilvl="0">
      <w:lvlJc w:val="left"/>
      <w:lvlText w:val="•"/>
      <w:numFmt w:val="bullet"/>
      <w:start w:val="1"/>
    </w:lvl>
  </w:abstractNum>
  <w:abstractNum w:abstractNumId="19">
    <w:nsid w:val="19FB2650"/>
    <w:multiLevelType w:val="hybridMultilevel"/>
    <w:lvl w:ilvl="0">
      <w:lvlJc w:val="left"/>
      <w:lvlText w:val="•"/>
      <w:numFmt w:val="bullet"/>
      <w:start w:val="1"/>
    </w:lvl>
  </w:abstractNum>
  <w:abstractNum w:abstractNumId="20">
    <w:nsid w:val="5024DE5B"/>
    <w:multiLevelType w:val="hybridMultilevel"/>
    <w:lvl w:ilvl="0">
      <w:lvlJc w:val="left"/>
      <w:lvlText w:val="•"/>
      <w:numFmt w:val="bullet"/>
      <w:start w:val="1"/>
    </w:lvl>
  </w:abstractNum>
  <w:abstractNum w:abstractNumId="21">
    <w:nsid w:val="168EFE17"/>
    <w:multiLevelType w:val="hybridMultilevel"/>
    <w:lvl w:ilvl="0">
      <w:lvlJc w:val="left"/>
      <w:lvlText w:val=" "/>
      <w:numFmt w:val="bullet"/>
      <w:start w:val="1"/>
    </w:lvl>
  </w:abstractNum>
  <w:abstractNum w:abstractNumId="22">
    <w:nsid w:val="1036B29F"/>
    <w:multiLevelType w:val="hybridMultilevel"/>
    <w:lvl w:ilvl="0">
      <w:lvlJc w:val="left"/>
      <w:lvlText w:val="•"/>
      <w:numFmt w:val="bullet"/>
      <w:start w:val="1"/>
    </w:lvl>
  </w:abstractNum>
  <w:abstractNum w:abstractNumId="23">
    <w:nsid w:val="1D206B8E"/>
    <w:multiLevelType w:val="hybridMultilevel"/>
    <w:lvl w:ilvl="0">
      <w:lvlJc w:val="left"/>
      <w:lvlText w:val="•"/>
      <w:numFmt w:val="bullet"/>
      <w:start w:val="1"/>
    </w:lvl>
  </w:abstractNum>
  <w:abstractNum w:abstractNumId="24">
    <w:nsid w:val="7934D3D4"/>
    <w:multiLevelType w:val="hybridMultilevel"/>
    <w:lvl w:ilvl="0">
      <w:lvlJc w:val="left"/>
      <w:lvlText w:val="•"/>
      <w:numFmt w:val="bullet"/>
      <w:start w:val="1"/>
    </w:lvl>
  </w:abstractNum>
  <w:abstractNum w:abstractNumId="25">
    <w:nsid w:val="1C65E98"/>
    <w:multiLevelType w:val="hybridMultilevel"/>
    <w:lvl w:ilvl="0">
      <w:lvlJc w:val="left"/>
      <w:lvlText w:val="(%1)"/>
      <w:numFmt w:val="decimal"/>
      <w:start w:val="1"/>
    </w:lvl>
  </w:abstractNum>
  <w:abstractNum w:abstractNumId="26">
    <w:nsid w:val="1495E50A"/>
    <w:multiLevelType w:val="hybridMultilevel"/>
    <w:lvl w:ilvl="0">
      <w:lvlJc w:val="left"/>
      <w:lvlText w:val="(%1)"/>
      <w:numFmt w:val="decimal"/>
      <w:start w:val="1"/>
    </w:lvl>
  </w:abstractNum>
  <w:abstractNum w:abstractNumId="27">
    <w:nsid w:val="F5BCF61"/>
    <w:multiLevelType w:val="hybridMultilevel"/>
    <w:lvl w:ilvl="0">
      <w:lvlJc w:val="left"/>
      <w:lvlText w:val="(%1)"/>
      <w:numFmt w:val="decimal"/>
      <w:start w:val="4"/>
    </w:lvl>
  </w:abstractNum>
  <w:abstractNum w:abstractNumId="28">
    <w:nsid w:val="3B1DD403"/>
    <w:multiLevelType w:val="hybridMultilevel"/>
    <w:lvl w:ilvl="0">
      <w:lvlJc w:val="left"/>
      <w:lvlText w:val="•"/>
      <w:numFmt w:val="bullet"/>
      <w:start w:val="1"/>
    </w:lvl>
  </w:abstractNum>
  <w:abstractNum w:abstractNumId="29">
    <w:nsid w:val="530386D1"/>
    <w:multiLevelType w:val="hybridMultilevel"/>
    <w:lvl w:ilvl="0">
      <w:lvlJc w:val="left"/>
      <w:lvlText w:val="%1"/>
      <w:numFmt w:val="decimal"/>
      <w:start w:val="22"/>
    </w:lvl>
  </w:abstractNum>
  <w:abstractNum w:abstractNumId="30">
    <w:nsid w:val="7525F2BC"/>
    <w:multiLevelType w:val="hybridMultilevel"/>
    <w:lvl w:ilvl="0">
      <w:lvlJc w:val="left"/>
      <w:lvlText w:val="•"/>
      <w:numFmt w:val="bullet"/>
      <w:start w:val="1"/>
    </w:lvl>
  </w:abstractNum>
  <w:abstractNum w:abstractNumId="31">
    <w:nsid w:val="CE8E1A7"/>
    <w:multiLevelType w:val="hybridMultilevel"/>
    <w:lvl w:ilvl="0">
      <w:lvlJc w:val="left"/>
      <w:lvlText w:val="•"/>
      <w:numFmt w:val="bullet"/>
      <w:start w:val="1"/>
    </w:lvl>
  </w:abstractNum>
  <w:abstractNum w:abstractNumId="32">
    <w:nsid w:val="4E9EFB0D"/>
    <w:multiLevelType w:val="hybridMultilevel"/>
    <w:lvl w:ilvl="0">
      <w:lvlJc w:val="left"/>
      <w:lvlText w:val="•"/>
      <w:numFmt w:val="bullet"/>
      <w:start w:val="1"/>
    </w:lvl>
  </w:abstractNum>
  <w:abstractNum w:abstractNumId="33">
    <w:nsid w:val="90802BE"/>
    <w:multiLevelType w:val="hybridMultilevel"/>
    <w:lvl w:ilvl="0">
      <w:lvlJc w:val="left"/>
      <w:lvlText w:val="•"/>
      <w:numFmt w:val="bullet"/>
      <w:start w:val="1"/>
    </w:lvl>
  </w:abstractNum>
  <w:abstractNum w:abstractNumId="34">
    <w:nsid w:val="3266459B"/>
    <w:multiLevelType w:val="hybridMultilevel"/>
    <w:lvl w:ilvl="0">
      <w:lvlJc w:val="left"/>
      <w:lvlText w:val="•"/>
      <w:numFmt w:val="bullet"/>
      <w:start w:val="1"/>
    </w:lvl>
  </w:abstractNum>
  <w:abstractNum w:abstractNumId="35">
    <w:nsid w:val="3F8B0CBF"/>
    <w:multiLevelType w:val="hybridMultilevel"/>
    <w:lvl w:ilvl="0">
      <w:lvlJc w:val="left"/>
      <w:lvlText w:val="•"/>
      <w:numFmt w:val="bullet"/>
      <w:start w:val="1"/>
    </w:lvl>
  </w:abstractNum>
  <w:abstractNum w:abstractNumId="36">
    <w:nsid w:val="37E203AB"/>
    <w:multiLevelType w:val="hybridMultilevel"/>
    <w:lvl w:ilvl="0">
      <w:lvlJc w:val="left"/>
      <w:lvlText w:val="•"/>
      <w:numFmt w:val="bullet"/>
      <w:start w:val="1"/>
    </w:lvl>
  </w:abstractNum>
  <w:abstractNum w:abstractNumId="37">
    <w:nsid w:val="2586D60E"/>
    <w:multiLevelType w:val="hybridMultilevel"/>
    <w:lvl w:ilvl="0">
      <w:lvlJc w:val="left"/>
      <w:lvlText w:val="•"/>
      <w:numFmt w:val="bullet"/>
      <w:start w:val="1"/>
    </w:lvl>
  </w:abstractNum>
  <w:abstractNum w:abstractNumId="38">
    <w:nsid w:val="1F3DA4D5"/>
    <w:multiLevelType w:val="hybridMultilevel"/>
    <w:lvl w:ilvl="0">
      <w:lvlJc w:val="left"/>
      <w:lvlText w:val="•"/>
      <w:numFmt w:val="bullet"/>
      <w:start w:val="1"/>
    </w:lvl>
  </w:abstractNum>
  <w:abstractNum w:abstractNumId="39">
    <w:nsid w:val="74C93698"/>
    <w:multiLevelType w:val="hybridMultilevel"/>
    <w:lvl w:ilvl="0">
      <w:lvlJc w:val="left"/>
      <w:lvlText w:val="•"/>
      <w:numFmt w:val="bullet"/>
      <w:start w:val="1"/>
    </w:lvl>
  </w:abstractNum>
  <w:abstractNum w:abstractNumId="40">
    <w:nsid w:val="48781401"/>
    <w:multiLevelType w:val="hybridMultilevel"/>
    <w:lvl w:ilvl="0">
      <w:lvlJc w:val="left"/>
      <w:lvlText w:val="•"/>
      <w:numFmt w:val="bullet"/>
      <w:start w:val="1"/>
    </w:lvl>
  </w:abstractNum>
  <w:abstractNum w:abstractNumId="41">
    <w:nsid w:val="186928D6"/>
    <w:multiLevelType w:val="hybridMultilevel"/>
    <w:lvl w:ilvl="0">
      <w:lvlJc w:val="left"/>
      <w:lvlText w:val="•"/>
      <w:numFmt w:val="bullet"/>
      <w:start w:val="1"/>
    </w:lvl>
  </w:abstractNum>
  <w:abstractNum w:abstractNumId="42">
    <w:nsid w:val="47195E5"/>
    <w:multiLevelType w:val="hybridMultilevel"/>
    <w:lvl w:ilvl="0">
      <w:lvlJc w:val="left"/>
      <w:lvlText w:val="•"/>
      <w:numFmt w:val="bullet"/>
      <w:start w:val="1"/>
    </w:lvl>
  </w:abstractNum>
  <w:abstractNum w:abstractNumId="43">
    <w:nsid w:val="3746A5F2"/>
    <w:multiLevelType w:val="hybridMultilevel"/>
    <w:lvl w:ilvl="0">
      <w:lvlJc w:val="left"/>
      <w:lvlText w:val="•"/>
      <w:numFmt w:val="bullet"/>
      <w:start w:val="1"/>
    </w:lvl>
  </w:abstractNum>
  <w:abstractNum w:abstractNumId="44">
    <w:nsid w:val="682DFED6"/>
    <w:multiLevelType w:val="hybridMultilevel"/>
    <w:lvl w:ilvl="0">
      <w:lvlJc w:val="left"/>
      <w:lvlText w:val="•"/>
      <w:numFmt w:val="bullet"/>
      <w:start w:val="1"/>
    </w:lvl>
  </w:abstractNum>
  <w:abstractNum w:abstractNumId="45">
    <w:nsid w:val="606ED7F6"/>
    <w:multiLevelType w:val="hybridMultilevel"/>
    <w:lvl w:ilvl="0">
      <w:lvlJc w:val="left"/>
      <w:lvlText w:val="•"/>
      <w:numFmt w:val="bullet"/>
      <w:start w:val="1"/>
    </w:lvl>
  </w:abstractNum>
  <w:abstractNum w:abstractNumId="46">
    <w:nsid w:val="2D9DF57D"/>
    <w:multiLevelType w:val="hybridMultilevel"/>
    <w:lvl w:ilvl="0">
      <w:lvlJc w:val="left"/>
      <w:lvlText w:val="•"/>
      <w:numFmt w:val="bullet"/>
      <w:start w:val="1"/>
    </w:lvl>
  </w:abstractNum>
  <w:abstractNum w:abstractNumId="47">
    <w:nsid w:val="7FBD7A3E"/>
    <w:multiLevelType w:val="hybridMultilevel"/>
    <w:lvl w:ilvl="0">
      <w:lvlJc w:val="left"/>
      <w:lvlText w:val="•"/>
      <w:numFmt w:val="bullet"/>
      <w:start w:val="1"/>
    </w:lvl>
  </w:abstractNum>
  <w:abstractNum w:abstractNumId="48">
    <w:nsid w:val="490B7C5"/>
    <w:multiLevelType w:val="hybridMultilevel"/>
    <w:lvl w:ilvl="0">
      <w:lvlJc w:val="left"/>
      <w:lvlText w:val="•"/>
      <w:numFmt w:val="bullet"/>
      <w:start w:val="1"/>
    </w:lvl>
  </w:abstractNum>
  <w:abstractNum w:abstractNumId="49">
    <w:nsid w:val="4303A216"/>
    <w:multiLevelType w:val="hybridMultilevel"/>
    <w:lvl w:ilvl="0">
      <w:lvlJc w:val="left"/>
      <w:lvlText w:val="•"/>
      <w:numFmt w:val="bullet"/>
      <w:start w:val="1"/>
    </w:lvl>
  </w:abstractNum>
  <w:abstractNum w:abstractNumId="50">
    <w:nsid w:val="19B8A08E"/>
    <w:multiLevelType w:val="hybridMultilevel"/>
    <w:lvl w:ilvl="0">
      <w:lvlJc w:val="left"/>
      <w:lvlText w:val="•"/>
      <w:numFmt w:val="bullet"/>
      <w:start w:val="1"/>
    </w:lvl>
  </w:abstractNum>
  <w:abstractNum w:abstractNumId="51">
    <w:nsid w:val="54B59621"/>
    <w:multiLevelType w:val="hybridMultilevel"/>
    <w:lvl w:ilvl="0">
      <w:lvlJc w:val="left"/>
      <w:lvlText w:val="•"/>
      <w:numFmt w:val="bullet"/>
      <w:start w:val="1"/>
    </w:lvl>
  </w:abstractNum>
  <w:abstractNum w:abstractNumId="52">
    <w:nsid w:val="5992A02E"/>
    <w:multiLevelType w:val="hybridMultilevel"/>
    <w:lvl w:ilvl="0">
      <w:lvlJc w:val="left"/>
      <w:lvlText w:val="•"/>
      <w:numFmt w:val="bullet"/>
      <w:start w:val="1"/>
    </w:lvl>
  </w:abstractNum>
  <w:abstractNum w:abstractNumId="53">
    <w:nsid w:val="29EF532D"/>
    <w:multiLevelType w:val="hybridMultilevel"/>
    <w:lvl w:ilvl="0">
      <w:lvlJc w:val="left"/>
      <w:lvlText w:val="•"/>
      <w:numFmt w:val="bullet"/>
      <w:start w:val="1"/>
    </w:lvl>
  </w:abstractNum>
  <w:abstractNum w:abstractNumId="54">
    <w:nsid w:val="71D601AF"/>
    <w:multiLevelType w:val="hybridMultilevel"/>
    <w:lvl w:ilvl="0">
      <w:lvlJc w:val="left"/>
      <w:lvlText w:val="(%1)"/>
      <w:numFmt w:val="decimal"/>
      <w:start w:val="1"/>
    </w:lvl>
  </w:abstractNum>
  <w:abstractNum w:abstractNumId="55">
    <w:nsid w:val="52C77402"/>
    <w:multiLevelType w:val="hybridMultilevel"/>
    <w:lvl w:ilvl="0">
      <w:lvlJc w:val="left"/>
      <w:lvlText w:val="•"/>
      <w:numFmt w:val="bullet"/>
      <w:start w:val="1"/>
    </w:lvl>
  </w:abstractNum>
  <w:abstractNum w:abstractNumId="56">
    <w:nsid w:val="2BB5B1C6"/>
    <w:multiLevelType w:val="hybridMultilevel"/>
    <w:lvl w:ilvl="0">
      <w:lvlJc w:val="left"/>
      <w:lvlText w:val="•"/>
      <w:numFmt w:val="bullet"/>
      <w:start w:val="1"/>
    </w:lvl>
  </w:abstractNum>
  <w:abstractNum w:abstractNumId="57">
    <w:nsid w:val="66BE6B9"/>
    <w:multiLevelType w:val="hybridMultilevel"/>
    <w:lvl w:ilvl="0">
      <w:lvlJc w:val="left"/>
      <w:lvlText w:val="•"/>
      <w:numFmt w:val="bullet"/>
      <w:start w:val="1"/>
    </w:lvl>
  </w:abstractNum>
  <w:abstractNum w:abstractNumId="58">
    <w:nsid w:val="62234363"/>
    <w:multiLevelType w:val="hybridMultilevel"/>
    <w:lvl w:ilvl="0">
      <w:lvlJc w:val="left"/>
      <w:lvlText w:val="%1"/>
      <w:numFmt w:val="decimal"/>
      <w:start w:val="23"/>
    </w:lvl>
  </w:abstractNum>
  <w:abstractNum w:abstractNumId="59">
    <w:nsid w:val="66D385C9"/>
    <w:multiLevelType w:val="hybridMultilevel"/>
    <w:lvl w:ilvl="0">
      <w:lvlJc w:val="left"/>
      <w:lvlText w:val="•"/>
      <w:numFmt w:val="bullet"/>
      <w:start w:val="1"/>
    </w:lvl>
  </w:abstractNum>
  <w:abstractNum w:abstractNumId="60">
    <w:nsid w:val="596F6D8A"/>
    <w:multiLevelType w:val="hybridMultilevel"/>
    <w:lvl w:ilvl="0">
      <w:lvlJc w:val="left"/>
      <w:lvlText w:val="•"/>
      <w:numFmt w:val="bullet"/>
      <w:start w:val="1"/>
    </w:lvl>
    <w:lvl w:ilvl="1">
      <w:lvlJc w:val="left"/>
      <w:lvlText w:val="•"/>
      <w:numFmt w:val="bullet"/>
      <w:start w:val="1"/>
    </w:lvl>
  </w:abstractNum>
  <w:abstractNum w:abstractNumId="61">
    <w:nsid w:val="5749361F"/>
    <w:multiLevelType w:val="hybridMultilevel"/>
    <w:lvl w:ilvl="0">
      <w:lvlJc w:val="left"/>
      <w:lvlText w:val="%1"/>
      <w:numFmt w:val="decimal"/>
      <w:start w:val="24"/>
    </w:lvl>
  </w:abstractNum>
  <w:abstractNum w:abstractNumId="62">
    <w:nsid w:val="73BC6770"/>
    <w:multiLevelType w:val="hybridMultilevel"/>
    <w:lvl w:ilvl="0">
      <w:lvlJc w:val="left"/>
      <w:lvlText w:val="(%1)"/>
      <w:numFmt w:val="lowerRoman"/>
      <w:start w:val="1"/>
    </w:lvl>
  </w:abstractNum>
  <w:abstractNum w:abstractNumId="63">
    <w:nsid w:val="280E6897"/>
    <w:multiLevelType w:val="hybridMultilevel"/>
    <w:lvl w:ilvl="0">
      <w:lvlJc w:val="left"/>
      <w:lvlText w:val="•"/>
      <w:numFmt w:val="bullet"/>
      <w:start w:val="1"/>
    </w:lvl>
  </w:abstractNum>
  <w:abstractNum w:abstractNumId="64">
    <w:nsid w:val="605138DE"/>
    <w:multiLevelType w:val="hybridMultilevel"/>
    <w:lvl w:ilvl="0">
      <w:lvlJc w:val="left"/>
      <w:lvlText w:val="%1"/>
      <w:numFmt w:val="decimal"/>
      <w:start w:val="25"/>
    </w:lvl>
  </w:abstractNum>
  <w:abstractNum w:abstractNumId="65">
    <w:nsid w:val="2622AD0C"/>
    <w:multiLevelType w:val="hybridMultilevel"/>
    <w:lvl w:ilvl="0">
      <w:lvlJc w:val="left"/>
      <w:lvlText w:val="•"/>
      <w:numFmt w:val="bullet"/>
      <w:start w:val="1"/>
    </w:lvl>
  </w:abstractNum>
  <w:abstractNum w:abstractNumId="66">
    <w:nsid w:val="67997556"/>
    <w:multiLevelType w:val="hybridMultilevel"/>
    <w:lvl w:ilvl="0">
      <w:lvlJc w:val="left"/>
      <w:lvlText w:val="•"/>
      <w:numFmt w:val="bullet"/>
      <w:start w:val="1"/>
    </w:lvl>
  </w:abstractNum>
  <w:abstractNum w:abstractNumId="67">
    <w:nsid w:val="18333C89"/>
    <w:multiLevelType w:val="hybridMultilevel"/>
    <w:lvl w:ilvl="0">
      <w:lvlJc w:val="left"/>
      <w:lvlText w:val="•"/>
      <w:numFmt w:val="bullet"/>
      <w:start w:val="1"/>
    </w:lvl>
  </w:abstractNum>
  <w:abstractNum w:abstractNumId="68">
    <w:nsid w:val="4BA9831A"/>
    <w:multiLevelType w:val="hybridMultilevel"/>
    <w:lvl w:ilvl="0">
      <w:lvlJc w:val="left"/>
      <w:lvlText w:val="%1"/>
      <w:numFmt w:val="decimal"/>
      <w:start w:val="26"/>
    </w:lvl>
  </w:abstractNum>
  <w:abstractNum w:abstractNumId="69">
    <w:nsid w:val="6D71A2B"/>
    <w:multiLevelType w:val="hybridMultilevel"/>
    <w:lvl w:ilvl="0">
      <w:lvlJc w:val="left"/>
      <w:lvlText w:val="(%1)"/>
      <w:numFmt w:val="decimal"/>
      <w:start w:val="1"/>
    </w:lvl>
  </w:abstractNum>
  <w:abstractNum w:abstractNumId="70">
    <w:nsid w:val="CFC7321"/>
    <w:multiLevelType w:val="hybridMultilevel"/>
    <w:lvl w:ilvl="0">
      <w:lvlJc w:val="left"/>
      <w:lvlText w:val="(%1)"/>
      <w:numFmt w:val="decimal"/>
      <w:start w:val="2"/>
    </w:lvl>
  </w:abstractNum>
  <w:abstractNum w:abstractNumId="71">
    <w:nsid w:val="1421971B"/>
    <w:multiLevelType w:val="hybridMultilevel"/>
    <w:lvl w:ilvl="0">
      <w:lvlJc w:val="left"/>
      <w:lvlText w:val="(%1)"/>
      <w:numFmt w:val="decimal"/>
      <w:start w:val="5"/>
    </w:lvl>
  </w:abstractNum>
  <w:abstractNum w:abstractNumId="72">
    <w:nsid w:val="1F404301"/>
    <w:multiLevelType w:val="hybridMultilevel"/>
    <w:lvl w:ilvl="0">
      <w:lvlJc w:val="left"/>
      <w:lvlText w:val="•"/>
      <w:numFmt w:val="bullet"/>
      <w:start w:val="1"/>
    </w:lvl>
  </w:abstractNum>
  <w:abstractNum w:abstractNumId="73">
    <w:nsid w:val="116E0907"/>
    <w:multiLevelType w:val="hybridMultilevel"/>
    <w:lvl w:ilvl="0">
      <w:lvlJc w:val="left"/>
      <w:lvlText w:val="•"/>
      <w:numFmt w:val="bullet"/>
      <w:start w:val="1"/>
    </w:lvl>
  </w:abstractNum>
  <w:abstractNum w:abstractNumId="74">
    <w:nsid w:val="4B683D0D"/>
    <w:multiLevelType w:val="hybridMultilevel"/>
    <w:lvl w:ilvl="0">
      <w:lvlJc w:val="left"/>
      <w:lvlText w:val="•"/>
      <w:numFmt w:val="bullet"/>
      <w:start w:val="1"/>
    </w:lvl>
    <w:lvl w:ilvl="1">
      <w:lvlJc w:val="left"/>
      <w:lvlText w:val="•"/>
      <w:numFmt w:val="bullet"/>
      <w:start w:val="1"/>
    </w:lvl>
  </w:abstractNum>
  <w:abstractNum w:abstractNumId="75">
    <w:nsid w:val="76E41D8"/>
    <w:multiLevelType w:val="hybridMultilevel"/>
    <w:lvl w:ilvl="0">
      <w:lvlJc w:val="left"/>
      <w:lvlText w:val="•"/>
      <w:numFmt w:val="bullet"/>
      <w:start w:val="1"/>
    </w:lvl>
  </w:abstractNum>
  <w:abstractNum w:abstractNumId="76">
    <w:nsid w:val="71DCE0FD"/>
    <w:multiLevelType w:val="hybridMultilevel"/>
    <w:lvl w:ilvl="0">
      <w:lvlJc w:val="left"/>
      <w:lvlText w:val="%1"/>
      <w:numFmt w:val="decimal"/>
      <w:start w:val="27"/>
    </w:lvl>
  </w:abstractNum>
  <w:abstractNum w:abstractNumId="77">
    <w:nsid w:val="7906328B"/>
    <w:multiLevelType w:val="hybridMultilevel"/>
    <w:lvl w:ilvl="0">
      <w:lvlJc w:val="left"/>
      <w:lvlText w:val="%1"/>
      <w:numFmt w:val="decimal"/>
      <w:start w:val="30"/>
    </w:lvl>
  </w:abstractNum>
  <w:abstractNum w:abstractNumId="78">
    <w:nsid w:val="72BBC16"/>
    <w:multiLevelType w:val="hybridMultilevel"/>
    <w:lvl w:ilvl="0">
      <w:lvlJc w:val="left"/>
      <w:lvlText w:val="(%1)"/>
      <w:numFmt w:val="lowerRoman"/>
      <w:start w:val="3"/>
    </w:lvl>
  </w:abstractNum>
  <w:abstractNum w:abstractNumId="79">
    <w:nsid w:val="766D98C2"/>
    <w:multiLevelType w:val="hybridMultilevel"/>
    <w:lvl w:ilvl="0">
      <w:lvlJc w:val="left"/>
      <w:lvlText w:val="%1"/>
      <w:numFmt w:val="decimal"/>
      <w:start w:val="33"/>
    </w:lvl>
  </w:abstractNum>
  <w:abstractNum w:abstractNumId="80">
    <w:nsid w:val="3C09D4A1"/>
    <w:multiLevelType w:val="hybridMultilevel"/>
    <w:lvl w:ilvl="0">
      <w:lvlJc w:val="left"/>
      <w:lvlText w:val="%1"/>
      <w:numFmt w:val="decimal"/>
      <w:start w:val="34"/>
    </w:lvl>
  </w:abstractNum>
  <w:abstractNum w:abstractNumId="81">
    <w:nsid w:val="20E45CA4"/>
    <w:multiLevelType w:val="hybridMultilevel"/>
    <w:lvl w:ilvl="0">
      <w:lvlJc w:val="left"/>
      <w:lvlText w:val="%1"/>
      <w:numFmt w:val="decimal"/>
      <w:start w:val="36"/>
    </w:lvl>
  </w:abstractNum>
  <w:abstractNum w:abstractNumId="82">
    <w:nsid w:val="4B232EE3"/>
    <w:multiLevelType w:val="hybridMultilevel"/>
    <w:lvl w:ilvl="0">
      <w:lvlJc w:val="left"/>
      <w:lvlText w:val="%1"/>
      <w:numFmt w:val="decimal"/>
      <w:start w:val="38"/>
    </w:lvl>
  </w:abstractNum>
  <w:abstractNum w:abstractNumId="83">
    <w:nsid w:val="159C74CF"/>
    <w:multiLevelType w:val="hybridMultilevel"/>
    <w:lvl w:ilvl="0">
      <w:lvlJc w:val="left"/>
      <w:lvlText w:val="%1"/>
      <w:numFmt w:val="decimal"/>
      <w:start w:val="37"/>
    </w:lvl>
  </w:abstractNum>
  <w:abstractNum w:abstractNumId="84">
    <w:nsid w:val="4AD3AFD2"/>
    <w:multiLevelType w:val="hybridMultilevel"/>
    <w:lvl w:ilvl="0">
      <w:lvlJc w:val="left"/>
      <w:lvlText w:val="%1"/>
      <w:numFmt w:val="decimal"/>
      <w:start w:val="39"/>
    </w:lvl>
  </w:abstractNum>
  <w:abstractNum w:abstractNumId="85">
    <w:nsid w:val="3CF93092"/>
    <w:multiLevelType w:val="hybridMultilevel"/>
    <w:lvl w:ilvl="0">
      <w:lvlJc w:val="left"/>
      <w:lvlText w:val="%1"/>
      <w:numFmt w:val="decimal"/>
      <w:start w:val="41"/>
    </w:lvl>
  </w:abstractNum>
  <w:abstractNum w:abstractNumId="86">
    <w:nsid w:val="6863E8D2"/>
    <w:multiLevelType w:val="hybridMultilevel"/>
    <w:lvl w:ilvl="0">
      <w:lvlJc w:val="left"/>
      <w:lvlText w:val="%1"/>
      <w:numFmt w:val="decimal"/>
      <w:start w:val="43"/>
    </w:lvl>
  </w:abstractNum>
  <w:abstractNum w:abstractNumId="87">
    <w:nsid w:val="76896198"/>
    <w:multiLevelType w:val="hybridMultilevel"/>
    <w:lvl w:ilvl="0">
      <w:lvlJc w:val="left"/>
      <w:lvlText w:val="%1"/>
      <w:numFmt w:val="decimal"/>
      <w:start w:val="44"/>
    </w:lvl>
  </w:abstractNum>
  <w:abstractNum w:abstractNumId="88">
    <w:nsid w:val="4365174B"/>
    <w:multiLevelType w:val="hybridMultilevel"/>
    <w:lvl w:ilvl="0">
      <w:lvlJc w:val="left"/>
      <w:lvlText w:val="(%1)"/>
      <w:numFmt w:val="decimal"/>
      <w:start w:val="1"/>
    </w:lvl>
  </w:abstractNum>
  <w:abstractNum w:abstractNumId="89">
    <w:nsid w:val="4A872C35"/>
    <w:multiLevelType w:val="hybridMultilevel"/>
    <w:lvl w:ilvl="0">
      <w:lvlJc w:val="left"/>
      <w:lvlText w:val="•"/>
      <w:numFmt w:val="bullet"/>
      <w:start w:val="1"/>
    </w:lvl>
  </w:abstractNum>
  <w:abstractNum w:abstractNumId="90">
    <w:nsid w:val="5D5CE761"/>
    <w:multiLevelType w:val="hybridMultilevel"/>
    <w:lvl w:ilvl="0">
      <w:lvlJc w:val="left"/>
      <w:lvlText w:val="-"/>
      <w:numFmt w:val="bullet"/>
      <w:start w:val="1"/>
    </w:lvl>
  </w:abstractNum>
  <w:abstractNum w:abstractNumId="91">
    <w:nsid w:val="1CD484D5"/>
    <w:multiLevelType w:val="hybridMultilevel"/>
    <w:lvl w:ilvl="0">
      <w:lvlJc w:val="left"/>
      <w:lvlText w:val="%1"/>
      <w:numFmt w:val="decimal"/>
      <w:start w:val="47"/>
    </w:lvl>
  </w:abstractNum>
  <w:abstractNum w:abstractNumId="92">
    <w:nsid w:val="21D06255"/>
    <w:multiLevelType w:val="hybridMultilevel"/>
    <w:lvl w:ilvl="0">
      <w:lvlJc w:val="left"/>
      <w:lvlText w:val="%1"/>
      <w:numFmt w:val="decimal"/>
      <w:start w:val="48"/>
    </w:lvl>
  </w:abstractNum>
  <w:abstractNum w:abstractNumId="93">
    <w:nsid w:val="51194ED1"/>
    <w:multiLevelType w:val="hybridMultilevel"/>
    <w:lvl w:ilvl="0">
      <w:lvlJc w:val="left"/>
      <w:lvlText w:val="%1"/>
      <w:numFmt w:val="decimal"/>
      <w:start w:val="51"/>
    </w:lvl>
  </w:abstractNum>
  <w:abstractNum w:abstractNumId="94">
    <w:nsid w:val="44E2ED6C"/>
    <w:multiLevelType w:val="hybridMultilevel"/>
    <w:lvl w:ilvl="0">
      <w:lvlJc w:val="left"/>
      <w:lvlText w:val="%1"/>
      <w:numFmt w:val="decimal"/>
      <w:start w:val="53"/>
    </w:lvl>
  </w:abstractNum>
  <w:abstractNum w:abstractNumId="95">
    <w:nsid w:val="2219B33"/>
    <w:multiLevelType w:val="hybridMultilevel"/>
    <w:lvl w:ilvl="0">
      <w:lvlJc w:val="left"/>
      <w:lvlText w:val="•"/>
      <w:numFmt w:val="bullet"/>
      <w:start w:val="1"/>
    </w:lvl>
  </w:abstractNum>
  <w:abstractNum w:abstractNumId="96">
    <w:nsid w:val="773BFBDD"/>
    <w:multiLevelType w:val="hybridMultilevel"/>
    <w:lvl w:ilvl="0">
      <w:lvlJc w:val="left"/>
      <w:lvlText w:val="%1"/>
      <w:numFmt w:val="decimal"/>
      <w:start w:val="55"/>
    </w:lvl>
  </w:abstractNum>
  <w:abstractNum w:abstractNumId="97">
    <w:nsid w:val="2C7C62C2"/>
    <w:multiLevelType w:val="hybridMultilevel"/>
    <w:lvl w:ilvl="0">
      <w:lvlJc w:val="left"/>
      <w:lvlText w:val="%1"/>
      <w:numFmt w:val="decimal"/>
      <w:start w:val="56"/>
    </w:lvl>
  </w:abstractNum>
  <w:abstractNum w:abstractNumId="98">
    <w:nsid w:val="1A54D7BC"/>
    <w:multiLevelType w:val="hybridMultilevel"/>
    <w:lvl w:ilvl="0">
      <w:lvlJc w:val="left"/>
      <w:lvlText w:val="%1"/>
      <w:numFmt w:val="decimal"/>
      <w:start w:val="59"/>
    </w:lvl>
  </w:abstractNum>
  <w:abstractNum w:abstractNumId="99">
    <w:nsid w:val="42E57EF7"/>
    <w:multiLevelType w:val="hybridMultilevel"/>
    <w:lvl w:ilvl="0">
      <w:lvlJc w:val="left"/>
      <w:lvlText w:val="%1"/>
      <w:numFmt w:val="decimal"/>
      <w:start w:val="60"/>
    </w:lvl>
  </w:abstractNum>
  <w:abstractNum w:abstractNumId="100">
    <w:nsid w:val="33537CED"/>
    <w:multiLevelType w:val="hybridMultilevel"/>
    <w:lvl w:ilvl="0">
      <w:lvlJc w:val="left"/>
      <w:lvlText w:val="%1"/>
      <w:numFmt w:val="decimal"/>
      <w:start w:val="63"/>
    </w:lvl>
  </w:abstractNum>
  <w:abstractNum w:abstractNumId="101">
    <w:nsid w:val="27514ADE"/>
    <w:multiLevelType w:val="hybridMultilevel"/>
    <w:lvl w:ilvl="0">
      <w:lvlJc w:val="left"/>
      <w:lvlText w:val="%1"/>
      <w:numFmt w:val="decimal"/>
      <w:start w:val="64"/>
    </w:lvl>
  </w:abstractNum>
  <w:abstractNum w:abstractNumId="102">
    <w:nsid w:val="57071613"/>
    <w:multiLevelType w:val="hybridMultilevel"/>
    <w:lvl w:ilvl="0">
      <w:lvlJc w:val="left"/>
      <w:lvlText w:val="%1"/>
      <w:numFmt w:val="decimal"/>
      <w:start w:val="66"/>
    </w:lvl>
  </w:abstractNum>
  <w:abstractNum w:abstractNumId="103">
    <w:nsid w:val="5293BFEF"/>
    <w:multiLevelType w:val="hybridMultilevel"/>
    <w:lvl w:ilvl="0">
      <w:lvlJc w:val="left"/>
      <w:lvlText w:val="%1"/>
      <w:numFmt w:val="decimal"/>
      <w:start w:val="67"/>
    </w:lvl>
  </w:abstractNum>
  <w:abstractNum w:abstractNumId="104">
    <w:nsid w:val="38BF53E5"/>
    <w:multiLevelType w:val="hybridMultilevel"/>
    <w:lvl w:ilvl="0">
      <w:lvlJc w:val="left"/>
      <w:lvlText w:val="%1"/>
      <w:numFmt w:val="decimal"/>
      <w:start w:val="68"/>
    </w:lvl>
  </w:abstractNum>
  <w:abstractNum w:abstractNumId="105">
    <w:nsid w:val="226F5320"/>
    <w:multiLevelType w:val="hybridMultilevel"/>
    <w:lvl w:ilvl="0">
      <w:lvlJc w:val="left"/>
      <w:lvlText w:val="%1"/>
      <w:numFmt w:val="decimal"/>
      <w:start w:val="70"/>
    </w:lvl>
  </w:abstractNum>
  <w:abstractNum w:abstractNumId="106">
    <w:nsid w:val="5A0201C7"/>
    <w:multiLevelType w:val="hybridMultilevel"/>
    <w:lvl w:ilvl="0">
      <w:lvlJc w:val="left"/>
      <w:lvlText w:val="•"/>
      <w:numFmt w:val="bullet"/>
      <w:start w:val="1"/>
    </w:lvl>
  </w:abstractNum>
  <w:abstractNum w:abstractNumId="107">
    <w:nsid w:val="2A9C34E2"/>
    <w:multiLevelType w:val="hybridMultilevel"/>
    <w:lvl w:ilvl="0">
      <w:lvlJc w:val="left"/>
      <w:lvlText w:val="•"/>
      <w:numFmt w:val="bullet"/>
      <w:start w:val="1"/>
    </w:lvl>
  </w:abstractNum>
  <w:abstractNum w:abstractNumId="108">
    <w:nsid w:val="1B7585AB"/>
    <w:multiLevelType w:val="hybridMultilevel"/>
    <w:lvl w:ilvl="0">
      <w:lvlJc w:val="left"/>
      <w:lvlText w:val="-"/>
      <w:numFmt w:val="bullet"/>
      <w:start w:val="1"/>
    </w:lvl>
  </w:abstractNum>
  <w:abstractNum w:abstractNumId="109">
    <w:nsid w:val="612DBDDD"/>
    <w:multiLevelType w:val="hybridMultilevel"/>
    <w:lvl w:ilvl="0">
      <w:lvlJc w:val="left"/>
      <w:lvlText w:val="•"/>
      <w:numFmt w:val="bullet"/>
      <w:start w:val="1"/>
    </w:lvl>
  </w:abstractNum>
  <w:abstractNum w:abstractNumId="110">
    <w:nsid w:val="2109CDA4"/>
    <w:multiLevelType w:val="hybridMultilevel"/>
    <w:lvl w:ilvl="0">
      <w:lvlJc w:val="left"/>
      <w:lvlText w:val="%1"/>
      <w:numFmt w:val="decimal"/>
      <w:start w:val="71"/>
    </w:lvl>
  </w:abstractNum>
  <w:abstractNum w:abstractNumId="111">
    <w:nsid w:val="577F5A4D"/>
    <w:multiLevelType w:val="hybridMultilevel"/>
    <w:lvl w:ilvl="0">
      <w:lvlJc w:val="left"/>
      <w:lvlText w:val="•"/>
      <w:numFmt w:val="bullet"/>
      <w:start w:val="1"/>
    </w:lvl>
  </w:abstractNum>
  <w:abstractNum w:abstractNumId="112">
    <w:nsid w:val="2121A81"/>
    <w:multiLevelType w:val="hybridMultilevel"/>
    <w:lvl w:ilvl="0">
      <w:lvlJc w:val="left"/>
      <w:lvlText w:val="•"/>
      <w:numFmt w:val="bullet"/>
      <w:start w:val="1"/>
    </w:lvl>
  </w:abstractNum>
  <w:abstractNum w:abstractNumId="113">
    <w:nsid w:val="6C2CFC88"/>
    <w:multiLevelType w:val="hybridMultilevel"/>
    <w:lvl w:ilvl="0">
      <w:lvlJc w:val="left"/>
      <w:lvlText w:val="•"/>
      <w:numFmt w:val="bullet"/>
      <w:start w:val="1"/>
    </w:lvl>
  </w:abstractNum>
  <w:abstractNum w:abstractNumId="114">
    <w:nsid w:val="6D1BCF1C"/>
    <w:multiLevelType w:val="hybridMultilevel"/>
    <w:lvl w:ilvl="0">
      <w:lvlJc w:val="left"/>
      <w:lvlText w:val="•"/>
      <w:numFmt w:val="bullet"/>
      <w:start w:val="1"/>
    </w:lvl>
  </w:abstractNum>
  <w:abstractNum w:abstractNumId="115">
    <w:nsid w:val="4CE5CA53"/>
    <w:multiLevelType w:val="hybridMultilevel"/>
    <w:lvl w:ilvl="0">
      <w:lvlJc w:val="left"/>
      <w:lvlText w:val="(%1)"/>
      <w:numFmt w:val="decimal"/>
      <w:start w:val="1"/>
    </w:lvl>
  </w:abstractNum>
  <w:abstractNum w:abstractNumId="116">
    <w:nsid w:val="29262D1A"/>
    <w:multiLevelType w:val="hybridMultilevel"/>
    <w:lvl w:ilvl="0">
      <w:lvlJc w:val="left"/>
      <w:lvlText w:val="•"/>
      <w:numFmt w:val="bullet"/>
      <w:start w:val="1"/>
    </w:lvl>
  </w:abstractNum>
  <w:abstractNum w:abstractNumId="117">
    <w:nsid w:val="557FB7EE"/>
    <w:multiLevelType w:val="hybridMultilevel"/>
    <w:lvl w:ilvl="0">
      <w:lvlJc w:val="left"/>
      <w:lvlText w:val="•"/>
      <w:numFmt w:val="bullet"/>
      <w:start w:val="1"/>
    </w:lvl>
  </w:abstractNum>
  <w:abstractNum w:abstractNumId="118">
    <w:nsid w:val="436F2BEB"/>
    <w:multiLevelType w:val="hybridMultilevel"/>
    <w:lvl w:ilvl="0">
      <w:lvlJc w:val="left"/>
      <w:lvlText w:val="•"/>
      <w:numFmt w:val="bullet"/>
      <w:start w:val="1"/>
    </w:lvl>
  </w:abstractNum>
  <w:abstractNum w:abstractNumId="119">
    <w:nsid w:val="6C8B4466"/>
    <w:multiLevelType w:val="hybridMultilevel"/>
    <w:lvl w:ilvl="0">
      <w:lvlJc w:val="left"/>
      <w:lvlText w:val="•"/>
      <w:numFmt w:val="bullet"/>
      <w:start w:val="1"/>
    </w:lvl>
  </w:abstractNum>
  <w:abstractNum w:abstractNumId="120">
    <w:nsid w:val="2006E424"/>
    <w:multiLevelType w:val="hybridMultilevel"/>
    <w:lvl w:ilvl="0">
      <w:lvlJc w:val="left"/>
      <w:lvlText w:val="(%1)"/>
      <w:numFmt w:val="decimal"/>
      <w:start w:val="1"/>
    </w:lvl>
  </w:abstractNum>
  <w:abstractNum w:abstractNumId="121">
    <w:nsid w:val="20CC134C"/>
    <w:multiLevelType w:val="hybridMultilevel"/>
    <w:lvl w:ilvl="0">
      <w:lvlJc w:val="left"/>
      <w:lvlText w:val="(%1)"/>
      <w:numFmt w:val="decimal"/>
      <w:start w:val="1"/>
    </w:lvl>
  </w:abstractNum>
  <w:abstractNum w:abstractNumId="122">
    <w:nsid w:val="95FC93B"/>
    <w:multiLevelType w:val="hybridMultilevel"/>
    <w:lvl w:ilvl="0">
      <w:lvlJc w:val="left"/>
      <w:lvlText w:val="•"/>
      <w:numFmt w:val="bullet"/>
      <w:start w:val="1"/>
    </w:lvl>
  </w:abstractNum>
  <w:abstractNum w:abstractNumId="123">
    <w:nsid w:val="41D74679"/>
    <w:multiLevelType w:val="hybridMultilevel"/>
    <w:lvl w:ilvl="0">
      <w:lvlJc w:val="left"/>
      <w:lvlText w:val="•"/>
      <w:numFmt w:val="bullet"/>
      <w:start w:val="1"/>
    </w:lvl>
  </w:abstractNum>
  <w:abstractNum w:abstractNumId="124">
    <w:nsid w:val="71E5621E"/>
    <w:multiLevelType w:val="hybridMultilevel"/>
    <w:lvl w:ilvl="0">
      <w:lvlJc w:val="left"/>
      <w:lvlText w:val="•"/>
      <w:numFmt w:val="bullet"/>
      <w:start w:val="1"/>
    </w:lvl>
  </w:abstractNum>
  <w:abstractNum w:abstractNumId="125">
    <w:nsid w:val="4E42B6A8"/>
    <w:multiLevelType w:val="hybridMultilevel"/>
    <w:lvl w:ilvl="0">
      <w:lvlJc w:val="left"/>
      <w:lvlText w:val="•"/>
      <w:numFmt w:val="bullet"/>
      <w:start w:val="1"/>
    </w:lvl>
  </w:abstractNum>
  <w:abstractNum w:abstractNumId="126">
    <w:nsid w:val="43F8E1AC"/>
    <w:multiLevelType w:val="hybridMultilevel"/>
    <w:lvl w:ilvl="0">
      <w:lvlJc w:val="left"/>
      <w:lvlText w:val="•"/>
      <w:numFmt w:val="bullet"/>
      <w:start w:val="1"/>
    </w:lvl>
  </w:abstractNum>
  <w:abstractNum w:abstractNumId="127">
    <w:nsid w:val="69215DFB"/>
    <w:multiLevelType w:val="hybridMultilevel"/>
    <w:lvl w:ilvl="0">
      <w:lvlJc w:val="left"/>
      <w:lvlText w:val="•"/>
      <w:numFmt w:val="bullet"/>
      <w:start w:val="1"/>
    </w:lvl>
  </w:abstractNum>
  <w:abstractNum w:abstractNumId="128">
    <w:nsid w:val="7ABF196A"/>
    <w:multiLevelType w:val="hybridMultilevel"/>
    <w:lvl w:ilvl="0">
      <w:lvlJc w:val="left"/>
      <w:lvlText w:val="•"/>
      <w:numFmt w:val="bullet"/>
      <w:start w:val="1"/>
    </w:lvl>
  </w:abstractNum>
  <w:abstractNum w:abstractNumId="129">
    <w:nsid w:val="5E4DB968"/>
    <w:multiLevelType w:val="hybridMultilevel"/>
    <w:lvl w:ilvl="0">
      <w:lvlJc w:val="left"/>
      <w:lvlText w:val="•"/>
      <w:numFmt w:val="bullet"/>
      <w:start w:val="1"/>
    </w:lvl>
  </w:abstractNum>
  <w:abstractNum w:abstractNumId="130">
    <w:nsid w:val="2C06DCF3"/>
    <w:multiLevelType w:val="hybridMultilevel"/>
    <w:lvl w:ilvl="0">
      <w:lvlJc w:val="left"/>
      <w:lvlText w:val="•"/>
      <w:numFmt w:val="bullet"/>
      <w:start w:val="1"/>
    </w:lvl>
  </w:abstractNum>
  <w:abstractNum w:abstractNumId="131">
    <w:nsid w:val="2E129658"/>
    <w:multiLevelType w:val="hybridMultilevel"/>
    <w:lvl w:ilvl="0">
      <w:lvlJc w:val="left"/>
      <w:lvlText w:val="•"/>
      <w:numFmt w:val="bullet"/>
      <w:start w:val="1"/>
    </w:lvl>
  </w:abstractNum>
  <w:abstractNum w:abstractNumId="132">
    <w:nsid w:val="59F0446"/>
    <w:multiLevelType w:val="hybridMultilevel"/>
    <w:lvl w:ilvl="0">
      <w:lvlJc w:val="left"/>
      <w:lvlText w:val="(%1)"/>
      <w:numFmt w:val="lowerRoman"/>
      <w:start w:val="4"/>
    </w:lvl>
  </w:abstractNum>
  <w:abstractNum w:abstractNumId="133">
    <w:nsid w:val="30DF306"/>
    <w:multiLevelType w:val="hybridMultilevel"/>
    <w:lvl w:ilvl="0">
      <w:lvlJc w:val="left"/>
      <w:lvlText w:val="•"/>
      <w:numFmt w:val="bullet"/>
      <w:start w:val="1"/>
    </w:lvl>
  </w:abstractNum>
  <w:abstractNum w:abstractNumId="134">
    <w:nsid w:val="A65647"/>
    <w:multiLevelType w:val="hybridMultilevel"/>
    <w:lvl w:ilvl="0">
      <w:lvlJc w:val="left"/>
      <w:lvlText w:val="(%1)"/>
      <w:numFmt w:val="decimal"/>
      <w:start w:val="1"/>
    </w:lvl>
  </w:abstractNum>
  <w:abstractNum w:abstractNumId="135">
    <w:nsid w:val="3E5E582B"/>
    <w:multiLevelType w:val="hybridMultilevel"/>
    <w:lvl w:ilvl="0">
      <w:lvlJc w:val="left"/>
      <w:lvlText w:val="(%1)"/>
      <w:numFmt w:val="decimal"/>
      <w:start w:val="1"/>
    </w:lvl>
  </w:abstractNum>
  <w:abstractNum w:abstractNumId="136">
    <w:nsid w:val="257D4626"/>
    <w:multiLevelType w:val="hybridMultilevel"/>
    <w:lvl w:ilvl="0">
      <w:lvlJc w:val="left"/>
      <w:lvlText w:val="(%1)"/>
      <w:numFmt w:val="decimal"/>
      <w:start w:val="1"/>
    </w:lvl>
  </w:abstractNum>
  <w:abstractNum w:abstractNumId="137">
    <w:nsid w:val="5AA8580E"/>
    <w:multiLevelType w:val="hybridMultilevel"/>
    <w:lvl w:ilvl="0">
      <w:lvlJc w:val="left"/>
      <w:lvlText w:val="•"/>
      <w:numFmt w:val="bullet"/>
      <w:start w:val="1"/>
    </w:lvl>
  </w:abstractNum>
  <w:abstractNum w:abstractNumId="138">
    <w:nsid w:val="68FA8D0D"/>
    <w:multiLevelType w:val="hybridMultilevel"/>
    <w:lvl w:ilvl="0">
      <w:lvlJc w:val="left"/>
      <w:lvlText w:val="•"/>
      <w:numFmt w:val="bullet"/>
      <w:start w:val="1"/>
    </w:lvl>
  </w:abstractNum>
  <w:abstractNum w:abstractNumId="139">
    <w:nsid w:val="40F2CBD2"/>
    <w:multiLevelType w:val="hybridMultilevel"/>
    <w:lvl w:ilvl="0">
      <w:lvlJc w:val="left"/>
      <w:lvlText w:val="(*)"/>
      <w:numFmt w:val="bullet"/>
      <w:start w:val="1"/>
    </w:lvl>
  </w:abstractNum>
  <w:abstractNum w:abstractNumId="140">
    <w:nsid w:val="3BD615EB"/>
    <w:multiLevelType w:val="hybridMultilevel"/>
    <w:lvl w:ilvl="0">
      <w:lvlJc w:val="left"/>
      <w:lvlText w:val="(%1)"/>
      <w:numFmt w:val="decimal"/>
      <w:start w:val="1"/>
    </w:lvl>
  </w:abstractNum>
  <w:abstractNum w:abstractNumId="141">
    <w:nsid w:val="A045AB2"/>
    <w:multiLevelType w:val="hybridMultilevel"/>
    <w:lvl w:ilvl="0">
      <w:lvlJc w:val="left"/>
      <w:lvlText w:val="(%1)"/>
      <w:numFmt w:val="decimal"/>
      <w:start w:val="4"/>
    </w:lvl>
  </w:abstractNum>
  <w:abstractNum w:abstractNumId="142">
    <w:nsid w:val="1872261F"/>
    <w:multiLevelType w:val="hybridMultilevel"/>
    <w:lvl w:ilvl="0">
      <w:lvlJc w:val="left"/>
      <w:lvlText w:val="•"/>
      <w:numFmt w:val="bullet"/>
      <w:start w:val="1"/>
    </w:lvl>
  </w:abstractNum>
  <w:abstractNum w:abstractNumId="143">
    <w:nsid w:val="3DE8306C"/>
    <w:multiLevelType w:val="hybridMultilevel"/>
    <w:lvl w:ilvl="0">
      <w:lvlJc w:val="left"/>
      <w:lvlText w:val="•"/>
      <w:numFmt w:val="bullet"/>
      <w:start w:val="1"/>
    </w:lvl>
  </w:abstractNum>
  <w:abstractNum w:abstractNumId="144">
    <w:nsid w:val="7631573A"/>
    <w:multiLevelType w:val="hybridMultilevel"/>
    <w:lvl w:ilvl="0">
      <w:lvlJc w:val="left"/>
      <w:lvlText w:val="•"/>
      <w:numFmt w:val="bullet"/>
      <w:start w:val="1"/>
    </w:lvl>
  </w:abstractNum>
  <w:abstractNum w:abstractNumId="145">
    <w:nsid w:val="58DF53B"/>
    <w:multiLevelType w:val="hybridMultilevel"/>
    <w:lvl w:ilvl="0">
      <w:lvlJc w:val="left"/>
      <w:lvlText w:val="•"/>
      <w:numFmt w:val="bullet"/>
      <w:start w:val="1"/>
    </w:lvl>
  </w:abstractNum>
  <w:abstractNum w:abstractNumId="146">
    <w:nsid w:val="ACDFAC0"/>
    <w:multiLevelType w:val="hybridMultilevel"/>
    <w:lvl w:ilvl="0">
      <w:lvlJc w:val="left"/>
      <w:lvlText w:val="•"/>
      <w:numFmt w:val="bullet"/>
      <w:start w:val="1"/>
    </w:lvl>
  </w:abstractNum>
  <w:abstractNum w:abstractNumId="147">
    <w:nsid w:val="1F578454"/>
    <w:multiLevelType w:val="hybridMultilevel"/>
    <w:lvl w:ilvl="0">
      <w:lvlJc w:val="left"/>
      <w:lvlText w:val="(%1)"/>
      <w:numFmt w:val="lowerRoman"/>
      <w:start w:val="2"/>
    </w:lvl>
  </w:abstractNum>
  <w:abstractNum w:abstractNumId="148">
    <w:nsid w:val="5B0DAD2A"/>
    <w:multiLevelType w:val="hybridMultilevel"/>
    <w:lvl w:ilvl="0">
      <w:lvlJc w:val="left"/>
      <w:lvlText w:val="•"/>
      <w:numFmt w:val="bullet"/>
      <w:start w:val="1"/>
    </w:lvl>
  </w:abstractNum>
  <w:abstractNum w:abstractNumId="149">
    <w:nsid w:val="4E3D26AB"/>
    <w:multiLevelType w:val="hybridMultilevel"/>
    <w:lvl w:ilvl="0">
      <w:lvlJc w:val="left"/>
      <w:lvlText w:val="•"/>
      <w:numFmt w:val="bullet"/>
      <w:start w:val="1"/>
    </w:lvl>
  </w:abstractNum>
  <w:abstractNum w:abstractNumId="150">
    <w:nsid w:val="BE2C8BA"/>
    <w:multiLevelType w:val="hybridMultilevel"/>
    <w:lvl w:ilvl="0">
      <w:lvlJc w:val="left"/>
      <w:lvlText w:val="(%1)"/>
      <w:numFmt w:val="decimal"/>
      <w:start w:val="2"/>
    </w:lvl>
  </w:abstractNum>
  <w:abstractNum w:abstractNumId="151">
    <w:nsid w:val="7B14914E"/>
    <w:multiLevelType w:val="hybridMultilevel"/>
    <w:lvl w:ilvl="0">
      <w:lvlJc w:val="left"/>
      <w:lvlText w:val="(%1)"/>
      <w:numFmt w:val="lowerRoman"/>
      <w:start w:val="2"/>
    </w:lvl>
  </w:abstractNum>
  <w:abstractNum w:abstractNumId="152">
    <w:nsid w:val="6F0939F8"/>
    <w:multiLevelType w:val="hybridMultilevel"/>
    <w:lvl w:ilvl="0">
      <w:lvlJc w:val="left"/>
      <w:lvlText w:val="(%1)"/>
      <w:numFmt w:val="decimal"/>
      <w:start w:val="2"/>
    </w:lvl>
  </w:abstractNum>
  <w:abstractNum w:abstractNumId="153">
    <w:nsid w:val="154291F6"/>
    <w:multiLevelType w:val="hybridMultilevel"/>
    <w:lvl w:ilvl="0">
      <w:lvlJc w:val="left"/>
      <w:lvlText w:val="•"/>
      <w:numFmt w:val="bullet"/>
      <w:start w:val="1"/>
    </w:lvl>
  </w:abstractNum>
  <w:abstractNum w:abstractNumId="154">
    <w:nsid w:val="3CEBD7C7"/>
    <w:multiLevelType w:val="hybridMultilevel"/>
    <w:lvl w:ilvl="0">
      <w:lvlJc w:val="left"/>
      <w:lvlText w:val="(%1)"/>
      <w:numFmt w:val="lowerRoman"/>
      <w:start w:val="1"/>
    </w:lvl>
  </w:abstractNum>
  <w:abstractNum w:abstractNumId="155">
    <w:nsid w:val="60EE9C16"/>
    <w:multiLevelType w:val="hybridMultilevel"/>
    <w:lvl w:ilvl="0">
      <w:lvlJc w:val="left"/>
      <w:lvlText w:val="(%1)"/>
      <w:numFmt w:val="lowerRoman"/>
      <w:start w:val="1"/>
    </w:lvl>
  </w:abstractNum>
  <w:abstractNum w:abstractNumId="156">
    <w:nsid w:val="6385489E"/>
    <w:multiLevelType w:val="hybridMultilevel"/>
    <w:lvl w:ilvl="0">
      <w:lvlJc w:val="left"/>
      <w:lvlText w:val="(%1)"/>
      <w:numFmt w:val="lowerRoman"/>
      <w:start w:val="1"/>
    </w:lvl>
  </w:abstractNum>
  <w:abstractNum w:abstractNumId="157">
    <w:nsid w:val="E4B973"/>
    <w:multiLevelType w:val="hybridMultilevel"/>
    <w:lvl w:ilvl="0">
      <w:lvlJc w:val="left"/>
      <w:lvlText w:val="•"/>
      <w:numFmt w:val="bullet"/>
      <w:start w:val="1"/>
    </w:lvl>
  </w:abstractNum>
  <w:abstractNum w:abstractNumId="158">
    <w:nsid w:val="4A0FFA11"/>
    <w:multiLevelType w:val="hybridMultilevel"/>
    <w:lvl w:ilvl="0">
      <w:lvlJc w:val="left"/>
      <w:lvlText w:val="(%1)"/>
      <w:numFmt w:val="lowerRoman"/>
      <w:start w:val="1"/>
    </w:lvl>
  </w:abstractNum>
  <w:abstractNum w:abstractNumId="159">
    <w:nsid w:val="5E446208"/>
    <w:multiLevelType w:val="hybridMultilevel"/>
    <w:lvl w:ilvl="0">
      <w:lvlJc w:val="left"/>
      <w:lvlText w:val="(%1)"/>
      <w:numFmt w:val="lowerRoman"/>
      <w:start w:val="2"/>
    </w:lvl>
  </w:abstractNum>
  <w:abstractNum w:abstractNumId="160">
    <w:nsid w:val="5F3272DB"/>
    <w:multiLevelType w:val="hybridMultilevel"/>
    <w:lvl w:ilvl="0">
      <w:lvlJc w:val="left"/>
      <w:lvlText w:val="•"/>
      <w:numFmt w:val="bullet"/>
      <w:start w:val="1"/>
    </w:lvl>
  </w:abstractNum>
  <w:abstractNum w:abstractNumId="161">
    <w:nsid w:val="7616D704"/>
    <w:multiLevelType w:val="hybridMultilevel"/>
    <w:lvl w:ilvl="0">
      <w:lvlJc w:val="left"/>
      <w:lvlText w:val="(%1)"/>
      <w:numFmt w:val="lowerRoman"/>
      <w:start w:val="1"/>
    </w:lvl>
  </w:abstractNum>
  <w:abstractNum w:abstractNumId="162">
    <w:nsid w:val="C56F860"/>
    <w:multiLevelType w:val="hybridMultilevel"/>
    <w:lvl w:ilvl="0">
      <w:lvlJc w:val="left"/>
      <w:lvlText w:val="(%1)"/>
      <w:numFmt w:val="lowerRoman"/>
      <w:start w:val="5"/>
    </w:lvl>
  </w:abstractNum>
  <w:abstractNum w:abstractNumId="163">
    <w:nsid w:val="64D17722"/>
    <w:multiLevelType w:val="hybridMultilevel"/>
    <w:lvl w:ilvl="0">
      <w:lvlJc w:val="left"/>
      <w:lvlText w:val="(%1)"/>
      <w:numFmt w:val="decimal"/>
      <w:start w:val="9"/>
    </w:lvl>
  </w:abstractNum>
  <w:abstractNum w:abstractNumId="164">
    <w:nsid w:val="7924CA0A"/>
    <w:multiLevelType w:val="hybridMultilevel"/>
    <w:lvl w:ilvl="0">
      <w:lvlJc w:val="left"/>
      <w:lvlText w:val="(%1)"/>
      <w:numFmt w:val="decimal"/>
      <w:start w:val="10"/>
    </w:lvl>
  </w:abstractNum>
  <w:abstractNum w:abstractNumId="165">
    <w:nsid w:val="CFD4EA7"/>
    <w:multiLevelType w:val="hybridMultilevel"/>
    <w:lvl w:ilvl="0">
      <w:lvlJc w:val="left"/>
      <w:lvlText w:val="(%1)"/>
      <w:numFmt w:val="lowerRoman"/>
      <w:start w:val="1"/>
    </w:lvl>
  </w:abstractNum>
  <w:abstractNum w:abstractNumId="166">
    <w:nsid w:val="232FCF4D"/>
    <w:multiLevelType w:val="hybridMultilevel"/>
    <w:lvl w:ilvl="0">
      <w:lvlJc w:val="left"/>
      <w:lvlText w:val="•"/>
      <w:numFmt w:val="bullet"/>
      <w:start w:val="1"/>
    </w:lvl>
  </w:abstractNum>
  <w:abstractNum w:abstractNumId="167">
    <w:nsid w:val="1EA21031"/>
    <w:multiLevelType w:val="hybridMultilevel"/>
    <w:lvl w:ilvl="0">
      <w:lvlJc w:val="left"/>
      <w:lvlText w:val="•"/>
      <w:numFmt w:val="bullet"/>
      <w:start w:val="1"/>
    </w:lvl>
  </w:abstractNum>
  <w:abstractNum w:abstractNumId="168">
    <w:nsid w:val="67A5A6B5"/>
    <w:multiLevelType w:val="hybridMultilevel"/>
    <w:lvl w:ilvl="0">
      <w:lvlJc w:val="left"/>
      <w:lvlText w:val="(%1)"/>
      <w:numFmt w:val="lowerRoman"/>
      <w:start w:val="1"/>
    </w:lvl>
  </w:abstractNum>
  <w:abstractNum w:abstractNumId="169">
    <w:nsid w:val="C2A5C5B"/>
    <w:multiLevelType w:val="hybridMultilevel"/>
    <w:lvl w:ilvl="0">
      <w:lvlJc w:val="left"/>
      <w:lvlText w:val="(%1)"/>
      <w:numFmt w:val="lowerRoman"/>
      <w:start w:val="2"/>
    </w:lvl>
  </w:abstractNum>
  <w:abstractNum w:abstractNumId="170">
    <w:nsid w:val="5F94DC03"/>
    <w:multiLevelType w:val="hybridMultilevel"/>
    <w:lvl w:ilvl="0">
      <w:lvlJc w:val="left"/>
      <w:lvlText w:val="(%1)"/>
      <w:numFmt w:val="lowerRoman"/>
      <w:start w:val="5"/>
    </w:lvl>
  </w:abstractNum>
  <w:abstractNum w:abstractNumId="171">
    <w:nsid w:val="237BBCA0"/>
    <w:multiLevelType w:val="hybridMultilevel"/>
    <w:lvl w:ilvl="0">
      <w:lvlJc w:val="left"/>
      <w:lvlText w:val="(%1)"/>
      <w:numFmt w:val="decimal"/>
      <w:start w:val="4"/>
    </w:lvl>
  </w:abstractNum>
  <w:abstractNum w:abstractNumId="172">
    <w:nsid w:val="162EB70D"/>
    <w:multiLevelType w:val="hybridMultilevel"/>
    <w:lvl w:ilvl="0">
      <w:lvlJc w:val="left"/>
      <w:lvlText w:val="•"/>
      <w:numFmt w:val="bullet"/>
      <w:start w:val="1"/>
    </w:lvl>
  </w:abstractNum>
  <w:abstractNum w:abstractNumId="173">
    <w:nsid w:val="78070222"/>
    <w:multiLevelType w:val="hybridMultilevel"/>
    <w:lvl w:ilvl="0">
      <w:lvlJc w:val="left"/>
      <w:lvlText w:val="•"/>
      <w:numFmt w:val="bullet"/>
      <w:start w:val="1"/>
    </w:lvl>
  </w:abstractNum>
  <w:abstractNum w:abstractNumId="174">
    <w:nsid w:val="6163ED0D"/>
    <w:multiLevelType w:val="hybridMultilevel"/>
    <w:lvl w:ilvl="0">
      <w:lvlJc w:val="left"/>
      <w:lvlText w:val="•"/>
      <w:numFmt w:val="bullet"/>
      <w:start w:val="1"/>
    </w:lvl>
  </w:abstractNum>
  <w:abstractNum w:abstractNumId="175">
    <w:nsid w:val="C600E47"/>
    <w:multiLevelType w:val="hybridMultilevel"/>
    <w:lvl w:ilvl="0">
      <w:lvlJc w:val="left"/>
      <w:lvlText w:val="•"/>
      <w:numFmt w:val="bullet"/>
      <w:start w:val="1"/>
    </w:lvl>
  </w:abstractNum>
  <w:abstractNum w:abstractNumId="176">
    <w:nsid w:val="7D94F75D"/>
    <w:multiLevelType w:val="hybridMultilevel"/>
    <w:lvl w:ilvl="0">
      <w:lvlJc w:val="left"/>
      <w:lvlText w:val="•"/>
      <w:numFmt w:val="bullet"/>
      <w:start w:val="1"/>
    </w:lvl>
  </w:abstractNum>
  <w:abstractNum w:abstractNumId="177">
    <w:nsid w:val="6C31E7CD"/>
    <w:multiLevelType w:val="hybridMultilevel"/>
    <w:lvl w:ilvl="0">
      <w:lvlJc w:val="left"/>
      <w:lvlText w:val="•"/>
      <w:numFmt w:val="bullet"/>
      <w:start w:val="1"/>
    </w:lvl>
  </w:abstractNum>
  <w:abstractNum w:abstractNumId="178">
    <w:nsid w:val="2BB7929B"/>
    <w:multiLevelType w:val="hybridMultilevel"/>
    <w:lvl w:ilvl="0">
      <w:lvlJc w:val="left"/>
      <w:lvlText w:val="**"/>
      <w:numFmt w:val="bullet"/>
      <w:start w:val="1"/>
    </w:lvl>
  </w:abstractNum>
  <w:abstractNum w:abstractNumId="179">
    <w:nsid w:val="58A2A487"/>
    <w:multiLevelType w:val="hybridMultilevel"/>
    <w:lvl w:ilvl="0">
      <w:lvlJc w:val="left"/>
      <w:lvlText w:val="+"/>
      <w:numFmt w:val="bullet"/>
      <w:start w:val="1"/>
    </w:lvl>
  </w:abstractNum>
  <w:abstractNum w:abstractNumId="180">
    <w:nsid w:val="3A6F0E78"/>
    <w:multiLevelType w:val="hybridMultilevel"/>
    <w:lvl w:ilvl="0">
      <w:lvlJc w:val="left"/>
      <w:lvlText w:val="†"/>
      <w:numFmt w:val="bullet"/>
      <w:start w:val="1"/>
    </w:lvl>
  </w:abstractNum>
  <w:abstractNum w:abstractNumId="181">
    <w:nsid w:val="379A5B56"/>
    <w:multiLevelType w:val="hybridMultilevel"/>
    <w:lvl w:ilvl="0">
      <w:lvlJc w:val="left"/>
      <w:lvlText w:val="(%1)"/>
      <w:numFmt w:val="decimal"/>
      <w:start w:val="1"/>
    </w:lvl>
  </w:abstractNum>
  <w:abstractNum w:abstractNumId="182">
    <w:nsid w:val="53B735D5"/>
    <w:multiLevelType w:val="hybridMultilevel"/>
    <w:lvl w:ilvl="0">
      <w:lvlJc w:val="left"/>
      <w:lvlText w:val="(%1)"/>
      <w:numFmt w:val="decimal"/>
      <w:start w:val="1"/>
    </w:lvl>
  </w:abstractNum>
  <w:abstractNum w:abstractNumId="183">
    <w:nsid w:val="29784870"/>
    <w:multiLevelType w:val="hybridMultilevel"/>
    <w:lvl w:ilvl="0">
      <w:lvlJc w:val="left"/>
      <w:lvlText w:val="%1."/>
      <w:numFmt w:val="decimal"/>
      <w:start w:val="1"/>
    </w:lvl>
    <w:lvl w:ilvl="1">
      <w:lvlJc w:val="left"/>
      <w:lvlText w:val="(%2)"/>
      <w:numFmt w:val="lowerLetter"/>
      <w:start w:val="1"/>
    </w:lvl>
  </w:abstractNum>
  <w:abstractNum w:abstractNumId="184">
    <w:nsid w:val="4CDCED4C"/>
    <w:multiLevelType w:val="hybridMultilevel"/>
    <w:lvl w:ilvl="0">
      <w:lvlJc w:val="left"/>
      <w:lvlText w:val="(%1)"/>
      <w:numFmt w:val="lowerLetter"/>
      <w:start w:val="1"/>
    </w:lvl>
    <w:lvl w:ilvl="1">
      <w:lvlJc w:val="left"/>
      <w:lvlText w:val="(%2)"/>
      <w:numFmt w:val="lowerLetter"/>
      <w:start w:val="2"/>
    </w:lvl>
  </w:abstractNum>
  <w:abstractNum w:abstractNumId="185">
    <w:nsid w:val="10A30D9C"/>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86">
    <w:nsid w:val="A66E48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87">
    <w:nsid w:val="306235E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88">
    <w:nsid w:val="1187C70F"/>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189">
    <w:nsid w:val="5476DE98"/>
    <w:multiLevelType w:val="hybridMultilevel"/>
    <w:lvl w:ilvl="0">
      <w:lvlJc w:val="left"/>
      <w:lvlText w:val="%1."/>
      <w:numFmt w:val="decimal"/>
      <w:start w:val="4"/>
    </w:lvl>
    <w:lvl w:ilvl="1">
      <w:lvlJc w:val="left"/>
      <w:lvlText w:val="(%2)"/>
      <w:numFmt w:val="lowerLetter"/>
      <w:start w:val="1"/>
    </w:lvl>
  </w:abstractNum>
  <w:abstractNum w:abstractNumId="190">
    <w:nsid w:val="EA697F2"/>
    <w:multiLevelType w:val="hybridMultilevel"/>
    <w:lvl w:ilvl="0">
      <w:lvlJc w:val="left"/>
      <w:lvlText w:val="(%1)"/>
      <w:numFmt w:val="lowerLetter"/>
      <w:start w:val="3"/>
    </w:lvl>
    <w:lvl w:ilvl="1">
      <w:lvlJc w:val="left"/>
      <w:lvlText w:val="(%2)"/>
      <w:numFmt w:val="lowerLetter"/>
      <w:start w:val="9"/>
    </w:lvl>
  </w:abstractNum>
  <w:abstractNum w:abstractNumId="191">
    <w:nsid w:val="70BA39EB"/>
    <w:multiLevelType w:val="hybridMultilevel"/>
    <w:lvl w:ilvl="0">
      <w:lvlJc w:val="left"/>
      <w:lvlText w:val="(%1)"/>
      <w:numFmt w:val="upperLetter"/>
      <w:start w:val="2"/>
    </w:lvl>
    <w:lvl w:ilvl="1">
      <w:lvlJc w:val="left"/>
      <w:lvlText w:val="(%2)"/>
      <w:numFmt w:val="decimal"/>
      <w:start w:val="1"/>
    </w:lvl>
  </w:abstractNum>
  <w:abstractNum w:abstractNumId="192">
    <w:nsid w:val="4A8DB59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93">
    <w:nsid w:val="1AFD905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94">
    <w:nsid w:val="558BB10D"/>
    <w:multiLevelType w:val="hybridMultilevel"/>
    <w:lvl w:ilvl="0">
      <w:lvlJc w:val="left"/>
      <w:lvlText w:val="%1"/>
      <w:numFmt w:val="lowerRoman"/>
      <w:start w:val="1"/>
    </w:lvl>
    <w:lvl w:ilvl="1">
      <w:lvlJc w:val="left"/>
      <w:lvlText w:val="(%2)"/>
      <w:numFmt w:val="upperLetter"/>
      <w:start w:val="6"/>
    </w:lvl>
  </w:abstractNum>
  <w:abstractNum w:abstractNumId="195">
    <w:nsid w:val="43B27FA7"/>
    <w:multiLevelType w:val="hybridMultilevel"/>
    <w:lvl w:ilvl="0">
      <w:lvlJc w:val="left"/>
      <w:lvlText w:val="(%1)"/>
      <w:numFmt w:val="lowerRoman"/>
      <w:start w:val="3"/>
    </w:lvl>
    <w:lvl w:ilvl="1">
      <w:lvlJc w:val="left"/>
      <w:lvlText w:val="%2"/>
      <w:numFmt w:val="upperLetter"/>
      <w:start w:val="1"/>
    </w:lvl>
  </w:abstractNum>
  <w:abstractNum w:abstractNumId="196">
    <w:nsid w:val="27FADEFA"/>
    <w:multiLevelType w:val="hybridMultilevel"/>
    <w:lvl w:ilvl="0">
      <w:lvlJc w:val="left"/>
      <w:lvlText w:val="%1"/>
      <w:numFmt w:val="lowerLetter"/>
      <w:start w:val="1"/>
    </w:lvl>
    <w:lvl w:ilvl="1">
      <w:lvlJc w:val="left"/>
      <w:lvlText w:val="(%2)"/>
      <w:numFmt w:val="lowerRoman"/>
      <w:start w:val="4"/>
    </w:lvl>
  </w:abstractNum>
  <w:abstractNum w:abstractNumId="197">
    <w:nsid w:val="78BB805A"/>
    <w:multiLevelType w:val="hybridMultilevel"/>
    <w:lvl w:ilvl="0">
      <w:lvlJc w:val="left"/>
      <w:lvlText w:val="(%1)"/>
      <w:numFmt w:val="lowerLetter"/>
      <w:start w:val="5"/>
    </w:lvl>
    <w:lvl w:ilvl="1">
      <w:lvlJc w:val="left"/>
      <w:lvlText w:val="(%2)"/>
      <w:numFmt w:val="lowerRoman"/>
      <w:start w:val="1"/>
    </w:lvl>
  </w:abstractNum>
  <w:abstractNum w:abstractNumId="198">
    <w:nsid w:val="62548FD8"/>
    <w:multiLevelType w:val="hybridMultilevel"/>
    <w:lvl w:ilvl="0">
      <w:lvlJc w:val="left"/>
      <w:lvlText w:val="%1"/>
      <w:numFmt w:val="lowerLetter"/>
      <w:start w:val="1"/>
    </w:lvl>
    <w:lvl w:ilvl="1">
      <w:lvlJc w:val="left"/>
      <w:lvlText w:val="(%2)"/>
      <w:numFmt w:val="lowerLetter"/>
      <w:start w:val="35"/>
    </w:lvl>
  </w:abstractNum>
  <w:abstractNum w:abstractNumId="199">
    <w:nsid w:val="FA085B0"/>
    <w:multiLevelType w:val="hybridMultilevel"/>
    <w:lvl w:ilvl="0">
      <w:lvlJc w:val="left"/>
      <w:lvlText w:val="(%1)"/>
      <w:numFmt w:val="lowerLetter"/>
      <w:start w:val="8"/>
    </w:lvl>
    <w:lvl w:ilvl="1">
      <w:lvlJc w:val="left"/>
      <w:lvlText w:val="%2"/>
      <w:numFmt w:val="lowerLetter"/>
      <w:start w:val="1"/>
    </w:lvl>
  </w:abstractNum>
  <w:abstractNum w:abstractNumId="200">
    <w:nsid w:val="4E5DCB5"/>
    <w:multiLevelType w:val="hybridMultilevel"/>
    <w:lvl w:ilvl="0">
      <w:lvlJc w:val="left"/>
      <w:lvlText w:val="%1"/>
      <w:numFmt w:val="lowerRoman"/>
      <w:start w:val="1"/>
    </w:lvl>
    <w:lvl w:ilvl="1">
      <w:lvlJc w:val="left"/>
      <w:lvlText w:val="(%2)"/>
      <w:numFmt w:val="lowerRoman"/>
      <w:start w:val="2"/>
    </w:lvl>
  </w:abstractNum>
  <w:abstractNum w:abstractNumId="201">
    <w:nsid w:val="41E96BDB"/>
    <w:multiLevelType w:val="hybridMultilevel"/>
    <w:lvl w:ilvl="0">
      <w:lvlJc w:val="left"/>
      <w:lvlText w:val="(%1)"/>
      <w:numFmt w:val="lowerRoman"/>
      <w:start w:val="1"/>
    </w:lvl>
    <w:lvl w:ilvl="1">
      <w:lvlJc w:val="left"/>
      <w:lvlText w:val="(%2)"/>
      <w:numFmt w:val="lowerRoman"/>
      <w:start w:val="3"/>
    </w:lvl>
  </w:abstractNum>
  <w:abstractNum w:abstractNumId="202">
    <w:nsid w:val="331C4250"/>
    <w:multiLevelType w:val="hybridMultilevel"/>
    <w:lvl w:ilvl="0">
      <w:lvlJc w:val="left"/>
      <w:lvlText w:val="%1"/>
      <w:numFmt w:val="lowerRoman"/>
      <w:start w:val="1"/>
    </w:lvl>
    <w:lvl w:ilvl="1">
      <w:lvlJc w:val="left"/>
      <w:lvlText w:val="(%2)"/>
      <w:numFmt w:val="lowerRoman"/>
      <w:start w:val="4"/>
    </w:lvl>
  </w:abstractNum>
  <w:abstractNum w:abstractNumId="203">
    <w:nsid w:val="1B1493C2"/>
    <w:multiLevelType w:val="hybridMultilevel"/>
    <w:lvl w:ilvl="0">
      <w:lvlJc w:val="left"/>
      <w:lvlText w:val="(%1)"/>
      <w:numFmt w:val="lowerRoman"/>
      <w:start w:val="2"/>
    </w:lvl>
    <w:lvl w:ilvl="1">
      <w:lvlJc w:val="left"/>
      <w:lvlText w:val="(%2)"/>
      <w:numFmt w:val="lowerRoman"/>
      <w:start w:val="9"/>
    </w:lvl>
  </w:abstractNum>
  <w:abstractNum w:abstractNumId="204">
    <w:nsid w:val="39F06DFD"/>
    <w:multiLevelType w:val="hybridMultilevel"/>
    <w:lvl w:ilvl="0">
      <w:lvlJc w:val="left"/>
      <w:lvlText w:val="(%1)"/>
      <w:numFmt w:val="lowerRoman"/>
      <w:start w:val="1"/>
    </w:lvl>
  </w:abstractNum>
  <w:abstractNum w:abstractNumId="205">
    <w:nsid w:val="14802F5D"/>
    <w:multiLevelType w:val="hybridMultilevel"/>
    <w:lvl w:ilvl="0">
      <w:lvlJc w:val="left"/>
      <w:lvlText w:val="%1"/>
      <w:numFmt w:val="decimal"/>
      <w:start w:val="1"/>
    </w:lvl>
    <w:lvl w:ilvl="1">
      <w:lvlJc w:val="left"/>
      <w:lvlText w:val="(%2)"/>
      <w:numFmt w:val="lowerLetter"/>
      <w:start w:val="10"/>
    </w:lvl>
  </w:abstractNum>
  <w:abstractNum w:abstractNumId="206">
    <w:nsid w:val="2774A209"/>
    <w:multiLevelType w:val="hybridMultilevel"/>
    <w:lvl w:ilvl="0">
      <w:lvlJc w:val="left"/>
      <w:lvlText w:val="%1."/>
      <w:numFmt w:val="decimal"/>
      <w:start w:val="5"/>
    </w:lvl>
    <w:lvl w:ilvl="1">
      <w:lvlJc w:val="left"/>
      <w:lvlText w:val="(%2)"/>
      <w:numFmt w:val="lowerLetter"/>
      <w:start w:val="1"/>
    </w:lvl>
  </w:abstractNum>
  <w:abstractNum w:abstractNumId="207">
    <w:nsid w:val="3785655A"/>
    <w:multiLevelType w:val="hybridMultilevel"/>
    <w:lvl w:ilvl="0">
      <w:lvlJc w:val="left"/>
      <w:lvlText w:val="(%1)"/>
      <w:numFmt w:val="decimal"/>
      <w:start w:val="1"/>
    </w:lvl>
  </w:abstractNum>
  <w:abstractNum w:abstractNumId="208">
    <w:nsid w:val="B2172A"/>
    <w:multiLevelType w:val="hybridMultilevel"/>
    <w:lvl w:ilvl="0">
      <w:lvlJc w:val="left"/>
      <w:lvlText w:val="(%1)"/>
      <w:numFmt w:val="lowerLetter"/>
      <w:start w:val="3"/>
    </w:lvl>
    <w:lvl w:ilvl="1">
      <w:lvlJc w:val="left"/>
      <w:lvlText w:val="(%2)"/>
      <w:numFmt w:val="lowerRoman"/>
      <w:start w:val="1"/>
    </w:lvl>
  </w:abstractNum>
  <w:abstractNum w:abstractNumId="209">
    <w:nsid w:val="532C34A5"/>
    <w:multiLevelType w:val="hybridMultilevel"/>
    <w:lvl w:ilvl="0">
      <w:lvlJc w:val="left"/>
      <w:lvlText w:val="%1."/>
      <w:numFmt w:val="decimal"/>
      <w:start w:val="6"/>
    </w:lvl>
    <w:lvl w:ilvl="1">
      <w:lvlJc w:val="left"/>
      <w:lvlText w:val="(%2)"/>
      <w:numFmt w:val="lowerLetter"/>
      <w:start w:val="1"/>
    </w:lvl>
  </w:abstractNum>
  <w:abstractNum w:abstractNumId="210">
    <w:nsid w:val="102809E2"/>
    <w:multiLevelType w:val="hybridMultilevel"/>
    <w:lvl w:ilvl="0">
      <w:lvlJc w:val="left"/>
      <w:lvlText w:val="(%1)"/>
      <w:numFmt w:val="lowerLetter"/>
      <w:start w:val="8"/>
    </w:lvl>
  </w:abstractNum>
  <w:abstractNum w:abstractNumId="211">
    <w:nsid w:val="3B2125A3"/>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212">
    <w:nsid w:val="AC68FF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13">
    <w:nsid w:val="63DF3FB7"/>
    <w:multiLevelType w:val="hybridMultilevel"/>
    <w:lvl w:ilvl="0">
      <w:lvlJc w:val="left"/>
      <w:lvlText w:val="%1."/>
      <w:numFmt w:val="decimal"/>
      <w:start w:val="2"/>
    </w:lvl>
  </w:abstractNum>
  <w:abstractNum w:abstractNumId="214">
    <w:nsid w:val="64996E13"/>
    <w:multiLevelType w:val="hybridMultilevel"/>
    <w:lvl w:ilvl="0">
      <w:lvlJc w:val="left"/>
      <w:lvlText w:val="(%1)"/>
      <w:numFmt w:val="lowerRoman"/>
      <w:start w:val="2"/>
    </w:lvl>
  </w:abstractNum>
  <w:abstractNum w:abstractNumId="215">
    <w:nsid w:val="57A37D47"/>
    <w:multiLevelType w:val="hybridMultilevel"/>
    <w:lvl w:ilvl="0">
      <w:lvlJc w:val="left"/>
      <w:lvlText w:val="(%1)"/>
      <w:numFmt w:val="decimal"/>
      <w:start w:val="10"/>
    </w:lvl>
  </w:abstractNum>
  <w:abstractNum w:abstractNumId="216">
    <w:nsid w:val="74824D54"/>
    <w:multiLevelType w:val="hybridMultilevel"/>
    <w:lvl w:ilvl="0">
      <w:lvlJc w:val="left"/>
      <w:lvlText w:val="(%1)"/>
      <w:numFmt w:val="lowerLetter"/>
      <w:start w:val="1"/>
    </w:lvl>
  </w:abstractNum>
  <w:abstractNum w:abstractNumId="217">
    <w:nsid w:val="6F00529A"/>
    <w:multiLevelType w:val="hybridMultilevel"/>
    <w:lvl w:ilvl="0">
      <w:lvlJc w:val="left"/>
      <w:lvlText w:val="(%1)"/>
      <w:numFmt w:val="lowerLetter"/>
      <w:start w:val="2"/>
    </w:lvl>
  </w:abstractNum>
  <w:abstractNum w:abstractNumId="218">
    <w:nsid w:val="805B331"/>
    <w:multiLevelType w:val="hybridMultilevel"/>
    <w:lvl w:ilvl="0">
      <w:lvlJc w:val="left"/>
      <w:lvlText w:val="(%1)"/>
      <w:numFmt w:val="lowerLetter"/>
      <w:start w:val="1"/>
    </w:lvl>
  </w:abstractNum>
  <w:abstractNum w:abstractNumId="219">
    <w:nsid w:val="60A1463"/>
    <w:multiLevelType w:val="hybridMultilevel"/>
    <w:lvl w:ilvl="0">
      <w:lvlJc w:val="left"/>
      <w:lvlText w:val="(%1)"/>
      <w:numFmt w:val="lowerLetter"/>
      <w:start w:val="3"/>
    </w:lvl>
  </w:abstractNum>
  <w:abstractNum w:abstractNumId="220">
    <w:nsid w:val="43773132"/>
    <w:multiLevelType w:val="hybridMultilevel"/>
    <w:lvl w:ilvl="0">
      <w:lvlJc w:val="left"/>
      <w:lvlText w:val="(%1)"/>
      <w:numFmt w:val="lowerLetter"/>
      <w:start w:val="1"/>
    </w:lvl>
  </w:abstractNum>
  <w:abstractNum w:abstractNumId="221">
    <w:nsid w:val="16AC4B23"/>
    <w:multiLevelType w:val="hybridMultilevel"/>
    <w:lvl w:ilvl="0">
      <w:lvlJc w:val="left"/>
      <w:lvlText w:val="(%1)"/>
      <w:numFmt w:val="lowerLetter"/>
      <w:start w:val="1"/>
    </w:lvl>
  </w:abstractNum>
  <w:abstractNum w:abstractNumId="222">
    <w:nsid w:val="76C44E4E"/>
    <w:multiLevelType w:val="hybridMultilevel"/>
    <w:lvl w:ilvl="0">
      <w:lvlJc w:val="left"/>
      <w:lvlText w:val="(%1)"/>
      <w:numFmt w:val="lowerRoman"/>
      <w:start w:val="2"/>
    </w:lvl>
  </w:abstractNum>
  <w:abstractNum w:abstractNumId="223">
    <w:nsid w:val="E04E6CE"/>
    <w:multiLevelType w:val="hybridMultilevel"/>
    <w:lvl w:ilvl="0">
      <w:lvlJc w:val="left"/>
      <w:lvlText w:val="(%1)"/>
      <w:numFmt w:val="lowerLetter"/>
      <w:start w:val="1"/>
    </w:lvl>
  </w:abstractNum>
  <w:abstractNum w:abstractNumId="224">
    <w:nsid w:val="31A9DB76"/>
    <w:multiLevelType w:val="hybridMultilevel"/>
    <w:lvl w:ilvl="0">
      <w:lvlJc w:val="left"/>
      <w:lvlText w:val="(%1)"/>
      <w:numFmt w:val="lowerRoman"/>
      <w:start w:val="1"/>
    </w:lvl>
  </w:abstractNum>
  <w:abstractNum w:abstractNumId="225">
    <w:nsid w:val="4C4FFF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6">
    <w:nsid w:val="51B76675"/>
    <w:multiLevelType w:val="hybridMultilevel"/>
    <w:lvl w:ilvl="0">
      <w:lvlJc w:val="left"/>
      <w:lvlText w:val="(%1)"/>
      <w:numFmt w:val="decimal"/>
      <w:start w:val="70"/>
    </w:lvl>
    <w:lvl w:ilvl="1">
      <w:lvlJc w:val="left"/>
      <w:lvlText w:val="(%2)"/>
      <w:numFmt w:val="lowerLetter"/>
      <w:start w:val="3"/>
    </w:lvl>
    <w:lvl w:ilvl="2">
      <w:lvlJc w:val="left"/>
      <w:lvlText w:val="(%3)"/>
      <w:numFmt w:val="lowerRoman"/>
      <w:start w:val="1"/>
    </w:lvl>
  </w:abstractNum>
  <w:abstractNum w:abstractNumId="227">
    <w:nsid w:val="59A4BA71"/>
    <w:multiLevelType w:val="hybridMultilevel"/>
    <w:lvl w:ilvl="0">
      <w:lvlJc w:val="left"/>
      <w:lvlText w:val="%1"/>
      <w:numFmt w:val="lowerLetter"/>
      <w:start w:val="1"/>
    </w:lvl>
    <w:lvl w:ilvl="1">
      <w:lvlJc w:val="left"/>
      <w:lvlText w:val="(%2)"/>
      <w:numFmt w:val="lowerRoman"/>
      <w:start w:val="6"/>
    </w:lvl>
  </w:abstractNum>
  <w:abstractNum w:abstractNumId="228">
    <w:nsid w:val="450B7FB6"/>
    <w:multiLevelType w:val="hybridMultilevel"/>
    <w:lvl w:ilvl="0">
      <w:lvlJc w:val="left"/>
      <w:lvlText w:val="(%1)"/>
      <w:numFmt w:val="lowerLetter"/>
      <w:start w:val="4"/>
    </w:lvl>
    <w:lvl w:ilvl="1">
      <w:lvlJc w:val="left"/>
      <w:lvlText w:val="(%2)"/>
      <w:numFmt w:val="lowerRoman"/>
      <w:start w:val="1"/>
    </w:lvl>
  </w:abstractNum>
  <w:abstractNum w:abstractNumId="229">
    <w:nsid w:val="340BF64D"/>
    <w:multiLevelType w:val="hybridMultilevel"/>
    <w:lvl w:ilvl="0">
      <w:lvlJc w:val="left"/>
      <w:lvlText w:val="(%1)"/>
      <w:numFmt w:val="lowerRoman"/>
      <w:start w:val="3"/>
    </w:lvl>
  </w:abstractNum>
  <w:abstractNum w:abstractNumId="230">
    <w:nsid w:val="69454021"/>
    <w:multiLevelType w:val="hybridMultilevel"/>
    <w:lvl w:ilvl="0">
      <w:lvlJc w:val="left"/>
      <w:lvlText w:val="(%1)"/>
      <w:numFmt w:val="lowerRoman"/>
      <w:start w:val="9"/>
    </w:lvl>
  </w:abstractNum>
  <w:abstractNum w:abstractNumId="231">
    <w:nsid w:val="49F15C6B"/>
    <w:multiLevelType w:val="hybridMultilevel"/>
    <w:lvl w:ilvl="0">
      <w:lvlJc w:val="left"/>
      <w:lvlText w:val="(%1)"/>
      <w:numFmt w:val="lowerLetter"/>
      <w:start w:val="6"/>
    </w:lvl>
  </w:abstractNum>
  <w:abstractNum w:abstractNumId="232">
    <w:nsid w:val="75F56228"/>
    <w:multiLevelType w:val="hybridMultilevel"/>
    <w:lvl w:ilvl="0">
      <w:lvlJc w:val="left"/>
      <w:lvlText w:val="(%1)"/>
      <w:numFmt w:val="lowerLetter"/>
      <w:start w:val="1"/>
    </w:lvl>
  </w:abstractNum>
  <w:abstractNum w:abstractNumId="233">
    <w:nsid w:val="1C618271"/>
    <w:multiLevelType w:val="hybridMultilevel"/>
    <w:lvl w:ilvl="0">
      <w:lvlJc w:val="left"/>
      <w:lvlText w:val="(%1)"/>
      <w:numFmt w:val="lowerLetter"/>
      <w:start w:val="6"/>
    </w:lvl>
  </w:abstractNum>
  <w:abstractNum w:abstractNumId="234">
    <w:nsid w:val="6505F02E"/>
    <w:multiLevelType w:val="hybridMultilevel"/>
    <w:lvl w:ilvl="0">
      <w:lvlJc w:val="left"/>
      <w:lvlText w:val="(%1)"/>
      <w:numFmt w:val="lowerLetter"/>
      <w:start w:val="1"/>
    </w:lvl>
  </w:abstractNum>
  <w:abstractNum w:abstractNumId="235">
    <w:nsid w:val="2FE5D025"/>
    <w:multiLevelType w:val="hybridMultilevel"/>
    <w:lvl w:ilvl="0">
      <w:lvlJc w:val="left"/>
      <w:lvlText w:val="(%1)"/>
      <w:numFmt w:val="lowerLetter"/>
      <w:start w:val="2"/>
    </w:lvl>
  </w:abstractNum>
  <w:abstractNum w:abstractNumId="236">
    <w:nsid w:val="30E1B1CF"/>
    <w:multiLevelType w:val="hybridMultilevel"/>
    <w:lvl w:ilvl="0">
      <w:lvlJc w:val="left"/>
      <w:lvlText w:val="(%1)"/>
      <w:numFmt w:val="upperLetter"/>
      <w:start w:val="2"/>
    </w:lvl>
  </w:abstractNum>
  <w:abstractNum w:abstractNumId="237">
    <w:nsid w:val="C7A9237"/>
    <w:multiLevelType w:val="hybridMultilevel"/>
    <w:lvl w:ilvl="0">
      <w:lvlJc w:val="left"/>
      <w:lvlText w:val="(%1)"/>
      <w:numFmt w:val="upperLetter"/>
      <w:start w:val="6"/>
    </w:lvl>
  </w:abstractNum>
  <w:abstractNum w:abstractNumId="238">
    <w:nsid w:val="676B3580"/>
    <w:multiLevelType w:val="hybridMultilevel"/>
    <w:lvl w:ilvl="0">
      <w:lvlJc w:val="left"/>
      <w:lvlText w:val="(%1)"/>
      <w:numFmt w:val="decimal"/>
      <w:start w:val="4"/>
    </w:lvl>
  </w:abstractNum>
  <w:abstractNum w:abstractNumId="239">
    <w:nsid w:val="3193C8F9"/>
    <w:multiLevelType w:val="hybridMultilevel"/>
    <w:lvl w:ilvl="0">
      <w:lvlJc w:val="left"/>
      <w:lvlText w:val="(%1)"/>
      <w:numFmt w:val="lowerLetter"/>
      <w:start w:val="1"/>
    </w:lvl>
  </w:abstractNum>
  <w:abstractNum w:abstractNumId="240">
    <w:nsid w:val="5FA6C6DC"/>
    <w:multiLevelType w:val="hybridMultilevel"/>
    <w:lvl w:ilvl="0">
      <w:lvlJc w:val="left"/>
      <w:lvlText w:val="(%1)"/>
      <w:numFmt w:val="lowerRoman"/>
      <w:start w:val="2"/>
    </w:lvl>
  </w:abstractNum>
  <w:abstractNum w:abstractNumId="241">
    <w:nsid w:val="77933F62"/>
    <w:multiLevelType w:val="hybridMultilevel"/>
    <w:lvl w:ilvl="0">
      <w:lvlJc w:val="left"/>
      <w:lvlText w:val="%1."/>
      <w:numFmt w:val="decimal"/>
      <w:start w:val="1"/>
    </w:lvl>
    <w:lvl w:ilvl="1">
      <w:lvlJc w:val="left"/>
      <w:lvlText w:val="(%2)"/>
      <w:numFmt w:val="lowerLetter"/>
      <w:start w:val="1"/>
    </w:lvl>
  </w:abstractNum>
  <w:abstractNum w:abstractNumId="242">
    <w:nsid w:val="6CB4EE9C"/>
    <w:multiLevelType w:val="hybridMultilevel"/>
    <w:lvl w:ilvl="0">
      <w:lvlJc w:val="left"/>
      <w:lvlText w:val="(%1)"/>
      <w:numFmt w:val="lowerLetter"/>
      <w:start w:val="9"/>
    </w:lvl>
  </w:abstractNum>
  <w:abstractNum w:abstractNumId="243">
    <w:nsid w:val="6A6D56D7"/>
    <w:multiLevelType w:val="hybridMultilevel"/>
    <w:lvl w:ilvl="0">
      <w:lvlJc w:val="left"/>
      <w:lvlText w:val="(%1)"/>
      <w:numFmt w:val="lowerLetter"/>
      <w:start w:val="11"/>
    </w:lvl>
  </w:abstractNum>
  <w:abstractNum w:abstractNumId="244">
    <w:nsid w:val="5B727F19"/>
    <w:multiLevelType w:val="hybridMultilevel"/>
    <w:lvl w:ilvl="0">
      <w:lvlJc w:val="left"/>
      <w:lvlText w:val="(%1)"/>
      <w:numFmt w:val="lowerLetter"/>
      <w:start w:val="13"/>
    </w:lvl>
  </w:abstractNum>
  <w:abstractNum w:abstractNumId="245">
    <w:nsid w:val="514E5CB0"/>
    <w:multiLevelType w:val="hybridMultilevel"/>
    <w:lvl w:ilvl="0">
      <w:lvlJc w:val="left"/>
      <w:lvlText w:val="%1"/>
      <w:numFmt w:val="lowerLetter"/>
      <w:start w:val="1"/>
    </w:lvl>
    <w:lvl w:ilvl="1">
      <w:lvlJc w:val="left"/>
      <w:lvlText w:val="(%2)"/>
      <w:numFmt w:val="lowerLetter"/>
      <w:start w:val="22"/>
    </w:lvl>
  </w:abstractNum>
  <w:abstractNum w:abstractNumId="246">
    <w:nsid w:val="4210D41E"/>
    <w:multiLevelType w:val="hybridMultilevel"/>
    <w:lvl w:ilvl="0">
      <w:lvlJc w:val="left"/>
      <w:lvlText w:val="(%1)"/>
      <w:numFmt w:val="lowerLetter"/>
      <w:start w:val="35"/>
    </w:lvl>
    <w:lvl w:ilvl="1">
      <w:lvlJc w:val="left"/>
      <w:lvlText w:val="(%2)"/>
      <w:numFmt w:val="lowerLetter"/>
      <w:start w:val="26"/>
    </w:lvl>
  </w:abstractNum>
  <w:abstractNum w:abstractNumId="247">
    <w:nsid w:val="4FF4CC6D"/>
    <w:multiLevelType w:val="hybridMultilevel"/>
    <w:lvl w:ilvl="0">
      <w:lvlJc w:val="left"/>
      <w:lvlText w:val="(%1)"/>
      <w:numFmt w:val="lowerLetter"/>
      <w:start w:val="27"/>
    </w:lvl>
  </w:abstractNum>
  <w:abstractNum w:abstractNumId="248">
    <w:nsid w:val="404EAF4A"/>
    <w:multiLevelType w:val="hybridMultilevel"/>
    <w:lvl w:ilvl="0">
      <w:lvlJc w:val="left"/>
      <w:lvlText w:val="%1."/>
      <w:numFmt w:val="decimal"/>
      <w:start w:val="2"/>
    </w:lvl>
    <w:lvl w:ilvl="1">
      <w:lvlJc w:val="left"/>
      <w:lvlText w:val="(%2)"/>
      <w:numFmt w:val="lowerLetter"/>
      <w:start w:val="1"/>
    </w:lvl>
  </w:abstractNum>
  <w:abstractNum w:abstractNumId="249">
    <w:nsid w:val="4A16874F"/>
    <w:multiLevelType w:val="hybridMultilevel"/>
    <w:lvl w:ilvl="0">
      <w:lvlJc w:val="left"/>
      <w:lvlText w:val="(%1)"/>
      <w:numFmt w:val="lowerLetter"/>
      <w:start w:val="2"/>
    </w:lvl>
    <w:lvl w:ilvl="1">
      <w:lvlJc w:val="left"/>
      <w:lvlText w:val="(%2)"/>
      <w:numFmt w:val="lowerRoman"/>
      <w:start w:val="1"/>
    </w:lvl>
  </w:abstractNum>
  <w:abstractNum w:abstractNumId="250">
    <w:nsid w:val="55FEE0D1"/>
    <w:multiLevelType w:val="hybridMultilevel"/>
    <w:lvl w:ilvl="0">
      <w:lvlJc w:val="left"/>
      <w:lvlText w:val="%1"/>
      <w:numFmt w:val="lowerLetter"/>
      <w:start w:val="1"/>
    </w:lvl>
    <w:lvl w:ilvl="1">
      <w:lvlJc w:val="left"/>
      <w:lvlText w:val="(%2)"/>
      <w:numFmt w:val="lowerLetter"/>
      <w:start w:val="22"/>
    </w:lvl>
  </w:abstractNum>
  <w:abstractNum w:abstractNumId="251">
    <w:nsid w:val="3C5E07C"/>
    <w:multiLevelType w:val="hybridMultilevel"/>
    <w:lvl w:ilvl="0">
      <w:lvlJc w:val="left"/>
      <w:lvlText w:val="(%1)"/>
      <w:numFmt w:val="lowerLetter"/>
      <w:start w:val="4"/>
    </w:lvl>
    <w:lvl w:ilvl="1">
      <w:lvlJc w:val="left"/>
      <w:lvlText w:val="%2"/>
      <w:numFmt w:val="lowerLetter"/>
      <w:start w:val="1"/>
    </w:lvl>
  </w:abstractNum>
  <w:abstractNum w:abstractNumId="252">
    <w:nsid w:val="60C2D273"/>
    <w:multiLevelType w:val="hybridMultilevel"/>
    <w:lvl w:ilvl="0">
      <w:lvlJc w:val="left"/>
      <w:lvlText w:val="(%1)"/>
      <w:numFmt w:val="lowerLetter"/>
      <w:start w:val="1"/>
    </w:lvl>
  </w:abstractNum>
  <w:abstractNum w:abstractNumId="253">
    <w:nsid w:val="4CC32F1F"/>
    <w:multiLevelType w:val="hybridMultilevel"/>
    <w:lvl w:ilvl="0">
      <w:lvlJc w:val="left"/>
      <w:lvlText w:val="(%1)"/>
      <w:numFmt w:val="lowerLetter"/>
      <w:start w:val="1"/>
    </w:lvl>
    <w:lvl w:ilvl="1">
      <w:lvlJc w:val="left"/>
      <w:lvlText w:val="(%2)"/>
      <w:numFmt w:val="lowerRoman"/>
      <w:start w:val="1"/>
    </w:lvl>
  </w:abstractNum>
  <w:abstractNum w:abstractNumId="254">
    <w:nsid w:val="11CAC7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55">
    <w:nsid w:val="126CADE9"/>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5"/>
    </w:lvl>
  </w:abstractNum>
  <w:abstractNum w:abstractNumId="256">
    <w:nsid w:val="19132E7B"/>
    <w:multiLevelType w:val="hybridMultilevel"/>
    <w:lvl w:ilvl="0">
      <w:lvlJc w:val="left"/>
      <w:lvlText w:val="(%1)"/>
      <w:numFmt w:val="lowerLetter"/>
      <w:start w:val="1"/>
    </w:lvl>
  </w:abstractNum>
  <w:abstractNum w:abstractNumId="257">
    <w:nsid w:val="63822DC0"/>
    <w:multiLevelType w:val="hybridMultilevel"/>
    <w:lvl w:ilvl="0">
      <w:lvlJc w:val="left"/>
      <w:lvlText w:val="(%1)"/>
      <w:numFmt w:val="lowerLetter"/>
      <w:start w:val="8"/>
    </w:lvl>
  </w:abstractNum>
  <w:abstractNum w:abstractNumId="258">
    <w:nsid w:val="6C11685A"/>
    <w:multiLevelType w:val="hybridMultilevel"/>
    <w:lvl w:ilvl="0">
      <w:lvlJc w:val="left"/>
      <w:lvlText w:val="(%1)"/>
      <w:numFmt w:val="lowerRoman"/>
      <w:start w:val="1"/>
    </w:lvl>
  </w:abstractNum>
  <w:abstractNum w:abstractNumId="259">
    <w:nsid w:val="5E1EAE31"/>
    <w:multiLevelType w:val="hybridMultilevel"/>
    <w:lvl w:ilvl="0">
      <w:lvlJc w:val="left"/>
      <w:lvlText w:val="(%1)"/>
      <w:numFmt w:val="lowerLetter"/>
      <w:start w:val="1"/>
    </w:lvl>
  </w:abstractNum>
  <w:abstractNum w:abstractNumId="260">
    <w:nsid w:val="178E240D"/>
    <w:multiLevelType w:val="hybridMultilevel"/>
    <w:lvl w:ilvl="0">
      <w:lvlJc w:val="left"/>
      <w:lvlText w:val="(%1)"/>
      <w:numFmt w:val="lowerLetter"/>
      <w:start w:val="3"/>
    </w:lvl>
  </w:abstractNum>
  <w:abstractNum w:abstractNumId="261">
    <w:nsid w:val="5556A87B"/>
    <w:multiLevelType w:val="hybridMultilevel"/>
    <w:lvl w:ilvl="0">
      <w:lvlJc w:val="left"/>
      <w:lvlText w:val="(%1)"/>
      <w:numFmt w:val="lowerLetter"/>
      <w:start w:val="5"/>
    </w:lvl>
  </w:abstractNum>
  <w:abstractNum w:abstractNumId="262">
    <w:nsid w:val="28100A9C"/>
    <w:multiLevelType w:val="hybridMultilevel"/>
    <w:lvl w:ilvl="0">
      <w:lvlJc w:val="left"/>
      <w:lvlText w:val="(%1)"/>
      <w:numFmt w:val="lowerLetter"/>
      <w:start w:val="1"/>
    </w:lvl>
  </w:abstractNum>
  <w:abstractNum w:abstractNumId="263">
    <w:nsid w:val="D838636"/>
    <w:multiLevelType w:val="hybridMultilevel"/>
    <w:lvl w:ilvl="0">
      <w:lvlJc w:val="left"/>
      <w:lvlText w:val="(%1)"/>
      <w:numFmt w:val="lowerRoman"/>
      <w:start w:val="2"/>
    </w:lvl>
  </w:abstractNum>
  <w:abstractNum w:abstractNumId="264">
    <w:nsid w:val="71B82AED"/>
    <w:multiLevelType w:val="hybridMultilevel"/>
    <w:lvl w:ilvl="0">
      <w:lvlJc w:val="left"/>
      <w:lvlText w:val="(%1)"/>
      <w:numFmt w:val="lowerLetter"/>
      <w:start w:val="1"/>
    </w:lvl>
  </w:abstractNum>
  <w:abstractNum w:abstractNumId="265">
    <w:nsid w:val="D15FACA"/>
    <w:multiLevelType w:val="hybridMultilevel"/>
    <w:lvl w:ilvl="0">
      <w:lvlJc w:val="left"/>
      <w:lvlText w:val="(%1)"/>
      <w:numFmt w:val="lowerLetter"/>
      <w:start w:val="2"/>
    </w:lvl>
  </w:abstractNum>
  <w:abstractNum w:abstractNumId="266">
    <w:nsid w:val="3D69565B"/>
    <w:multiLevelType w:val="hybridMultilevel"/>
    <w:lvl w:ilvl="0">
      <w:lvlJc w:val="left"/>
      <w:lvlText w:val="(%1)"/>
      <w:numFmt w:val="lowerLetter"/>
      <w:start w:val="1"/>
    </w:lvl>
  </w:abstractNum>
  <w:abstractNum w:abstractNumId="267">
    <w:nsid w:val="2299DCBC"/>
    <w:multiLevelType w:val="hybridMultilevel"/>
    <w:lvl w:ilvl="0">
      <w:lvlJc w:val="left"/>
      <w:lvlText w:val="(%1)"/>
      <w:numFmt w:val="lowerLetter"/>
      <w:start w:val="3"/>
    </w:lvl>
  </w:abstractNum>
  <w:abstractNum w:abstractNumId="268">
    <w:nsid w:val="19908D02"/>
    <w:multiLevelType w:val="hybridMultilevel"/>
    <w:lvl w:ilvl="0">
      <w:lvlJc w:val="left"/>
      <w:lvlText w:val="%1."/>
      <w:numFmt w:val="decimal"/>
      <w:start w:val="3"/>
    </w:lvl>
  </w:abstractNum>
  <w:abstractNum w:abstractNumId="269">
    <w:nsid w:val="24D48BD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0">
    <w:nsid w:val="542DA5B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71">
    <w:nsid w:val="793753DE"/>
    <w:multiLevelType w:val="hybridMultilevel"/>
    <w:lvl w:ilvl="0">
      <w:lvlJc w:val="left"/>
      <w:lvlText w:val="(%1)"/>
      <w:numFmt w:val="lowerLetter"/>
      <w:start w:val="2"/>
    </w:lvl>
  </w:abstractNum>
  <w:abstractNum w:abstractNumId="272">
    <w:nsid w:val="1C67CB3D"/>
    <w:multiLevelType w:val="hybridMultilevel"/>
    <w:lvl w:ilvl="0">
      <w:lvlJc w:val="left"/>
      <w:lvlText w:val="(%1)"/>
      <w:numFmt w:val="lowerLetter"/>
      <w:start w:val="1"/>
    </w:lvl>
  </w:abstractNum>
  <w:abstractNum w:abstractNumId="273">
    <w:nsid w:val="40E29452"/>
    <w:multiLevelType w:val="hybridMultilevel"/>
    <w:lvl w:ilvl="0">
      <w:lvlJc w:val="left"/>
      <w:lvlText w:val="%1"/>
      <w:numFmt w:val="upperLetter"/>
      <w:start w:val="1"/>
    </w:lvl>
    <w:lvl w:ilvl="1">
      <w:lvlJc w:val="left"/>
      <w:lvlText w:val="(%2)"/>
      <w:numFmt w:val="lowerLetter"/>
      <w:start w:val="4"/>
    </w:lvl>
  </w:abstractNum>
  <w:abstractNum w:abstractNumId="274">
    <w:nsid w:val="63A4AAB6"/>
    <w:multiLevelType w:val="hybridMultilevel"/>
    <w:lvl w:ilvl="0">
      <w:lvlJc w:val="left"/>
      <w:lvlText w:val="(%1)"/>
      <w:numFmt w:val="upperLetter"/>
      <w:start w:val="1"/>
    </w:lvl>
    <w:lvl w:ilvl="1">
      <w:lvlJc w:val="left"/>
      <w:lvlText w:val="(%2)"/>
      <w:numFmt w:val="lowerLetter"/>
      <w:start w:val="5"/>
    </w:lvl>
  </w:abstractNum>
  <w:abstractNum w:abstractNumId="275">
    <w:nsid w:val="77DA4A57"/>
    <w:multiLevelType w:val="hybridMultilevel"/>
    <w:lvl w:ilvl="0">
      <w:lvlJc w:val="left"/>
      <w:lvlText w:val="(%1)"/>
      <w:numFmt w:val="upperLetter"/>
      <w:start w:val="2"/>
    </w:lvl>
  </w:abstractNum>
  <w:abstractNum w:abstractNumId="276">
    <w:nsid w:val="1230F102"/>
    <w:multiLevelType w:val="hybridMultilevel"/>
    <w:lvl w:ilvl="0">
      <w:lvlJc w:val="left"/>
      <w:lvlText w:val="%1"/>
      <w:numFmt w:val="upperLetter"/>
      <w:start w:val="1"/>
    </w:lvl>
    <w:lvl w:ilvl="1">
      <w:lvlJc w:val="left"/>
      <w:lvlText w:val="(%2)"/>
      <w:numFmt w:val="lowerLetter"/>
      <w:start w:val="1"/>
    </w:lvl>
  </w:abstractNum>
  <w:abstractNum w:abstractNumId="277">
    <w:nsid w:val="25B57ED4"/>
    <w:multiLevelType w:val="hybridMultilevel"/>
    <w:lvl w:ilvl="0">
      <w:lvlJc w:val="left"/>
      <w:lvlText w:val="(%1)"/>
      <w:numFmt w:val="upperLetter"/>
      <w:start w:val="2"/>
    </w:lvl>
    <w:lvl w:ilvl="1">
      <w:lvlJc w:val="left"/>
      <w:lvlText w:val="(%2)"/>
      <w:numFmt w:val="lowerLetter"/>
      <w:start w:val="3"/>
    </w:lvl>
  </w:abstractNum>
  <w:abstractNum w:abstractNumId="278">
    <w:nsid w:val="47CF16C4"/>
    <w:multiLevelType w:val="hybridMultilevel"/>
    <w:lvl w:ilvl="0">
      <w:lvlJc w:val="left"/>
      <w:lvlText w:val="%1."/>
      <w:numFmt w:val="decimal"/>
      <w:start w:val="4"/>
    </w:lvl>
  </w:abstractNum>
  <w:abstractNum w:abstractNumId="279">
    <w:nsid w:val="527FA04C"/>
    <w:multiLevelType w:val="hybridMultilevel"/>
    <w:lvl w:ilvl="0">
      <w:lvlJc w:val="left"/>
      <w:lvlText w:val="(%1)"/>
      <w:numFmt w:val="lowerLetter"/>
      <w:start w:val="1"/>
    </w:lvl>
  </w:abstractNum>
  <w:abstractNum w:abstractNumId="280">
    <w:nsid w:val="6FCC0624"/>
    <w:multiLevelType w:val="hybridMultilevel"/>
    <w:lvl w:ilvl="0">
      <w:lvlJc w:val="left"/>
      <w:lvlText w:val="(%1)"/>
      <w:numFmt w:val="lowerLetter"/>
      <w:start w:val="2"/>
    </w:lvl>
  </w:abstractNum>
  <w:abstractNum w:abstractNumId="281">
    <w:nsid w:val="1DCDF795"/>
    <w:multiLevelType w:val="hybridMultilevel"/>
    <w:lvl w:ilvl="0">
      <w:lvlJc w:val="left"/>
      <w:lvlText w:val="(%1)"/>
      <w:numFmt w:val="lowerLetter"/>
      <w:start w:val="1"/>
    </w:lvl>
  </w:abstractNum>
  <w:abstractNum w:abstractNumId="282">
    <w:nsid w:val="564580C8"/>
    <w:multiLevelType w:val="hybridMultilevel"/>
    <w:lvl w:ilvl="0">
      <w:lvlJc w:val="left"/>
      <w:lvlText w:val="(%1)"/>
      <w:numFmt w:val="lowerLetter"/>
      <w:start w:val="2"/>
    </w:lvl>
  </w:abstractNum>
  <w:abstractNum w:abstractNumId="283">
    <w:nsid w:val="508ED897"/>
    <w:multiLevelType w:val="hybridMultilevel"/>
    <w:lvl w:ilvl="0">
      <w:lvlJc w:val="left"/>
      <w:lvlText w:val="(%1)"/>
      <w:numFmt w:val="decimal"/>
      <w:start w:val="180"/>
    </w:lvl>
  </w:abstractNum>
  <w:abstractNum w:abstractNumId="284">
    <w:nsid w:val="6A9126B5"/>
    <w:multiLevelType w:val="hybridMultilevel"/>
    <w:lvl w:ilvl="0">
      <w:lvlJc w:val="left"/>
      <w:lvlText w:val="(%1)"/>
      <w:numFmt w:val="lowerRoman"/>
      <w:start w:val="1"/>
    </w:lvl>
  </w:abstractNum>
  <w:abstractNum w:abstractNumId="285">
    <w:nsid w:val="68104812"/>
    <w:multiLevelType w:val="hybridMultilevel"/>
    <w:lvl w:ilvl="0">
      <w:lvlJc w:val="left"/>
      <w:lvlText w:val="%1"/>
      <w:numFmt w:val="decimal"/>
      <w:start w:val="1"/>
    </w:lvl>
    <w:lvl w:ilvl="1">
      <w:lvlJc w:val="left"/>
      <w:lvlText w:val="(%2)"/>
      <w:numFmt w:val="lowerLetter"/>
      <w:start w:val="1"/>
    </w:lvl>
  </w:abstractNum>
  <w:abstractNum w:abstractNumId="286">
    <w:nsid w:val="62FB8680"/>
    <w:multiLevelType w:val="hybridMultilevel"/>
    <w:lvl w:ilvl="0">
      <w:lvlJc w:val="left"/>
      <w:lvlText w:val="(%1)"/>
      <w:numFmt w:val="decimal"/>
      <w:start w:val="10"/>
    </w:lvl>
    <w:lvl w:ilvl="1">
      <w:lvlJc w:val="left"/>
      <w:lvlText w:val="(%2)"/>
      <w:numFmt w:val="lowerLetter"/>
      <w:start w:val="2"/>
    </w:lvl>
  </w:abstractNum>
  <w:abstractNum w:abstractNumId="287">
    <w:nsid w:val="3A45530"/>
    <w:multiLevelType w:val="hybridMultilevel"/>
    <w:lvl w:ilvl="0">
      <w:lvlJc w:val="left"/>
      <w:lvlText w:val="%1."/>
      <w:numFmt w:val="decimal"/>
      <w:start w:val="1"/>
    </w:lvl>
  </w:abstractNum>
  <w:abstractNum w:abstractNumId="288">
    <w:nsid w:val="4B9275D2"/>
    <w:multiLevelType w:val="hybridMultilevel"/>
    <w:lvl w:ilvl="0">
      <w:lvlJc w:val="left"/>
      <w:lvlText w:val="%1."/>
      <w:numFmt w:val="decimal"/>
      <w:start w:val="3"/>
    </w:lvl>
  </w:abstractNum>
  <w:abstractNum w:abstractNumId="289">
    <w:nsid w:val="4F0CEEDB"/>
    <w:multiLevelType w:val="hybridMultilevel"/>
    <w:lvl w:ilvl="0">
      <w:lvlJc w:val="left"/>
      <w:lvlText w:val="%1"/>
      <w:numFmt w:val="lowerLetter"/>
      <w:start w:val="1"/>
    </w:lvl>
    <w:lvl w:ilvl="1">
      <w:lvlJc w:val="left"/>
      <w:lvlText w:val="(%2)"/>
      <w:numFmt w:val="lowerLetter"/>
      <w:start w:val="1"/>
    </w:lvl>
  </w:abstractNum>
  <w:abstractNum w:abstractNumId="290">
    <w:nsid w:val="61C30361"/>
    <w:multiLevelType w:val="hybridMultilevel"/>
    <w:lvl w:ilvl="0">
      <w:lvlJc w:val="left"/>
      <w:lvlText w:val="(%1)"/>
      <w:numFmt w:val="lowerLetter"/>
      <w:start w:val="35"/>
    </w:lvl>
    <w:lvl w:ilvl="1">
      <w:lvlJc w:val="left"/>
      <w:lvlText w:val="(%2)"/>
      <w:numFmt w:val="lowerLetter"/>
      <w:start w:val="3"/>
    </w:lvl>
  </w:abstractNum>
  <w:abstractNum w:abstractNumId="291">
    <w:nsid w:val="632099E0"/>
    <w:multiLevelType w:val="hybridMultilevel"/>
    <w:lvl w:ilvl="0">
      <w:lvlJc w:val="left"/>
      <w:lvlText w:val="(%1)"/>
      <w:numFmt w:val="lowerLetter"/>
      <w:start w:val="4"/>
    </w:lvl>
  </w:abstractNum>
  <w:abstractNum w:abstractNumId="292">
    <w:nsid w:val="24639756"/>
    <w:multiLevelType w:val="hybridMultilevel"/>
    <w:lvl w:ilvl="0">
      <w:lvlJc w:val="left"/>
      <w:lvlText w:val="(%1)"/>
      <w:numFmt w:val="lowerLetter"/>
      <w:start w:val="1"/>
    </w:lvl>
  </w:abstractNum>
  <w:abstractNum w:abstractNumId="293">
    <w:nsid w:val="9D30DFD"/>
    <w:multiLevelType w:val="hybridMultilevel"/>
    <w:lvl w:ilvl="0">
      <w:lvlJc w:val="left"/>
      <w:lvlText w:val="(%1)"/>
      <w:numFmt w:val="lowerLetter"/>
      <w:start w:val="2"/>
    </w:lvl>
  </w:abstractNum>
  <w:abstractNum w:abstractNumId="294">
    <w:nsid w:val="70A42016"/>
    <w:multiLevelType w:val="hybridMultilevel"/>
    <w:lvl w:ilvl="0">
      <w:lvlJc w:val="left"/>
      <w:lvlText w:val="(%1)"/>
      <w:numFmt w:val="lowerLetter"/>
      <w:start w:val="1"/>
    </w:lvl>
  </w:abstractNum>
  <w:abstractNum w:abstractNumId="295">
    <w:nsid w:val="161BC243"/>
    <w:multiLevelType w:val="hybridMultilevel"/>
    <w:lvl w:ilvl="0">
      <w:lvlJc w:val="left"/>
      <w:lvlText w:val="(%1)"/>
      <w:numFmt w:val="lowerLetter"/>
      <w:start w:val="3"/>
    </w:lvl>
  </w:abstractNum>
  <w:abstractNum w:abstractNumId="296">
    <w:nsid w:val="16E908C8"/>
    <w:multiLevelType w:val="hybridMultilevel"/>
    <w:lvl w:ilvl="0">
      <w:lvlJc w:val="left"/>
      <w:lvlText w:val="%1."/>
      <w:numFmt w:val="decimal"/>
      <w:start w:val="1"/>
    </w:lvl>
  </w:abstractNum>
  <w:abstractNum w:abstractNumId="297">
    <w:nsid w:val="2E0D7671"/>
    <w:multiLevelType w:val="hybridMultilevel"/>
    <w:lvl w:ilvl="0">
      <w:lvlJc w:val="left"/>
      <w:lvlText w:val="%1."/>
      <w:numFmt w:val="decimal"/>
      <w:start w:val="1"/>
    </w:lvl>
  </w:abstractNum>
  <w:abstractNum w:abstractNumId="298">
    <w:nsid w:val="38B59EFF"/>
    <w:multiLevelType w:val="hybridMultilevel"/>
    <w:lvl w:ilvl="0">
      <w:lvlJc w:val="left"/>
      <w:lvlText w:val="%1."/>
      <w:numFmt w:val="decimal"/>
      <w:start w:val="3"/>
    </w:lvl>
  </w:abstractNum>
  <w:abstractNum w:abstractNumId="299">
    <w:nsid w:val="307995CA"/>
    <w:multiLevelType w:val="hybridMultilevel"/>
    <w:lvl w:ilvl="0">
      <w:lvlJc w:val="left"/>
      <w:lvlText w:val="%1"/>
      <w:numFmt w:val="lowerLetter"/>
      <w:start w:val="1"/>
    </w:lvl>
    <w:lvl w:ilvl="1">
      <w:lvlJc w:val="left"/>
      <w:lvlText w:val="(%2)"/>
      <w:numFmt w:val="lowerLetter"/>
      <w:start w:val="1"/>
    </w:lvl>
  </w:abstractNum>
  <w:abstractNum w:abstractNumId="300">
    <w:nsid w:val="52E2024D"/>
    <w:multiLevelType w:val="hybridMultilevel"/>
    <w:lvl w:ilvl="0">
      <w:lvlJc w:val="left"/>
      <w:lvlText w:val="(%1)"/>
      <w:numFmt w:val="lowerLetter"/>
      <w:start w:val="35"/>
    </w:lvl>
    <w:lvl w:ilvl="1">
      <w:lvlJc w:val="left"/>
      <w:lvlText w:val="(%2)"/>
      <w:numFmt w:val="lowerLetter"/>
      <w:start w:val="3"/>
    </w:lvl>
  </w:abstractNum>
  <w:abstractNum w:abstractNumId="301">
    <w:nsid w:val="CE344B5"/>
    <w:multiLevelType w:val="hybridMultilevel"/>
    <w:lvl w:ilvl="0">
      <w:lvlJc w:val="left"/>
      <w:lvlText w:val="(%1)"/>
      <w:numFmt w:val="lowerLetter"/>
      <w:start w:val="4"/>
    </w:lvl>
  </w:abstractNum>
  <w:abstractNum w:abstractNumId="302">
    <w:nsid w:val="29B0E9A8"/>
    <w:multiLevelType w:val="hybridMultilevel"/>
    <w:lvl w:ilvl="0">
      <w:lvlJc w:val="left"/>
      <w:lvlText w:val="(%1)"/>
      <w:numFmt w:val="lowerLetter"/>
      <w:start w:val="1"/>
    </w:lvl>
  </w:abstractNum>
  <w:abstractNum w:abstractNumId="303">
    <w:nsid w:val="6F49CD8A"/>
    <w:multiLevelType w:val="hybridMultilevel"/>
    <w:lvl w:ilvl="0">
      <w:lvlJc w:val="left"/>
      <w:lvlText w:val="(%1)"/>
      <w:numFmt w:val="lowerLetter"/>
      <w:start w:val="2"/>
    </w:lvl>
  </w:abstractNum>
  <w:abstractNum w:abstractNumId="304">
    <w:nsid w:val="4DC5D907"/>
    <w:multiLevelType w:val="hybridMultilevel"/>
    <w:lvl w:ilvl="0">
      <w:lvlJc w:val="left"/>
      <w:lvlText w:val="(%1)"/>
      <w:numFmt w:val="lowerLetter"/>
      <w:start w:val="1"/>
    </w:lvl>
  </w:abstractNum>
  <w:abstractNum w:abstractNumId="305">
    <w:nsid w:val="D55945E"/>
    <w:multiLevelType w:val="hybridMultilevel"/>
    <w:lvl w:ilvl="0">
      <w:lvlJc w:val="left"/>
      <w:lvlText w:val="(%1)"/>
      <w:numFmt w:val="lowerLetter"/>
      <w:start w:val="2"/>
    </w:lvl>
  </w:abstractNum>
  <w:abstractNum w:abstractNumId="306">
    <w:nsid w:val="672417E1"/>
    <w:multiLevelType w:val="hybridMultilevel"/>
    <w:lvl w:ilvl="0">
      <w:lvlJc w:val="left"/>
      <w:lvlText w:val="%1."/>
      <w:numFmt w:val="decimal"/>
      <w:start w:val="1"/>
    </w:lvl>
  </w:abstractNum>
  <w:abstractNum w:abstractNumId="307">
    <w:nsid w:val="5FF6CA09"/>
    <w:multiLevelType w:val="hybridMultilevel"/>
    <w:lvl w:ilvl="0">
      <w:lvlJc w:val="left"/>
      <w:lvlText w:val="%1."/>
      <w:numFmt w:val="decimal"/>
      <w:start w:val="3"/>
    </w:lvl>
  </w:abstractNum>
  <w:abstractNum w:abstractNumId="308">
    <w:nsid w:val="330B1333"/>
    <w:multiLevelType w:val="hybridMultilevel"/>
    <w:lvl w:ilvl="0">
      <w:lvlJc w:val="left"/>
      <w:lvlText w:val="%1."/>
      <w:numFmt w:val="decimal"/>
      <w:start w:val="1"/>
    </w:lvl>
  </w:abstractNum>
  <w:abstractNum w:abstractNumId="309">
    <w:nsid w:val="2EF32EA6"/>
    <w:multiLevelType w:val="hybridMultilevel"/>
    <w:lvl w:ilvl="0">
      <w:lvlJc w:val="left"/>
      <w:lvlText w:val="(%1)"/>
      <w:numFmt w:val="lowerRoman"/>
      <w:start w:val="3"/>
    </w:lvl>
  </w:abstractNum>
  <w:abstractNum w:abstractNumId="310">
    <w:nsid w:val="32766A55"/>
    <w:multiLevelType w:val="hybridMultilevel"/>
    <w:lvl w:ilvl="0">
      <w:lvlJc w:val="left"/>
      <w:lvlText w:val="(%1)"/>
      <w:numFmt w:val="lowerRoman"/>
      <w:start w:val="1"/>
    </w:lvl>
  </w:abstractNum>
  <w:abstractNum w:abstractNumId="311">
    <w:nsid w:val="22D71957"/>
    <w:multiLevelType w:val="hybridMultilevel"/>
    <w:lvl w:ilvl="0">
      <w:lvlJc w:val="left"/>
      <w:lvlText w:val="(%1)"/>
      <w:numFmt w:val="lowerLetter"/>
      <w:start w:val="1"/>
    </w:lvl>
  </w:abstractNum>
  <w:abstractNum w:abstractNumId="312">
    <w:nsid w:val="4CC1263B"/>
    <w:multiLevelType w:val="hybridMultilevel"/>
    <w:lvl w:ilvl="0">
      <w:lvlJc w:val="left"/>
      <w:lvlText w:val="(%1)"/>
      <w:numFmt w:val="lowerLetter"/>
      <w:start w:val="4"/>
    </w:lvl>
  </w:abstractNum>
  <w:abstractNum w:abstractNumId="313">
    <w:nsid w:val="8BBEB1D"/>
    <w:multiLevelType w:val="hybridMultilevel"/>
    <w:lvl w:ilvl="0">
      <w:lvlJc w:val="left"/>
      <w:lvlText w:val="(%1)"/>
      <w:numFmt w:val="lowerLetter"/>
      <w:start w:val="6"/>
    </w:lvl>
  </w:abstractNum>
  <w:abstractNum w:abstractNumId="314">
    <w:nsid w:val="7365F1EE"/>
    <w:multiLevelType w:val="hybridMultilevel"/>
    <w:lvl w:ilvl="0">
      <w:lvlJc w:val="left"/>
      <w:lvlText w:val="(%1)"/>
      <w:numFmt w:val="lowerLetter"/>
      <w:start w:val="1"/>
    </w:lvl>
  </w:abstractNum>
  <w:abstractNum w:abstractNumId="315">
    <w:nsid w:val="37524CF0"/>
    <w:multiLevelType w:val="hybridMultilevel"/>
    <w:lvl w:ilvl="0">
      <w:lvlJc w:val="left"/>
      <w:lvlText w:val="%1"/>
      <w:numFmt w:val="decimal"/>
      <w:start w:val="1"/>
    </w:lvl>
    <w:lvl w:ilvl="1">
      <w:lvlJc w:val="left"/>
      <w:lvlText w:val="(%2)"/>
      <w:numFmt w:val="lowerLetter"/>
      <w:start w:val="3"/>
    </w:lvl>
  </w:abstractNum>
  <w:abstractNum w:abstractNumId="316">
    <w:nsid w:val="70CC332F"/>
    <w:multiLevelType w:val="hybridMultilevel"/>
    <w:lvl w:ilvl="0">
      <w:lvlJc w:val="left"/>
      <w:lvlText w:val="(%1)"/>
      <w:numFmt w:val="decimal"/>
      <w:start w:val="12"/>
    </w:lvl>
    <w:lvl w:ilvl="1">
      <w:lvlJc w:val="left"/>
      <w:lvlText w:val="(%2)"/>
      <w:numFmt w:val="lowerLetter"/>
      <w:start w:val="10"/>
    </w:lvl>
  </w:abstractNum>
  <w:abstractNum w:abstractNumId="317">
    <w:nsid w:val="5661786E"/>
    <w:multiLevelType w:val="hybridMultilevel"/>
    <w:lvl w:ilvl="0">
      <w:lvlJc w:val="left"/>
      <w:lvlText w:val="(%1)"/>
      <w:numFmt w:val="lowerLetter"/>
      <w:start w:val="12"/>
    </w:lvl>
  </w:abstractNum>
  <w:abstractNum w:abstractNumId="318">
    <w:nsid w:val="3AF6A220"/>
    <w:multiLevelType w:val="hybridMultilevel"/>
    <w:lvl w:ilvl="0">
      <w:lvlJc w:val="left"/>
      <w:lvlText w:val="%1"/>
      <w:numFmt w:val="upperLetter"/>
      <w:start w:val="1"/>
    </w:lvl>
    <w:lvl w:ilvl="1">
      <w:lvlJc w:val="left"/>
      <w:lvlText w:val="(%2)"/>
      <w:numFmt w:val="lowerLetter"/>
      <w:start w:val="1"/>
    </w:lvl>
  </w:abstractNum>
  <w:abstractNum w:abstractNumId="319">
    <w:nsid w:val="3C5EA902"/>
    <w:multiLevelType w:val="hybridMultilevel"/>
    <w:lvl w:ilvl="0">
      <w:lvlJc w:val="left"/>
      <w:lvlText w:val="(%1)"/>
      <w:numFmt w:val="upperLetter"/>
      <w:start w:val="24"/>
    </w:lvl>
    <w:lvl w:ilvl="1">
      <w:lvlJc w:val="left"/>
      <w:lvlText w:val="(%2)"/>
      <w:numFmt w:val="lowerLetter"/>
      <w:start w:val="4"/>
    </w:lvl>
  </w:abstractNum>
  <w:abstractNum w:abstractNumId="320">
    <w:nsid w:val="256E6749"/>
    <w:multiLevelType w:val="hybridMultilevel"/>
    <w:lvl w:ilvl="0">
      <w:lvlJc w:val="left"/>
      <w:lvlText w:val="(%1)"/>
      <w:numFmt w:val="lowerLetter"/>
      <w:start w:val="1"/>
    </w:lvl>
  </w:abstractNum>
  <w:abstractNum w:abstractNumId="321">
    <w:nsid w:val="1CB9A581"/>
    <w:multiLevelType w:val="hybridMultilevel"/>
    <w:lvl w:ilvl="0">
      <w:lvlJc w:val="left"/>
      <w:lvlText w:val="(%1)"/>
      <w:numFmt w:val="lowerLetter"/>
      <w:start w:val="1"/>
    </w:lvl>
  </w:abstractNum>
  <w:abstractNum w:abstractNumId="322">
    <w:nsid w:val="1F7F42E2"/>
    <w:multiLevelType w:val="hybridMultilevel"/>
    <w:lvl w:ilvl="0">
      <w:lvlJc w:val="left"/>
      <w:lvlText w:val="(%1)"/>
      <w:numFmt w:val="lowerLetter"/>
      <w:start w:val="11"/>
    </w:lvl>
  </w:abstractNum>
  <w:abstractNum w:abstractNumId="323">
    <w:nsid w:val="49D1FEA0"/>
    <w:multiLevelType w:val="hybridMultilevel"/>
    <w:lvl w:ilvl="0">
      <w:lvlJc w:val="left"/>
      <w:lvlText w:val="(%1)"/>
      <w:numFmt w:val="lowerLetter"/>
      <w:start w:val="1"/>
    </w:lvl>
  </w:abstractNum>
  <w:abstractNum w:abstractNumId="324">
    <w:nsid w:val="268CB37F"/>
    <w:multiLevelType w:val="hybridMultilevel"/>
    <w:lvl w:ilvl="0">
      <w:lvlJc w:val="left"/>
      <w:lvlText w:val="(%1)"/>
      <w:numFmt w:val="lowerLetter"/>
      <w:start w:val="6"/>
    </w:lvl>
  </w:abstractNum>
  <w:abstractNum w:abstractNumId="325">
    <w:nsid w:val="102362F8"/>
    <w:multiLevelType w:val="hybridMultilevel"/>
    <w:lvl w:ilvl="0">
      <w:lvlJc w:val="left"/>
      <w:lvlText w:val="%1."/>
      <w:numFmt w:val="decimal"/>
      <w:start w:val="2"/>
    </w:lvl>
  </w:abstractNum>
  <w:abstractNum w:abstractNumId="326">
    <w:nsid w:val="5FEDC0E3"/>
    <w:multiLevelType w:val="hybridMultilevel"/>
    <w:lvl w:ilvl="0">
      <w:lvlJc w:val="left"/>
      <w:lvlText w:val="(%1)"/>
      <w:numFmt w:val="lowerLetter"/>
      <w:start w:val="1"/>
    </w:lvl>
  </w:abstractNum>
  <w:abstractNum w:abstractNumId="327">
    <w:nsid w:val="3D75BC47"/>
    <w:multiLevelType w:val="hybridMultilevel"/>
    <w:lvl w:ilvl="0">
      <w:lvlJc w:val="left"/>
      <w:lvlText w:val="(%1)"/>
      <w:numFmt w:val="upperLetter"/>
      <w:start w:val="2"/>
    </w:lvl>
  </w:abstractNum>
  <w:abstractNum w:abstractNumId="328">
    <w:nsid w:val="3E30D969"/>
    <w:multiLevelType w:val="hybridMultilevel"/>
    <w:lvl w:ilvl="0">
      <w:lvlJc w:val="left"/>
      <w:lvlText w:val="(%1)"/>
      <w:numFmt w:val="lowerLetter"/>
      <w:start w:val="1"/>
    </w:lvl>
  </w:abstractNum>
  <w:abstractNum w:abstractNumId="329">
    <w:nsid w:val="18A35FE3"/>
    <w:multiLevelType w:val="hybridMultilevel"/>
    <w:lvl w:ilvl="0">
      <w:lvlJc w:val="left"/>
      <w:lvlText w:val="(%1)"/>
      <w:numFmt w:val="lowerLetter"/>
      <w:start w:val="3"/>
    </w:lvl>
    <w:lvl w:ilvl="1">
      <w:lvlJc w:val="left"/>
      <w:lvlText w:val="(%2)"/>
      <w:numFmt w:val="lowerRoman"/>
      <w:start w:val="1"/>
    </w:lvl>
  </w:abstractNum>
  <w:abstractNum w:abstractNumId="330">
    <w:nsid w:val="6DEF5211"/>
    <w:multiLevelType w:val="hybridMultilevel"/>
    <w:lvl w:ilvl="0">
      <w:lvlJc w:val="left"/>
      <w:lvlText w:val="(%1)"/>
      <w:numFmt w:val="lowerLetter"/>
      <w:start w:val="1"/>
    </w:lvl>
  </w:abstractNum>
  <w:abstractNum w:abstractNumId="331">
    <w:nsid w:val="1112DBB6"/>
    <w:multiLevelType w:val="hybridMultilevel"/>
    <w:lvl w:ilvl="0">
      <w:lvlJc w:val="left"/>
      <w:lvlText w:val="(%1)"/>
      <w:numFmt w:val="lowerLetter"/>
      <w:start w:val="3"/>
    </w:lvl>
  </w:abstractNum>
  <w:abstractNum w:abstractNumId="332">
    <w:nsid w:val="2586A498"/>
    <w:multiLevelType w:val="hybridMultilevel"/>
    <w:lvl w:ilvl="0">
      <w:lvlJc w:val="left"/>
      <w:lvlText w:val="%1."/>
      <w:numFmt w:val="decimal"/>
      <w:start w:val="3"/>
    </w:lvl>
  </w:abstractNum>
  <w:abstractNum w:abstractNumId="333">
    <w:nsid w:val="17A03BB9"/>
    <w:multiLevelType w:val="hybridMultilevel"/>
    <w:lvl w:ilvl="0">
      <w:lvlJc w:val="left"/>
      <w:lvlText w:val="(%1)"/>
      <w:numFmt w:val="lowerLetter"/>
      <w:start w:val="1"/>
    </w:lvl>
  </w:abstractNum>
  <w:abstractNum w:abstractNumId="334">
    <w:nsid w:val="5CA941"/>
    <w:multiLevelType w:val="hybridMultilevel"/>
    <w:lvl w:ilvl="0">
      <w:lvlJc w:val="left"/>
      <w:lvlText w:val="(%1)"/>
      <w:numFmt w:val="lowerLetter"/>
      <w:start w:val="3"/>
    </w:lvl>
  </w:abstractNum>
  <w:abstractNum w:abstractNumId="335">
    <w:nsid w:val="734C7D9F"/>
    <w:multiLevelType w:val="hybridMultilevel"/>
    <w:lvl w:ilvl="0">
      <w:lvlJc w:val="left"/>
      <w:lvlText w:val="(%1)"/>
      <w:numFmt w:val="lowerLetter"/>
      <w:start w:val="18"/>
    </w:lvl>
  </w:abstractNum>
  <w:abstractNum w:abstractNumId="336">
    <w:nsid w:val="24F5D018"/>
    <w:multiLevelType w:val="hybridMultilevel"/>
    <w:lvl w:ilvl="0">
      <w:lvlJc w:val="left"/>
      <w:lvlText w:val="(%1)"/>
      <w:numFmt w:val="lowerLetter"/>
      <w:start w:val="1"/>
    </w:lvl>
  </w:abstractNum>
  <w:abstractNum w:abstractNumId="337">
    <w:nsid w:val="6780C122"/>
    <w:multiLevelType w:val="hybridMultilevel"/>
    <w:lvl w:ilvl="0">
      <w:lvlJc w:val="left"/>
      <w:lvlText w:val="(%1)"/>
      <w:numFmt w:val="lowerLetter"/>
      <w:start w:val="1"/>
    </w:lvl>
  </w:abstractNum>
  <w:abstractNum w:abstractNumId="338">
    <w:nsid w:val="534347A8"/>
    <w:multiLevelType w:val="hybridMultilevel"/>
    <w:lvl w:ilvl="0">
      <w:lvlJc w:val="left"/>
      <w:lvlText w:val="(%1)"/>
      <w:numFmt w:val="lowerLetter"/>
      <w:start w:val="1"/>
    </w:lvl>
  </w:abstractNum>
  <w:abstractNum w:abstractNumId="339">
    <w:nsid w:val="5800E34B"/>
    <w:multiLevelType w:val="hybridMultilevel"/>
    <w:lvl w:ilvl="0">
      <w:lvlJc w:val="left"/>
      <w:lvlText w:val="(%1)"/>
      <w:numFmt w:val="lowerLetter"/>
      <w:start w:val="2"/>
    </w:lvl>
  </w:abstractNum>
  <w:abstractNum w:abstractNumId="340">
    <w:nsid w:val="1673EFC8"/>
    <w:multiLevelType w:val="hybridMultilevel"/>
    <w:lvl w:ilvl="0">
      <w:lvlJc w:val="left"/>
      <w:lvlText w:val="(%1)"/>
      <w:numFmt w:val="lowerLetter"/>
      <w:start w:val="1"/>
    </w:lvl>
  </w:abstractNum>
  <w:abstractNum w:abstractNumId="341">
    <w:nsid w:val="5B9B1FD"/>
    <w:multiLevelType w:val="hybridMultilevel"/>
    <w:lvl w:ilvl="0">
      <w:lvlJc w:val="left"/>
      <w:lvlText w:val="%1."/>
      <w:numFmt w:val="decimal"/>
      <w:start w:val="4"/>
    </w:lvl>
  </w:abstractNum>
  <w:abstractNum w:abstractNumId="342">
    <w:nsid w:val="7AD7FCA2"/>
    <w:multiLevelType w:val="hybridMultilevel"/>
    <w:lvl w:ilvl="0">
      <w:lvlJc w:val="left"/>
      <w:lvlText w:val="%1."/>
      <w:numFmt w:val="decimal"/>
      <w:start w:val="5"/>
    </w:lvl>
  </w:abstractNum>
  <w:abstractNum w:abstractNumId="343">
    <w:nsid w:val="63351604"/>
    <w:multiLevelType w:val="hybridMultilevel"/>
    <w:lvl w:ilvl="0">
      <w:lvlJc w:val="left"/>
      <w:lvlText w:val="(%1)"/>
      <w:numFmt w:val="lowerLetter"/>
      <w:start w:val="1"/>
    </w:lvl>
  </w:abstractNum>
  <w:abstractNum w:abstractNumId="344">
    <w:nsid w:val="E759D1A"/>
    <w:multiLevelType w:val="hybridMultilevel"/>
    <w:lvl w:ilvl="0">
      <w:lvlJc w:val="left"/>
      <w:lvlText w:val="%1"/>
      <w:numFmt w:val="lowerLetter"/>
      <w:start w:val="1"/>
    </w:lvl>
    <w:lvl w:ilvl="1">
      <w:lvlJc w:val="left"/>
      <w:lvlText w:val="(%2)"/>
      <w:numFmt w:val="lowerLetter"/>
      <w:start w:val="4"/>
    </w:lvl>
  </w:abstractNum>
  <w:abstractNum w:abstractNumId="345">
    <w:nsid w:val="6E3DEE90"/>
    <w:multiLevelType w:val="hybridMultilevel"/>
    <w:lvl w:ilvl="0">
      <w:lvlJc w:val="left"/>
      <w:lvlText w:val="(%1)"/>
      <w:numFmt w:val="lowerLetter"/>
      <w:start w:val="35"/>
    </w:lvl>
    <w:lvl w:ilvl="1">
      <w:lvlJc w:val="left"/>
      <w:lvlText w:val="(%2)"/>
      <w:numFmt w:val="lowerLetter"/>
      <w:start w:val="7"/>
    </w:lvl>
  </w:abstractNum>
  <w:abstractNum w:abstractNumId="346">
    <w:nsid w:val="1A8762F4"/>
    <w:multiLevelType w:val="hybridMultilevel"/>
    <w:lvl w:ilvl="0">
      <w:lvlJc w:val="left"/>
      <w:lvlText w:val="(%1)"/>
      <w:numFmt w:val="lowerRoman"/>
      <w:start w:val="1"/>
    </w:lvl>
  </w:abstractNum>
  <w:abstractNum w:abstractNumId="347">
    <w:nsid w:val="7F41D049"/>
    <w:multiLevelType w:val="hybridMultilevel"/>
    <w:lvl w:ilvl="0">
      <w:lvlJc w:val="left"/>
      <w:lvlText w:val="(%1)"/>
      <w:numFmt w:val="lowerLetter"/>
      <w:start w:val="1"/>
    </w:lvl>
  </w:abstractNum>
  <w:abstractNum w:abstractNumId="348">
    <w:nsid w:val="449F66FE"/>
    <w:multiLevelType w:val="hybridMultilevel"/>
    <w:lvl w:ilvl="0">
      <w:lvlJc w:val="left"/>
      <w:lvlText w:val="(%1)"/>
      <w:numFmt w:val="lowerLetter"/>
      <w:start w:val="4"/>
    </w:lvl>
  </w:abstractNum>
  <w:abstractNum w:abstractNumId="349">
    <w:nsid w:val="557E0515"/>
    <w:multiLevelType w:val="hybridMultilevel"/>
    <w:lvl w:ilvl="0">
      <w:lvlJc w:val="left"/>
      <w:lvlText w:val="%1."/>
      <w:numFmt w:val="decimal"/>
      <w:start w:val="6"/>
    </w:lvl>
  </w:abstractNum>
  <w:abstractNum w:abstractNumId="350">
    <w:nsid w:val="3BA0794B"/>
    <w:multiLevelType w:val="hybridMultilevel"/>
    <w:lvl w:ilvl="0">
      <w:lvlJc w:val="left"/>
      <w:lvlText w:val="(%1)"/>
      <w:numFmt w:val="lowerLetter"/>
      <w:start w:val="1"/>
    </w:lvl>
  </w:abstractNum>
  <w:abstractNum w:abstractNumId="351">
    <w:nsid w:val="6A0DCE48"/>
    <w:multiLevelType w:val="hybridMultilevel"/>
    <w:lvl w:ilvl="0">
      <w:lvlJc w:val="left"/>
      <w:lvlText w:val="%1"/>
      <w:numFmt w:val="decimal"/>
      <w:start w:val="1"/>
    </w:lvl>
    <w:lvl w:ilvl="1">
      <w:lvlJc w:val="left"/>
      <w:lvlText w:val="(%2)"/>
      <w:numFmt w:val="lowerLetter"/>
      <w:start w:val="3"/>
    </w:lvl>
  </w:abstractNum>
  <w:abstractNum w:abstractNumId="352">
    <w:nsid w:val="7237AA96"/>
    <w:multiLevelType w:val="hybridMultilevel"/>
    <w:lvl w:ilvl="0">
      <w:lvlJc w:val="left"/>
      <w:lvlText w:val="(%1)"/>
      <w:numFmt w:val="decimal"/>
      <w:start w:val="1"/>
    </w:lvl>
    <w:lvl w:ilvl="1">
      <w:lvlJc w:val="left"/>
      <w:lvlText w:val="(%2)"/>
      <w:numFmt w:val="lowerLetter"/>
      <w:start w:val="4"/>
    </w:lvl>
  </w:abstractNum>
  <w:abstractNum w:abstractNumId="353">
    <w:nsid w:val="5B1FBC2D"/>
    <w:multiLevelType w:val="hybridMultilevel"/>
    <w:lvl w:ilvl="0">
      <w:lvlJc w:val="left"/>
      <w:lvlText w:val="(%1)"/>
      <w:numFmt w:val="lowerLetter"/>
      <w:start w:val="13"/>
    </w:lvl>
  </w:abstractNum>
  <w:abstractNum w:abstractNumId="354">
    <w:nsid w:val="33DFCCE8"/>
    <w:multiLevelType w:val="hybridMultilevel"/>
    <w:lvl w:ilvl="0">
      <w:lvlJc w:val="left"/>
      <w:lvlText w:val="(%1)"/>
      <w:numFmt w:val="lowerLetter"/>
      <w:start w:val="1"/>
    </w:lvl>
  </w:abstractNum>
  <w:abstractNum w:abstractNumId="355">
    <w:nsid w:val="18C45E15"/>
    <w:multiLevelType w:val="hybridMultilevel"/>
    <w:lvl w:ilvl="0">
      <w:lvlJc w:val="left"/>
      <w:lvlText w:val="(%1)"/>
      <w:numFmt w:val="lowerLetter"/>
      <w:start w:val="1"/>
    </w:lvl>
  </w:abstractNum>
  <w:abstractNum w:abstractNumId="356">
    <w:nsid w:val="6B431F25"/>
    <w:multiLevelType w:val="hybridMultilevel"/>
    <w:lvl w:ilvl="0">
      <w:lvlJc w:val="left"/>
      <w:lvlText w:val="(%1)"/>
      <w:numFmt w:val="lowerLetter"/>
      <w:start w:val="2"/>
    </w:lvl>
  </w:abstractNum>
  <w:abstractNum w:abstractNumId="357">
    <w:nsid w:val="13CD8DCB"/>
    <w:multiLevelType w:val="hybridMultilevel"/>
    <w:lvl w:ilvl="0">
      <w:lvlJc w:val="left"/>
      <w:lvlText w:val="(%1)"/>
      <w:numFmt w:val="lowerLetter"/>
      <w:start w:val="2"/>
    </w:lvl>
  </w:abstractNum>
  <w:abstractNum w:abstractNumId="358">
    <w:nsid w:val="563A1A5C"/>
    <w:multiLevelType w:val="hybridMultilevel"/>
    <w:lvl w:ilvl="0">
      <w:lvlJc w:val="left"/>
      <w:lvlText w:val="%1."/>
      <w:numFmt w:val="decimal"/>
      <w:start w:val="7"/>
    </w:lvl>
  </w:abstractNum>
  <w:abstractNum w:abstractNumId="359">
    <w:nsid w:val="2973F88F"/>
    <w:multiLevelType w:val="hybridMultilevel"/>
    <w:lvl w:ilvl="0">
      <w:lvlJc w:val="left"/>
      <w:lvlText w:val="(%1)"/>
      <w:numFmt w:val="lowerRoman"/>
      <w:start w:val="5"/>
    </w:lvl>
  </w:abstractNum>
  <w:abstractNum w:abstractNumId="360">
    <w:nsid w:val="2C70EDAE"/>
    <w:multiLevelType w:val="hybridMultilevel"/>
    <w:lvl w:ilvl="0">
      <w:lvlJc w:val="left"/>
      <w:lvlText w:val="%1"/>
      <w:numFmt w:val="lowerLetter"/>
      <w:start w:val="1"/>
    </w:lvl>
    <w:lvl w:ilvl="1">
      <w:lvlJc w:val="left"/>
      <w:lvlText w:val="(%2)"/>
      <w:numFmt w:val="lowerLetter"/>
      <w:start w:val="1"/>
    </w:lvl>
  </w:abstractNum>
  <w:abstractNum w:abstractNumId="361">
    <w:nsid w:val="44296C6D"/>
    <w:multiLevelType w:val="hybridMultilevel"/>
    <w:lvl w:ilvl="0">
      <w:lvlJc w:val="left"/>
      <w:lvlText w:val="(%1)"/>
      <w:numFmt w:val="lowerLetter"/>
      <w:start w:val="61"/>
    </w:lvl>
    <w:lvl w:ilvl="1">
      <w:lvlJc w:val="left"/>
      <w:lvlText w:val="%2"/>
      <w:numFmt w:val="lowerLetter"/>
      <w:start w:val="1"/>
    </w:lvl>
  </w:abstractNum>
  <w:abstractNum w:abstractNumId="362">
    <w:nsid w:val="3A86D445"/>
    <w:multiLevelType w:val="hybridMultilevel"/>
    <w:lvl w:ilvl="0">
      <w:lvlJc w:val="left"/>
      <w:lvlText w:val="%1."/>
      <w:numFmt w:val="decimal"/>
      <w:start w:val="8"/>
    </w:lvl>
  </w:abstractNum>
  <w:abstractNum w:abstractNumId="363">
    <w:nsid w:val="51F79246"/>
    <w:multiLevelType w:val="hybridMultilevel"/>
    <w:lvl w:ilvl="0">
      <w:lvlJc w:val="left"/>
      <w:lvlText w:val="(%1)"/>
      <w:numFmt w:val="lowerLetter"/>
      <w:start w:val="1"/>
    </w:lvl>
  </w:abstractNum>
  <w:abstractNum w:abstractNumId="364">
    <w:nsid w:val="5BC9A827"/>
    <w:multiLevelType w:val="hybridMultilevel"/>
    <w:lvl w:ilvl="0">
      <w:lvlJc w:val="left"/>
      <w:lvlText w:val="%1."/>
      <w:numFmt w:val="decimal"/>
      <w:start w:val="9"/>
    </w:lvl>
  </w:abstractNum>
  <w:abstractNum w:abstractNumId="365">
    <w:nsid w:val="3AE37D86"/>
    <w:multiLevelType w:val="hybridMultilevel"/>
    <w:lvl w:ilvl="0">
      <w:lvlJc w:val="left"/>
      <w:lvlText w:val="(%1)"/>
      <w:numFmt w:val="lowerLetter"/>
      <w:start w:val="1"/>
    </w:lvl>
  </w:abstractNum>
  <w:abstractNum w:abstractNumId="366">
    <w:nsid w:val="45440FE5"/>
    <w:multiLevelType w:val="hybridMultilevel"/>
    <w:lvl w:ilvl="0">
      <w:lvlJc w:val="left"/>
      <w:lvlText w:val="(%1)"/>
      <w:numFmt w:val="lowerLetter"/>
      <w:start w:val="4"/>
    </w:lvl>
  </w:abstractNum>
  <w:abstractNum w:abstractNumId="367">
    <w:nsid w:val="BF783F"/>
    <w:multiLevelType w:val="hybridMultilevel"/>
    <w:lvl w:ilvl="0">
      <w:lvlJc w:val="left"/>
      <w:lvlText w:val="(%1)"/>
      <w:numFmt w:val="decimal"/>
      <w:start w:val="2"/>
    </w:lvl>
  </w:abstractNum>
  <w:abstractNum w:abstractNumId="368">
    <w:nsid w:val="22643EA9"/>
    <w:multiLevelType w:val="hybridMultilevel"/>
    <w:lvl w:ilvl="0">
      <w:lvlJc w:val="left"/>
      <w:lvlText w:val="(%1)"/>
      <w:numFmt w:val="lowerRoman"/>
      <w:start w:val="5"/>
    </w:lvl>
  </w:abstractNum>
  <w:abstractNum w:abstractNumId="369">
    <w:nsid w:val="1887578D"/>
    <w:multiLevelType w:val="hybridMultilevel"/>
    <w:lvl w:ilvl="0">
      <w:lvlJc w:val="left"/>
      <w:lvlText w:val="(%1)"/>
      <w:numFmt w:val="lowerLetter"/>
      <w:start w:val="1"/>
    </w:lvl>
  </w:abstractNum>
  <w:abstractNum w:abstractNumId="370">
    <w:nsid w:val="58C05B8A"/>
    <w:multiLevelType w:val="hybridMultilevel"/>
    <w:lvl w:ilvl="0">
      <w:lvlJc w:val="left"/>
      <w:lvlText w:val="%1."/>
      <w:numFmt w:val="decimal"/>
      <w:start w:val="10"/>
    </w:lvl>
  </w:abstractNum>
  <w:abstractNum w:abstractNumId="371">
    <w:nsid w:val="38D82E71"/>
    <w:multiLevelType w:val="hybridMultilevel"/>
    <w:lvl w:ilvl="0">
      <w:lvlJc w:val="left"/>
      <w:lvlText w:val="(%1)"/>
      <w:numFmt w:val="lowerLetter"/>
      <w:start w:val="2"/>
    </w:lvl>
  </w:abstractNum>
  <w:abstractNum w:abstractNumId="372">
    <w:nsid w:val="1E41098A"/>
    <w:multiLevelType w:val="hybridMultilevel"/>
    <w:lvl w:ilvl="0">
      <w:lvlJc w:val="left"/>
      <w:lvlText w:val="%1."/>
      <w:numFmt w:val="decimal"/>
      <w:start w:val="11"/>
    </w:lvl>
  </w:abstractNum>
  <w:abstractNum w:abstractNumId="373">
    <w:nsid w:val="5398582C"/>
    <w:multiLevelType w:val="hybridMultilevel"/>
    <w:lvl w:ilvl="0">
      <w:lvlJc w:val="left"/>
      <w:lvlText w:val="%1."/>
      <w:numFmt w:val="decimal"/>
      <w:start w:val="12"/>
    </w:lvl>
  </w:abstractNum>
  <w:abstractNum w:abstractNumId="374">
    <w:nsid w:val="1C0D4475"/>
    <w:multiLevelType w:val="hybridMultilevel"/>
    <w:lvl w:ilvl="0">
      <w:lvlJc w:val="left"/>
      <w:lvlText w:val="(%1)"/>
      <w:numFmt w:val="lowerLetter"/>
      <w:start w:val="1"/>
    </w:lvl>
  </w:abstractNum>
  <w:abstractNum w:abstractNumId="375">
    <w:nsid w:val="2CB6A6A4"/>
    <w:multiLevelType w:val="hybridMultilevel"/>
    <w:lvl w:ilvl="0">
      <w:lvlJc w:val="left"/>
      <w:lvlText w:val="(%1)"/>
      <w:numFmt w:val="lowerLetter"/>
      <w:start w:val="9"/>
    </w:lvl>
  </w:abstractNum>
  <w:abstractNum w:abstractNumId="376">
    <w:nsid w:val="41D646BC"/>
    <w:multiLevelType w:val="hybridMultilevel"/>
    <w:lvl w:ilvl="0">
      <w:lvlJc w:val="left"/>
      <w:lvlText w:val="%1."/>
      <w:numFmt w:val="decimal"/>
      <w:start w:val="13"/>
    </w:lvl>
  </w:abstractNum>
  <w:abstractNum w:abstractNumId="377">
    <w:nsid w:val="3694A76A"/>
    <w:multiLevelType w:val="hybridMultilevel"/>
    <w:lvl w:ilvl="0">
      <w:lvlJc w:val="left"/>
      <w:lvlText w:val="(%1)"/>
      <w:numFmt w:val="lowerLetter"/>
      <w:start w:val="1"/>
    </w:lvl>
  </w:abstractNum>
  <w:abstractNum w:abstractNumId="378">
    <w:nsid w:val="2BF876EE"/>
    <w:multiLevelType w:val="hybridMultilevel"/>
    <w:lvl w:ilvl="0">
      <w:lvlJc w:val="left"/>
      <w:lvlText w:val="(%1)"/>
      <w:numFmt w:val="lowerLetter"/>
      <w:start w:val="2"/>
    </w:lvl>
  </w:abstractNum>
  <w:abstractNum w:abstractNumId="379">
    <w:nsid w:val="675AD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80">
    <w:nsid w:val="C12AC7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81">
    <w:nsid w:val="6798F039"/>
    <w:multiLevelType w:val="hybridMultilevel"/>
    <w:lvl w:ilvl="0">
      <w:lvlJc w:val="left"/>
      <w:lvlText w:val="(%1)"/>
      <w:numFmt w:val="lowerLetter"/>
      <w:start w:val="3"/>
    </w:lvl>
  </w:abstractNum>
  <w:abstractNum w:abstractNumId="382">
    <w:nsid w:val="70837C02"/>
    <w:multiLevelType w:val="hybridMultilevel"/>
    <w:lvl w:ilvl="0">
      <w:lvlJc w:val="left"/>
      <w:lvlText w:val="%1"/>
      <w:numFmt w:val="upperLetter"/>
      <w:start w:val="1"/>
    </w:lvl>
    <w:lvl w:ilvl="1">
      <w:lvlJc w:val="left"/>
      <w:lvlText w:val="(%2)"/>
      <w:numFmt w:val="lowerLetter"/>
      <w:start w:val="1"/>
    </w:lvl>
  </w:abstractNum>
  <w:abstractNum w:abstractNumId="383">
    <w:nsid w:val="7E4A5715"/>
    <w:multiLevelType w:val="hybridMultilevel"/>
    <w:lvl w:ilvl="0">
      <w:lvlJc w:val="left"/>
      <w:lvlText w:val="(%1)"/>
      <w:numFmt w:val="upperLetter"/>
      <w:start w:val="1"/>
    </w:lvl>
    <w:lvl w:ilvl="1">
      <w:lvlJc w:val="left"/>
      <w:lvlText w:val="%2"/>
      <w:numFmt w:val="lowerLetter"/>
      <w:start w:val="1"/>
    </w:lvl>
  </w:abstractNum>
  <w:abstractNum w:abstractNumId="384">
    <w:nsid w:val="42B8AC67"/>
    <w:multiLevelType w:val="hybridMultilevel"/>
    <w:lvl w:ilvl="0">
      <w:lvlJc w:val="left"/>
      <w:lvlText w:val="(%1)"/>
      <w:numFmt w:val="lowerLetter"/>
      <w:start w:val="25"/>
    </w:lvl>
    <w:lvl w:ilvl="1">
      <w:lvlJc w:val="left"/>
      <w:lvlText w:val="(%2)"/>
      <w:numFmt w:val="lowerLetter"/>
      <w:start w:val="3"/>
    </w:lvl>
  </w:abstractNum>
  <w:abstractNum w:abstractNumId="385">
    <w:nsid w:val="246348EA"/>
    <w:multiLevelType w:val="hybridMultilevel"/>
    <w:lvl w:ilvl="0">
      <w:lvlJc w:val="left"/>
      <w:lvlText w:val="(%1)"/>
      <w:numFmt w:val="lowerLetter"/>
      <w:start w:val="1"/>
    </w:lvl>
  </w:abstractNum>
  <w:abstractNum w:abstractNumId="386">
    <w:nsid w:val="170EB52B"/>
    <w:multiLevelType w:val="hybridMultilevel"/>
    <w:lvl w:ilvl="0">
      <w:lvlJc w:val="left"/>
      <w:lvlText w:val="(%1)"/>
      <w:numFmt w:val="lowerLetter"/>
      <w:start w:val="1"/>
    </w:lvl>
    <w:lvl w:ilvl="1">
      <w:lvlJc w:val="left"/>
      <w:lvlText w:val="(%2)"/>
      <w:numFmt w:val="lowerRoman"/>
      <w:start w:val="1"/>
    </w:lvl>
  </w:abstractNum>
  <w:abstractNum w:abstractNumId="387">
    <w:nsid w:val="2DFBCB8C"/>
    <w:multiLevelType w:val="hybridMultilevel"/>
    <w:lvl w:ilvl="0">
      <w:lvlJc w:val="left"/>
      <w:lvlText w:val="(%1)"/>
      <w:numFmt w:val="lowerLetter"/>
      <w:start w:val="7"/>
    </w:lvl>
    <w:lvl w:ilvl="1">
      <w:lvlJc w:val="left"/>
      <w:lvlText w:val="(%2)"/>
      <w:numFmt w:val="lowerRoman"/>
      <w:start w:val="1"/>
    </w:lvl>
  </w:abstractNum>
  <w:abstractNum w:abstractNumId="388">
    <w:nsid w:val="3830D6B6"/>
    <w:multiLevelType w:val="hybridMultilevel"/>
    <w:lvl w:ilvl="0">
      <w:lvlJc w:val="left"/>
      <w:lvlText w:val="(%1)"/>
      <w:numFmt w:val="lowerRoman"/>
      <w:start w:val="4"/>
    </w:lvl>
  </w:abstractNum>
  <w:abstractNum w:abstractNumId="389">
    <w:nsid w:val="6D48CF87"/>
    <w:multiLevelType w:val="hybridMultilevel"/>
    <w:lvl w:ilvl="0">
      <w:lvlJc w:val="left"/>
      <w:lvlText w:val="%1."/>
      <w:numFmt w:val="decimal"/>
      <w:start w:val="14"/>
    </w:lvl>
  </w:abstractNum>
  <w:abstractNum w:abstractNumId="390">
    <w:nsid w:val="576FC41B"/>
    <w:multiLevelType w:val="hybridMultilevel"/>
    <w:lvl w:ilvl="0">
      <w:lvlJc w:val="left"/>
      <w:lvlText w:val="(%1)"/>
      <w:numFmt w:val="lowerLetter"/>
      <w:start w:val="1"/>
    </w:lvl>
  </w:abstractNum>
  <w:abstractNum w:abstractNumId="391">
    <w:nsid w:val="64A1C464"/>
    <w:multiLevelType w:val="hybridMultilevel"/>
    <w:lvl w:ilvl="0">
      <w:lvlJc w:val="left"/>
      <w:lvlText w:val="(%1)"/>
      <w:numFmt w:val="lowerLetter"/>
      <w:start w:val="2"/>
    </w:lvl>
  </w:abstractNum>
  <w:abstractNum w:abstractNumId="392">
    <w:nsid w:val="31723BF5"/>
    <w:multiLevelType w:val="hybridMultilevel"/>
    <w:lvl w:ilvl="0">
      <w:lvlJc w:val="left"/>
      <w:lvlText w:val="%1."/>
      <w:numFmt w:val="decimal"/>
      <w:start w:val="1"/>
    </w:lvl>
  </w:abstractNum>
  <w:abstractNum w:abstractNumId="393">
    <w:nsid w:val="11F69861"/>
    <w:multiLevelType w:val="hybridMultilevel"/>
    <w:lvl w:ilvl="0">
      <w:lvlJc w:val="left"/>
      <w:lvlText w:val="%1."/>
      <w:numFmt w:val="decimal"/>
      <w:start w:val="2"/>
    </w:lvl>
  </w:abstractNum>
  <w:abstractNum w:abstractNumId="394">
    <w:nsid w:val="369956AB"/>
    <w:multiLevelType w:val="hybridMultilevel"/>
    <w:lvl w:ilvl="0">
      <w:lvlJc w:val="left"/>
      <w:lvlText w:val="%1."/>
      <w:numFmt w:val="decimal"/>
      <w:start w:val="4"/>
    </w:lvl>
  </w:abstractNum>
  <w:abstractNum w:abstractNumId="395">
    <w:nsid w:val="D3BE41C"/>
    <w:multiLevelType w:val="hybridMultilevel"/>
    <w:lvl w:ilvl="0">
      <w:lvlJc w:val="left"/>
      <w:lvlText w:val="%1."/>
      <w:numFmt w:val="decimal"/>
      <w:start w:val="1"/>
    </w:lvl>
    <w:lvl w:ilvl="1">
      <w:lvlJc w:val="left"/>
      <w:lvlText w:val="(%2)"/>
      <w:numFmt w:val="lowerLetter"/>
      <w:start w:val="1"/>
    </w:lvl>
  </w:abstractNum>
  <w:abstractNum w:abstractNumId="396">
    <w:nsid w:val="4CDA15E7"/>
    <w:multiLevelType w:val="hybridMultilevel"/>
    <w:lvl w:ilvl="0">
      <w:lvlJc w:val="left"/>
      <w:lvlText w:val="(%1)"/>
      <w:numFmt w:val="lowerLetter"/>
      <w:start w:val="2"/>
    </w:lvl>
    <w:lvl w:ilvl="1">
      <w:lvlJc w:val="left"/>
      <w:lvlText w:val="(%2)"/>
      <w:numFmt w:val="lowerRoman"/>
      <w:start w:val="1"/>
    </w:lvl>
  </w:abstractNum>
  <w:abstractNum w:abstractNumId="397">
    <w:nsid w:val="7BDD6690"/>
    <w:multiLevelType w:val="hybridMultilevel"/>
    <w:lvl w:ilvl="0">
      <w:lvlJc w:val="left"/>
      <w:lvlText w:val="%1."/>
      <w:numFmt w:val="decimal"/>
      <w:start w:val="2"/>
    </w:lvl>
    <w:lvl w:ilvl="1">
      <w:lvlJc w:val="left"/>
      <w:lvlText w:val="(%2)"/>
      <w:numFmt w:val="lowerLetter"/>
      <w:start w:val="1"/>
    </w:lvl>
  </w:abstractNum>
  <w:abstractNum w:abstractNumId="398">
    <w:nsid w:val="DFB5C5B"/>
    <w:multiLevelType w:val="hybridMultilevel"/>
    <w:lvl w:ilvl="0">
      <w:lvlJc w:val="left"/>
      <w:lvlText w:val="(%1)"/>
      <w:numFmt w:val="decimal"/>
      <w:start w:val="5"/>
    </w:lvl>
  </w:abstractNum>
  <w:abstractNum w:abstractNumId="399">
    <w:nsid w:val="6F3E5490"/>
    <w:multiLevelType w:val="hybridMultilevel"/>
    <w:lvl w:ilvl="0">
      <w:lvlJc w:val="left"/>
      <w:lvlText w:val="(%1)"/>
      <w:numFmt w:val="lowerRoman"/>
      <w:start w:val="1"/>
    </w:lvl>
  </w:abstractNum>
  <w:abstractNum w:abstractNumId="400">
    <w:nsid w:val="1464BE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01">
    <w:nsid w:val="66BBB7E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02">
    <w:nsid w:val="28168302"/>
    <w:multiLevelType w:val="hybridMultilevel"/>
    <w:lvl w:ilvl="0">
      <w:lvlJc w:val="left"/>
      <w:lvlText w:val="%1."/>
      <w:numFmt w:val="decimal"/>
      <w:start w:val="5"/>
    </w:lvl>
    <w:lvl w:ilvl="1">
      <w:lvlJc w:val="left"/>
      <w:lvlText w:val="(%2)"/>
      <w:numFmt w:val="lowerLetter"/>
      <w:start w:val="1"/>
    </w:lvl>
  </w:abstractNum>
  <w:abstractNum w:abstractNumId="403">
    <w:nsid w:val="32A5C7A8"/>
    <w:multiLevelType w:val="hybridMultilevel"/>
    <w:lvl w:ilvl="0">
      <w:lvlJc w:val="left"/>
      <w:lvlText w:val="(%1)"/>
      <w:numFmt w:val="lowerLetter"/>
      <w:start w:val="2"/>
    </w:lvl>
  </w:abstractNum>
  <w:abstractNum w:abstractNumId="404">
    <w:nsid w:val="3A541011"/>
    <w:multiLevelType w:val="hybridMultilevel"/>
    <w:lvl w:ilvl="0">
      <w:lvlJc w:val="left"/>
      <w:lvlText w:val="(%1)"/>
      <w:numFmt w:val="lowerLetter"/>
      <w:start w:val="3"/>
    </w:lvl>
  </w:abstractNum>
  <w:abstractNum w:abstractNumId="405">
    <w:nsid w:val="4423C777"/>
    <w:multiLevelType w:val="hybridMultilevel"/>
    <w:lvl w:ilvl="0">
      <w:lvlJc w:val="left"/>
      <w:lvlText w:val="(%1)"/>
      <w:numFmt w:val="decimal"/>
      <w:start w:val="1"/>
    </w:lvl>
  </w:abstractNum>
  <w:abstractNum w:abstractNumId="406">
    <w:nsid w:val="5F5C6E4D"/>
    <w:multiLevelType w:val="hybridMultilevel"/>
    <w:lvl w:ilvl="0">
      <w:lvlJc w:val="left"/>
      <w:lvlText w:val="(%1)"/>
      <w:numFmt w:val="lowerLetter"/>
      <w:start w:val="4"/>
    </w:lvl>
    <w:lvl w:ilvl="1">
      <w:lvlJc w:val="left"/>
      <w:lvlText w:val="(%2)"/>
      <w:numFmt w:val="decimal"/>
      <w:start w:val="1"/>
    </w:lvl>
  </w:abstractNum>
  <w:abstractNum w:abstractNumId="407">
    <w:nsid w:val="7C2A56CD"/>
    <w:multiLevelType w:val="hybridMultilevel"/>
    <w:lvl w:ilvl="0">
      <w:lvlJc w:val="left"/>
      <w:lvlText w:val="(%1)"/>
      <w:numFmt w:val="decimal"/>
      <w:start w:val="5"/>
    </w:lvl>
  </w:abstractNum>
  <w:abstractNum w:abstractNumId="408">
    <w:nsid w:val="7AB86EE1"/>
    <w:multiLevelType w:val="hybridMultilevel"/>
    <w:lvl w:ilvl="0">
      <w:lvlJc w:val="left"/>
      <w:lvlText w:val="(%1)"/>
      <w:numFmt w:val="decimal"/>
      <w:start w:val="18"/>
    </w:lvl>
  </w:abstractNum>
  <w:abstractNum w:abstractNumId="409">
    <w:nsid w:val="B54E53B"/>
    <w:multiLevelType w:val="hybridMultilevel"/>
    <w:lvl w:ilvl="0">
      <w:lvlJc w:val="left"/>
      <w:lvlText w:val="(%1)"/>
      <w:numFmt w:val="lowerLetter"/>
      <w:start w:val="5"/>
    </w:lvl>
  </w:abstractNum>
  <w:abstractNum w:abstractNumId="410">
    <w:nsid w:val="2A00487"/>
    <w:multiLevelType w:val="hybridMultilevel"/>
    <w:lvl w:ilvl="0">
      <w:lvlJc w:val="left"/>
      <w:lvlText w:val="(%1)"/>
      <w:numFmt w:val="decimal"/>
      <w:start w:val="30"/>
    </w:lvl>
  </w:abstractNum>
  <w:abstractNum w:abstractNumId="411">
    <w:nsid w:val="6CB1B60"/>
    <w:multiLevelType w:val="hybridMultilevel"/>
    <w:lvl w:ilvl="0">
      <w:lvlJc w:val="left"/>
      <w:lvlText w:val="%1."/>
      <w:numFmt w:val="decimal"/>
      <w:start w:val="6"/>
    </w:lvl>
    <w:lvl w:ilvl="1">
      <w:lvlJc w:val="left"/>
      <w:lvlText w:val="(%2)"/>
      <w:numFmt w:val="lowerLetter"/>
      <w:start w:val="1"/>
    </w:lvl>
  </w:abstractNum>
  <w:abstractNum w:abstractNumId="412">
    <w:nsid w:val="72EDD574"/>
    <w:multiLevelType w:val="hybridMultilevel"/>
    <w:lvl w:ilvl="0">
      <w:lvlJc w:val="left"/>
      <w:lvlText w:val="%1"/>
      <w:numFmt w:val="decimal"/>
      <w:start w:val="1"/>
    </w:lvl>
    <w:lvl w:ilvl="1">
      <w:lvlJc w:val="left"/>
      <w:lvlText w:val="(%2)"/>
      <w:numFmt w:val="lowerLetter"/>
      <w:start w:val="2"/>
    </w:lvl>
  </w:abstractNum>
  <w:abstractNum w:abstractNumId="413">
    <w:nsid w:val="7323808A"/>
    <w:multiLevelType w:val="hybridMultilevel"/>
    <w:lvl w:ilvl="0">
      <w:lvlJc w:val="left"/>
      <w:lvlText w:val="(%1)"/>
      <w:numFmt w:val="decimal"/>
      <w:start w:val="10"/>
    </w:lvl>
    <w:lvl w:ilvl="1">
      <w:lvlJc w:val="left"/>
      <w:lvlText w:val="%2"/>
      <w:numFmt w:val="lowerLetter"/>
      <w:start w:val="1"/>
    </w:lvl>
  </w:abstractNum>
  <w:abstractNum w:abstractNumId="414">
    <w:nsid w:val="5157276"/>
    <w:multiLevelType w:val="hybridMultilevel"/>
    <w:lvl w:ilvl="0">
      <w:lvlJc w:val="left"/>
      <w:lvlText w:val="%1."/>
      <w:numFmt w:val="decimal"/>
      <w:start w:val="7"/>
    </w:lvl>
    <w:lvl w:ilvl="1">
      <w:lvlJc w:val="left"/>
      <w:lvlText w:val="(%2)"/>
      <w:numFmt w:val="lowerLetter"/>
      <w:start w:val="1"/>
    </w:lvl>
  </w:abstractNum>
  <w:abstractNum w:abstractNumId="415">
    <w:nsid w:val="35A681DB"/>
    <w:multiLevelType w:val="hybridMultilevel"/>
    <w:lvl w:ilvl="0">
      <w:lvlJc w:val="left"/>
      <w:lvlText w:val="%1"/>
      <w:numFmt w:val="decimal"/>
      <w:start w:val="1"/>
    </w:lvl>
    <w:lvl w:ilvl="1">
      <w:lvlJc w:val="left"/>
      <w:lvlText w:val="(%2)"/>
      <w:numFmt w:val="lowerLetter"/>
      <w:start w:val="2"/>
    </w:lvl>
  </w:abstractNum>
  <w:abstractNum w:abstractNumId="416">
    <w:nsid w:val="1786C974"/>
    <w:multiLevelType w:val="hybridMultilevel"/>
    <w:lvl w:ilvl="0">
      <w:lvlJc w:val="left"/>
      <w:lvlText w:val="%1."/>
      <w:numFmt w:val="decimal"/>
      <w:start w:val="8"/>
    </w:lvl>
    <w:lvl w:ilvl="1">
      <w:lvlJc w:val="left"/>
      <w:lvlText w:val="(%2)"/>
      <w:numFmt w:val="lowerLetter"/>
      <w:start w:val="1"/>
    </w:lvl>
  </w:abstractNum>
  <w:abstractNum w:abstractNumId="417">
    <w:nsid w:val="1C2427A1"/>
    <w:multiLevelType w:val="hybridMultilevel"/>
    <w:lvl w:ilvl="0">
      <w:lvlJc w:val="left"/>
      <w:lvlText w:val="(%1)"/>
      <w:numFmt w:val="lowerLetter"/>
      <w:start w:val="3"/>
    </w:lvl>
  </w:abstractNum>
  <w:abstractNum w:abstractNumId="418">
    <w:nsid w:val="63A24D68"/>
    <w:multiLevelType w:val="hybridMultilevel"/>
    <w:lvl w:ilvl="0">
      <w:lvlJc w:val="left"/>
      <w:lvlText w:val="%1"/>
      <w:numFmt w:val="decimal"/>
      <w:start w:val="1"/>
    </w:lvl>
    <w:lvl w:ilvl="1">
      <w:lvlJc w:val="left"/>
      <w:lvlText w:val="(%2)"/>
      <w:numFmt w:val="lowerLetter"/>
      <w:start w:val="4"/>
    </w:lvl>
  </w:abstractNum>
  <w:abstractNum w:abstractNumId="419">
    <w:nsid w:val="4FB7A02A"/>
    <w:multiLevelType w:val="hybridMultilevel"/>
    <w:lvl w:ilvl="0">
      <w:lvlJc w:val="left"/>
      <w:lvlText w:val="%1."/>
      <w:numFmt w:val="decimal"/>
      <w:start w:val="10"/>
    </w:lvl>
    <w:lvl w:ilvl="1">
      <w:lvlJc w:val="left"/>
      <w:lvlText w:val="%2"/>
      <w:numFmt w:val="lowerLetter"/>
      <w:start w:val="1"/>
    </w:lvl>
  </w:abstractNum>
  <w:abstractNum w:abstractNumId="420">
    <w:nsid w:val="96CF72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21">
    <w:nsid w:val="3B121183"/>
    <w:multiLevelType w:val="hybridMultilevel"/>
    <w:lvl w:ilvl="0">
      <w:lvlJc w:val="left"/>
      <w:lvlText w:val="%1"/>
      <w:numFmt w:val="lowerLetter"/>
      <w:start w:val="1"/>
    </w:lvl>
    <w:lvl w:ilvl="1">
      <w:lvlJc w:val="left"/>
      <w:lvlText w:val="(%2)"/>
      <w:numFmt w:val="lowerRoman"/>
      <w:start w:val="5"/>
    </w:lvl>
  </w:abstractNum>
  <w:abstractNum w:abstractNumId="422">
    <w:nsid w:val="3459648F"/>
    <w:multiLevelType w:val="hybridMultilevel"/>
    <w:lvl w:ilvl="0">
      <w:lvlJc w:val="left"/>
      <w:lvlText w:val="(%1)"/>
      <w:numFmt w:val="lowerLetter"/>
      <w:start w:val="2"/>
    </w:lvl>
    <w:lvl w:ilvl="1">
      <w:lvlJc w:val="left"/>
      <w:lvlText w:val="%2"/>
      <w:numFmt w:val="lowerRoman"/>
      <w:start w:val="1"/>
    </w:lvl>
  </w:abstractNum>
  <w:abstractNum w:abstractNumId="423">
    <w:nsid w:val="3ADF331D"/>
    <w:multiLevelType w:val="hybridMultilevel"/>
    <w:lvl w:ilvl="0">
      <w:lvlJc w:val="left"/>
      <w:lvlText w:val="(%1)"/>
      <w:numFmt w:val="decimal"/>
      <w:start w:val="10"/>
    </w:lvl>
    <w:lvl w:ilvl="1">
      <w:lvlJc w:val="left"/>
      <w:lvlText w:val="(%2)"/>
      <w:numFmt w:val="lowerLetter"/>
      <w:start w:val="3"/>
    </w:lvl>
  </w:abstractNum>
  <w:abstractNum w:abstractNumId="424">
    <w:nsid w:val="4D08A9E4"/>
    <w:multiLevelType w:val="hybridMultilevel"/>
    <w:lvl w:ilvl="0">
      <w:lvlJc w:val="left"/>
      <w:lvlText w:val="%1"/>
      <w:numFmt w:val="decimal"/>
      <w:start w:val="1"/>
    </w:lvl>
    <w:lvl w:ilvl="1">
      <w:lvlJc w:val="left"/>
      <w:lvlText w:val="(%2)"/>
      <w:numFmt w:val="lowerLetter"/>
      <w:start w:val="6"/>
    </w:lvl>
  </w:abstractNum>
  <w:abstractNum w:abstractNumId="425">
    <w:nsid w:val="6AF2BB3A"/>
    <w:multiLevelType w:val="hybridMultilevel"/>
    <w:lvl w:ilvl="0">
      <w:lvlJc w:val="left"/>
      <w:lvlText w:val="%1."/>
      <w:numFmt w:val="decimal"/>
      <w:start w:val="12"/>
    </w:lvl>
    <w:lvl w:ilvl="1">
      <w:lvlJc w:val="left"/>
      <w:lvlText w:val="(%2)"/>
      <w:numFmt w:val="lowerLetter"/>
      <w:start w:val="1"/>
    </w:lvl>
  </w:abstractNum>
  <w:abstractNum w:abstractNumId="426">
    <w:nsid w:val="481B1739"/>
    <w:multiLevelType w:val="hybridMultilevel"/>
    <w:lvl w:ilvl="0">
      <w:lvlJc w:val="left"/>
      <w:lvlText w:val="%1"/>
      <w:numFmt w:val="decimal"/>
      <w:start w:val="1"/>
    </w:lvl>
    <w:lvl w:ilvl="1">
      <w:lvlJc w:val="left"/>
      <w:lvlText w:val="(%2)"/>
      <w:numFmt w:val="lowerLetter"/>
      <w:start w:val="3"/>
    </w:lvl>
  </w:abstractNum>
  <w:abstractNum w:abstractNumId="427">
    <w:nsid w:val="19E2BFCC"/>
    <w:multiLevelType w:val="hybridMultilevel"/>
    <w:lvl w:ilvl="0">
      <w:lvlJc w:val="left"/>
      <w:lvlText w:val="%1."/>
      <w:numFmt w:val="decimal"/>
      <w:start w:val="13"/>
    </w:lvl>
    <w:lvl w:ilvl="1">
      <w:lvlJc w:val="left"/>
      <w:lvlText w:val="(%2)"/>
      <w:numFmt w:val="lowerLetter"/>
      <w:start w:val="1"/>
    </w:lvl>
  </w:abstractNum>
  <w:abstractNum w:abstractNumId="428">
    <w:nsid w:val="66D021CA"/>
    <w:multiLevelType w:val="hybridMultilevel"/>
    <w:lvl w:ilvl="0">
      <w:lvlJc w:val="left"/>
      <w:lvlText w:val="%1"/>
      <w:numFmt w:val="decimal"/>
      <w:start w:val="1"/>
    </w:lvl>
    <w:lvl w:ilvl="1">
      <w:lvlJc w:val="left"/>
      <w:lvlText w:val="(%2)"/>
      <w:numFmt w:val="lowerLetter"/>
      <w:start w:val="2"/>
    </w:lvl>
  </w:abstractNum>
  <w:abstractNum w:abstractNumId="429">
    <w:nsid w:val="56167394"/>
    <w:multiLevelType w:val="hybridMultilevel"/>
    <w:lvl w:ilvl="0">
      <w:lvlJc w:val="left"/>
      <w:lvlText w:val="%1."/>
      <w:numFmt w:val="decimal"/>
      <w:start w:val="14"/>
    </w:lvl>
    <w:lvl w:ilvl="1">
      <w:lvlJc w:val="left"/>
      <w:lvlText w:val="(%2)"/>
      <w:numFmt w:val="lowerLetter"/>
      <w:start w:val="1"/>
    </w:lvl>
  </w:abstractNum>
  <w:abstractNum w:abstractNumId="430">
    <w:nsid w:val="921145C"/>
    <w:multiLevelType w:val="hybridMultilevel"/>
    <w:lvl w:ilvl="0">
      <w:lvlJc w:val="left"/>
      <w:lvlText w:val="(%1)"/>
      <w:numFmt w:val="lowerLetter"/>
      <w:start w:val="3"/>
    </w:lvl>
  </w:abstractNum>
  <w:abstractNum w:abstractNumId="431">
    <w:nsid w:val="7B34DFE8"/>
    <w:multiLevelType w:val="hybridMultilevel"/>
    <w:lvl w:ilvl="0">
      <w:lvlJc w:val="left"/>
      <w:lvlText w:val="(%1)"/>
      <w:numFmt w:val="lowerLetter"/>
      <w:start w:val="5"/>
    </w:lvl>
  </w:abstractNum>
  <w:abstractNum w:abstractNumId="432">
    <w:nsid w:val="3CD22B79"/>
    <w:multiLevelType w:val="hybridMultilevel"/>
    <w:lvl w:ilvl="0">
      <w:lvlJc w:val="left"/>
      <w:lvlText w:val="(%1)"/>
      <w:numFmt w:val="lowerLetter"/>
      <w:start w:val="6"/>
    </w:lvl>
  </w:abstractNum>
  <w:abstractNum w:abstractNumId="433">
    <w:nsid w:val="3137975E"/>
    <w:multiLevelType w:val="hybridMultilevel"/>
    <w:lvl w:ilvl="0">
      <w:lvlJc w:val="left"/>
      <w:lvlText w:val="(%1)"/>
      <w:numFmt w:val="lowerLetter"/>
      <w:start w:val="9"/>
    </w:lvl>
  </w:abstractNum>
  <w:abstractNum w:abstractNumId="434">
    <w:nsid w:val="2DDAA791"/>
    <w:multiLevelType w:val="hybridMultilevel"/>
    <w:lvl w:ilvl="0">
      <w:lvlJc w:val="left"/>
      <w:lvlText w:val="☐"/>
      <w:numFmt w:val="bullet"/>
      <w:start w:val="1"/>
    </w:lvl>
    <w:lvl w:ilvl="1">
      <w:lvlJc w:val="left"/>
      <w:lvlText w:val="(%2)"/>
      <w:numFmt w:val="lowerLetter"/>
      <w:start w:val="11"/>
    </w:lvl>
  </w:abstractNum>
  <w:abstractNum w:abstractNumId="435">
    <w:nsid w:val="77263B8A"/>
    <w:multiLevelType w:val="hybridMultilevel"/>
    <w:lvl w:ilvl="0">
      <w:lvlJc w:val="left"/>
      <w:lvlText w:val="☒"/>
      <w:numFmt w:val="bullet"/>
      <w:start w:val="1"/>
    </w:lvl>
  </w:abstractNum>
  <w:abstractNum w:abstractNumId="436">
    <w:nsid w:val="755B5ED6"/>
    <w:multiLevelType w:val="hybridMultilevel"/>
    <w:lvl w:ilvl="0">
      <w:lvlJc w:val="left"/>
      <w:lvlText w:val="☐"/>
      <w:numFmt w:val="bullet"/>
      <w:start w:val="1"/>
    </w:lvl>
  </w:abstractNum>
  <w:abstractNum w:abstractNumId="437">
    <w:nsid w:val="D3715DE"/>
    <w:multiLevelType w:val="hybridMultilevel"/>
    <w:lvl w:ilvl="0">
      <w:lvlJc w:val="left"/>
      <w:lvlText w:val="(%1)"/>
      <w:numFmt w:val="lowerLetter"/>
      <w:start w:val="12"/>
    </w:lvl>
  </w:abstractNum>
  <w:abstractNum w:abstractNumId="438">
    <w:nsid w:val="73509257"/>
    <w:multiLevelType w:val="hybridMultilevel"/>
    <w:lvl w:ilvl="0">
      <w:lvlJc w:val="left"/>
      <w:lvlText w:val="%1."/>
      <w:numFmt w:val="decimal"/>
      <w:start w:val="15"/>
    </w:lvl>
    <w:lvl w:ilvl="1">
      <w:lvlJc w:val="left"/>
      <w:lvlText w:val="(%2)"/>
      <w:numFmt w:val="lowerLetter"/>
      <w:start w:val="1"/>
    </w:lvl>
  </w:abstractNum>
  <w:abstractNum w:abstractNumId="439">
    <w:nsid w:val="7013CDB7"/>
    <w:multiLevelType w:val="hybridMultilevel"/>
    <w:lvl w:ilvl="0">
      <w:lvlJc w:val="left"/>
      <w:lvlText w:val="%1."/>
      <w:numFmt w:val="decimal"/>
      <w:start w:val="16"/>
    </w:lvl>
    <w:lvl w:ilvl="1">
      <w:lvlJc w:val="left"/>
      <w:lvlText w:val="(%2)"/>
      <w:numFmt w:val="lowerLetter"/>
      <w:start w:val="1"/>
    </w:lvl>
  </w:abstractNum>
  <w:abstractNum w:abstractNumId="440">
    <w:nsid w:val="188BFB19"/>
    <w:multiLevelType w:val="hybridMultilevel"/>
    <w:lvl w:ilvl="0">
      <w:lvlJc w:val="left"/>
      <w:lvlText w:val="%1"/>
      <w:numFmt w:val="lowerLetter"/>
      <w:start w:val="1"/>
    </w:lvl>
    <w:lvl w:ilvl="1">
      <w:lvlJc w:val="left"/>
      <w:lvlText w:val="(%2)"/>
      <w:numFmt w:val="decimal"/>
      <w:start w:val="1"/>
    </w:lvl>
  </w:abstractNum>
  <w:abstractNum w:abstractNumId="441">
    <w:nsid w:val="75F096DF"/>
    <w:multiLevelType w:val="hybridMultilevel"/>
    <w:lvl w:ilvl="0">
      <w:lvlJc w:val="left"/>
      <w:lvlText w:val="(%1)"/>
      <w:numFmt w:val="lowerLetter"/>
      <w:start w:val="3"/>
    </w:lvl>
    <w:lvl w:ilvl="1">
      <w:lvlJc w:val="left"/>
      <w:lvlText w:val="%2"/>
      <w:numFmt w:val="decimal"/>
      <w:start w:val="1"/>
    </w:lvl>
  </w:abstractNum>
  <w:abstractNum w:abstractNumId="442">
    <w:nsid w:val="76DEE918"/>
    <w:multiLevelType w:val="hybridMultilevel"/>
    <w:lvl w:ilvl="0">
      <w:lvlJc w:val="left"/>
      <w:lvlText w:val="(%1)"/>
      <w:numFmt w:val="lowerLetter"/>
      <w:start w:val="4"/>
    </w:lvl>
  </w:abstractNum>
  <w:abstractNum w:abstractNumId="443">
    <w:nsid w:val="B79D08D"/>
    <w:multiLevelType w:val="hybridMultilevel"/>
    <w:lvl w:ilvl="0">
      <w:lvlJc w:val="left"/>
      <w:lvlText w:val="%1"/>
      <w:numFmt w:val="decimal"/>
      <w:start w:val="1"/>
    </w:lvl>
    <w:lvl w:ilvl="1">
      <w:lvlJc w:val="left"/>
      <w:lvlText w:val="(%2)"/>
      <w:numFmt w:val="lowerLetter"/>
      <w:start w:val="9"/>
    </w:lvl>
  </w:abstractNum>
  <w:abstractNum w:abstractNumId="444">
    <w:nsid w:val="69141769"/>
    <w:multiLevelType w:val="hybridMultilevel"/>
    <w:lvl w:ilvl="0">
      <w:lvlJc w:val="left"/>
      <w:lvlText w:val="%1."/>
      <w:numFmt w:val="decimal"/>
      <w:start w:val="18"/>
    </w:lvl>
    <w:lvl w:ilvl="1">
      <w:lvlJc w:val="left"/>
      <w:lvlText w:val="(%2)"/>
      <w:numFmt w:val="lowerLetter"/>
      <w:start w:val="1"/>
    </w:lvl>
  </w:abstractNum>
  <w:abstractNum w:abstractNumId="445">
    <w:nsid w:val="7BF45B8E"/>
    <w:multiLevelType w:val="hybridMultilevel"/>
    <w:lvl w:ilvl="0">
      <w:lvlJc w:val="left"/>
      <w:lvlText w:val="%1."/>
      <w:numFmt w:val="decimal"/>
      <w:start w:val="19"/>
    </w:lvl>
    <w:lvl w:ilvl="1">
      <w:lvlJc w:val="left"/>
      <w:lvlText w:val="(%2)"/>
      <w:numFmt w:val="lowerLetter"/>
      <w:start w:val="1"/>
    </w:lvl>
  </w:abstractNum>
  <w:abstractNum w:abstractNumId="446">
    <w:nsid w:val="41205269"/>
    <w:multiLevelType w:val="hybridMultilevel"/>
    <w:lvl w:ilvl="0">
      <w:lvlJc w:val="left"/>
      <w:lvlText w:val="%1"/>
      <w:numFmt w:val="lowerLetter"/>
      <w:start w:val="1"/>
    </w:lvl>
    <w:lvl w:ilvl="1">
      <w:lvlJc w:val="left"/>
      <w:lvlText w:val="(%2)"/>
      <w:numFmt w:val="lowerLetter"/>
      <w:start w:val="4"/>
    </w:lvl>
  </w:abstractNum>
  <w:abstractNum w:abstractNumId="447">
    <w:nsid w:val="9AE0DD"/>
    <w:multiLevelType w:val="hybridMultilevel"/>
    <w:lvl w:ilvl="0">
      <w:lvlJc w:val="left"/>
      <w:lvlText w:val="(%1)"/>
      <w:numFmt w:val="lowerLetter"/>
      <w:start w:val="2"/>
    </w:lvl>
    <w:lvl w:ilvl="1">
      <w:lvlJc w:val="left"/>
      <w:lvlText w:val="(%2)"/>
      <w:numFmt w:val="lowerLetter"/>
      <w:start w:val="8"/>
    </w:lvl>
  </w:abstractNum>
  <w:abstractNum w:abstractNumId="448">
    <w:nsid w:val="1818832F"/>
    <w:multiLevelType w:val="hybridMultilevel"/>
    <w:lvl w:ilvl="0">
      <w:lvlJc w:val="left"/>
      <w:lvlText w:val="%1."/>
      <w:numFmt w:val="decimal"/>
      <w:start w:val="21"/>
    </w:lvl>
    <w:lvl w:ilvl="1">
      <w:lvlJc w:val="left"/>
      <w:lvlText w:val="(%2)"/>
      <w:numFmt w:val="lowerLetter"/>
      <w:start w:val="1"/>
    </w:lvl>
  </w:abstractNum>
  <w:abstractNum w:abstractNumId="449">
    <w:nsid w:val="24C29FD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50">
    <w:nsid w:val="50528108"/>
    <w:multiLevelType w:val="hybridMultilevel"/>
    <w:lvl w:ilvl="0">
      <w:lvlJc w:val="left"/>
      <w:lvlText w:val="(%1)"/>
      <w:numFmt w:val="decimal"/>
      <w:start w:val="30"/>
    </w:lvl>
    <w:lvl w:ilvl="1">
      <w:lvlJc w:val="left"/>
      <w:lvlText w:val="%2"/>
      <w:numFmt w:val="lowerLetter"/>
      <w:start w:val="1"/>
    </w:lvl>
    <w:lvl w:ilvl="2">
      <w:lvlJc w:val="left"/>
      <w:lvlText w:val="%3"/>
      <w:numFmt w:val="decimal"/>
      <w:start w:val="1"/>
    </w:lvl>
  </w:abstractNum>
  <w:abstractNum w:abstractNumId="451">
    <w:nsid w:val="21857A57"/>
    <w:multiLevelType w:val="hybridMultilevel"/>
    <w:lvl w:ilvl="0">
      <w:lvlJc w:val="left"/>
      <w:lvlText w:val="%1"/>
      <w:numFmt w:val="decimal"/>
      <w:start w:val="1"/>
    </w:lvl>
    <w:lvl w:ilvl="1">
      <w:lvlJc w:val="left"/>
      <w:lvlText w:val="(%2)"/>
      <w:numFmt w:val="lowerLetter"/>
      <w:start w:val="4"/>
    </w:lvl>
  </w:abstractNum>
  <w:abstractNum w:abstractNumId="452">
    <w:nsid w:val="5FD4B154"/>
    <w:multiLevelType w:val="hybridMultilevel"/>
    <w:lvl w:ilvl="0">
      <w:lvlJc w:val="left"/>
      <w:lvlText w:val="%1."/>
      <w:numFmt w:val="decimal"/>
      <w:start w:val="23"/>
    </w:lvl>
    <w:lvl w:ilvl="1">
      <w:lvlJc w:val="left"/>
      <w:lvlText w:val="%2"/>
      <w:numFmt w:val="lowerLetter"/>
      <w:start w:val="1"/>
    </w:lvl>
  </w:abstractNum>
  <w:abstractNum w:abstractNumId="453">
    <w:nsid w:val="4ABE597"/>
    <w:multiLevelType w:val="hybridMultilevel"/>
    <w:lvl w:ilvl="0">
      <w:lvlJc w:val="left"/>
      <w:lvlText w:val="%1."/>
      <w:numFmt w:val="decimal"/>
      <w:start w:val="25"/>
    </w:lvl>
  </w:abstractNum>
  <w:abstractNum w:abstractNumId="454">
    <w:nsid w:val="5C64AD75"/>
    <w:multiLevelType w:val="hybridMultilevel"/>
    <w:lvl w:ilvl="0">
      <w:lvlJc w:val="left"/>
      <w:lvlText w:val="%1."/>
      <w:numFmt w:val="decimal"/>
      <w:start w:val="27"/>
    </w:lvl>
    <w:lvl w:ilvl="1">
      <w:lvlJc w:val="left"/>
      <w:lvlText w:val="(%2)"/>
      <w:numFmt w:val="lowerLetter"/>
      <w:start w:val="1"/>
    </w:lvl>
  </w:abstractNum>
  <w:abstractNum w:abstractNumId="455">
    <w:nsid w:val="2CDD5B39"/>
    <w:multiLevelType w:val="hybridMultilevel"/>
    <w:lvl w:ilvl="0">
      <w:lvlJc w:val="left"/>
      <w:lvlText w:val="%1."/>
      <w:numFmt w:val="decimal"/>
      <w:start w:val="30"/>
    </w:lvl>
  </w:abstractNum>
  <w:abstractNum w:abstractNumId="456">
    <w:nsid w:val="6F9EA0D1"/>
    <w:multiLevelType w:val="hybridMultilevel"/>
    <w:lvl w:ilvl="0">
      <w:lvlJc w:val="left"/>
      <w:lvlText w:val="%1."/>
      <w:numFmt w:val="decimal"/>
      <w:start w:val="35"/>
    </w:lvl>
  </w:abstractNum>
  <w:abstractNum w:abstractNumId="457">
    <w:nsid w:val="247FC4AE"/>
    <w:multiLevelType w:val="hybridMultilevel"/>
    <w:lvl w:ilvl="0">
      <w:lvlJc w:val="left"/>
      <w:lvlText w:val="%1."/>
      <w:numFmt w:val="decimal"/>
      <w:start w:val="39"/>
    </w:lvl>
    <w:lvl w:ilvl="1">
      <w:lvlJc w:val="left"/>
      <w:lvlText w:val="(%2)"/>
      <w:numFmt w:val="lowerLetter"/>
      <w:start w:val="2"/>
    </w:lvl>
  </w:abstractNum>
  <w:abstractNum w:abstractNumId="458">
    <w:nsid w:val="46C01B05"/>
    <w:multiLevelType w:val="hybridMultilevel"/>
    <w:lvl w:ilvl="0">
      <w:lvlJc w:val="left"/>
      <w:lvlText w:val="(%1)"/>
      <w:numFmt w:val="lowerLetter"/>
      <w:start w:val="5"/>
    </w:lvl>
  </w:abstractNum>
  <w:abstractNum w:abstractNumId="459">
    <w:nsid w:val="566EC29B"/>
    <w:multiLevelType w:val="hybridMultilevel"/>
    <w:lvl w:ilvl="0">
      <w:lvlJc w:val="left"/>
      <w:lvlText w:val="%1"/>
      <w:numFmt w:val="decimal"/>
      <w:start w:val="1"/>
    </w:lvl>
    <w:lvl w:ilvl="1">
      <w:lvlJc w:val="left"/>
      <w:lvlText w:val="(%2)"/>
      <w:numFmt w:val="lowerLetter"/>
      <w:start w:val="12"/>
    </w:lvl>
  </w:abstractNum>
  <w:abstractNum w:abstractNumId="460">
    <w:nsid w:val="7A963843"/>
    <w:multiLevelType w:val="hybridMultilevel"/>
    <w:lvl w:ilvl="0">
      <w:lvlJc w:val="left"/>
      <w:lvlText w:val="%1."/>
      <w:numFmt w:val="decimal"/>
      <w:start w:val="41"/>
    </w:lvl>
    <w:lvl w:ilvl="1">
      <w:lvlJc w:val="left"/>
      <w:lvlText w:val="(%2)"/>
      <w:numFmt w:val="lowerLetter"/>
      <w:start w:val="1"/>
    </w:lvl>
  </w:abstractNum>
  <w:abstractNum w:abstractNumId="461">
    <w:nsid w:val="4FE12F61"/>
    <w:multiLevelType w:val="hybridMultilevel"/>
    <w:lvl w:ilvl="0">
      <w:lvlJc w:val="left"/>
      <w:lvlText w:val="(%1)"/>
      <w:numFmt w:val="lowerLetter"/>
      <w:start w:val="2"/>
    </w:lvl>
  </w:abstractNum>
  <w:abstractNum w:abstractNumId="462">
    <w:nsid w:val="51A3A284"/>
    <w:multiLevelType w:val="hybridMultilevel"/>
    <w:lvl w:ilvl="0">
      <w:lvlJc w:val="left"/>
      <w:lvlText w:val="(%1)"/>
      <w:numFmt w:val="lowerLetter"/>
      <w:start w:val="3"/>
    </w:lvl>
  </w:abstractNum>
  <w:abstractNum w:abstractNumId="463">
    <w:nsid w:val="376863BC"/>
    <w:multiLevelType w:val="hybridMultilevel"/>
    <w:lvl w:ilvl="0">
      <w:lvlJc w:val="left"/>
      <w:lvlText w:val="•"/>
      <w:numFmt w:val="bullet"/>
      <w:start w:val="1"/>
    </w:lvl>
  </w:abstractNum>
  <w:abstractNum w:abstractNumId="464">
    <w:nsid w:val="118C6C0"/>
    <w:multiLevelType w:val="hybridMultilevel"/>
    <w:lvl w:ilvl="0">
      <w:lvlJc w:val="left"/>
      <w:lvlText w:val="%1."/>
      <w:numFmt w:val="decimal"/>
      <w:start w:val="1"/>
    </w:lvl>
    <w:lvl w:ilvl="1">
      <w:lvlJc w:val="left"/>
      <w:lvlText w:val="%2."/>
      <w:numFmt w:val="lowerLetter"/>
      <w:start w:val="1"/>
    </w:lvl>
  </w:abstractNum>
  <w:abstractNum w:abstractNumId="465">
    <w:nsid w:val="7F7E4A1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66">
    <w:nsid w:val="2E8E9F47"/>
    <w:multiLevelType w:val="hybridMultilevel"/>
    <w:lvl w:ilvl="0">
      <w:lvlJc w:val="left"/>
      <w:lvlText w:val="(%1)"/>
      <w:numFmt w:val="decimal"/>
      <w:start w:val="7"/>
    </w:lvl>
    <w:lvl w:ilvl="1">
      <w:lvlJc w:val="left"/>
      <w:lvlText w:val="%2."/>
      <w:numFmt w:val="decimal"/>
      <w:start w:val="4"/>
    </w:lvl>
    <w:lvl w:ilvl="2">
      <w:lvlJc w:val="left"/>
      <w:lvlText w:val="%3"/>
      <w:numFmt w:val="lowerLetter"/>
      <w:start w:val="1"/>
    </w:lvl>
  </w:abstractNum>
  <w:abstractNum w:abstractNumId="467">
    <w:nsid w:val="76742596"/>
    <w:multiLevelType w:val="hybridMultilevel"/>
    <w:lvl w:ilvl="0">
      <w:lvlJc w:val="left"/>
      <w:lvlText w:val="(%1)"/>
      <w:numFmt w:val="decimal"/>
      <w:start w:val="1"/>
    </w:lvl>
    <w:lvl w:ilvl="1">
      <w:lvlJc w:val="left"/>
      <w:lvlText w:val="%2."/>
      <w:numFmt w:val="decimal"/>
      <w:start w:val="4"/>
    </w:lvl>
    <w:lvl w:ilvl="2">
      <w:lvlJc w:val="left"/>
      <w:lvlText w:val="%3."/>
      <w:numFmt w:val="lowerLetter"/>
      <w:start w:val="3"/>
    </w:lvl>
  </w:abstractNum>
  <w:abstractNum w:abstractNumId="468">
    <w:nsid w:val="CB55F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9">
    <w:nsid w:val="21DF319E"/>
    <w:multiLevelType w:val="hybridMultilevel"/>
    <w:lvl w:ilvl="0">
      <w:lvlJc w:val="left"/>
      <w:lvlText w:val="%1"/>
      <w:numFmt w:val="lowerRoman"/>
      <w:start w:val="1"/>
    </w:lvl>
    <w:lvl w:ilvl="1">
      <w:lvlJc w:val="left"/>
      <w:lvlText w:val="%2."/>
      <w:numFmt w:val="decimal"/>
      <w:start w:val="6"/>
    </w:lvl>
  </w:abstractNum>
  <w:abstractNum w:abstractNumId="470">
    <w:nsid w:val="6687F34D"/>
    <w:multiLevelType w:val="hybridMultilevel"/>
    <w:lvl w:ilvl="0">
      <w:lvlJc w:val="left"/>
      <w:lvlText w:val="(%1)"/>
      <w:numFmt w:val="lowerRoman"/>
      <w:start w:val="4"/>
    </w:lvl>
    <w:lvl w:ilvl="1">
      <w:lvlJc w:val="left"/>
      <w:lvlText w:val="%2."/>
      <w:numFmt w:val="decimal"/>
      <w:start w:val="11"/>
    </w:lvl>
  </w:abstractNum>
  <w:abstractNum w:abstractNumId="471">
    <w:nsid w:val="25415B0C"/>
    <w:multiLevelType w:val="hybridMultilevel"/>
    <w:lvl w:ilvl="0">
      <w:lvlJc w:val="left"/>
      <w:lvlText w:val="%1."/>
      <w:numFmt w:val="decimal"/>
      <w:start w:val="12"/>
    </w:lvl>
  </w:abstractNum>
  <w:abstractNum w:abstractNumId="472">
    <w:nsid w:val="17CFC87D"/>
    <w:multiLevelType w:val="hybridMultilevel"/>
    <w:lvl w:ilvl="0">
      <w:lvlJc w:val="left"/>
      <w:lvlText w:val="•"/>
      <w:numFmt w:val="bullet"/>
      <w:start w:val="1"/>
    </w:lvl>
  </w:abstractNum>
  <w:abstractNum w:abstractNumId="473">
    <w:nsid w:val="5D66DC65"/>
    <w:multiLevelType w:val="hybridMultilevel"/>
    <w:lvl w:ilvl="0">
      <w:lvlJc w:val="left"/>
      <w:lvlText w:val="•"/>
      <w:numFmt w:val="bullet"/>
      <w:start w:val="1"/>
    </w:lvl>
  </w:abstractNum>
  <w:abstractNum w:abstractNumId="474">
    <w:nsid w:val="30BB2B99"/>
    <w:multiLevelType w:val="hybridMultilevel"/>
    <w:lvl w:ilvl="0">
      <w:lvlJc w:val="left"/>
      <w:lvlText w:val="•"/>
      <w:numFmt w:val="bullet"/>
      <w:start w:val="1"/>
    </w:lvl>
  </w:abstractNum>
  <w:abstractNum w:abstractNumId="475">
    <w:nsid w:val="E3DFE6"/>
    <w:multiLevelType w:val="hybridMultilevel"/>
    <w:lvl w:ilvl="0">
      <w:lvlJc w:val="left"/>
      <w:lvlText w:val="•"/>
      <w:numFmt w:val="bullet"/>
      <w:start w:val="1"/>
    </w:lvl>
  </w:abstractNum>
  <w:abstractNum w:abstractNumId="476">
    <w:nsid w:val="595B37F3"/>
    <w:multiLevelType w:val="hybridMultilevel"/>
    <w:lvl w:ilvl="0">
      <w:lvlJc w:val="left"/>
      <w:lvlText w:val="•"/>
      <w:numFmt w:val="bullet"/>
      <w:start w:val="1"/>
    </w:lvl>
  </w:abstractNum>
  <w:abstractNum w:abstractNumId="477">
    <w:nsid w:val="71DB7E02"/>
    <w:multiLevelType w:val="hybridMultilevel"/>
    <w:lvl w:ilvl="0">
      <w:lvlJc w:val="left"/>
      <w:lvlText w:val="•"/>
      <w:numFmt w:val="bullet"/>
      <w:start w:val="1"/>
    </w:lvl>
    <w:lvl w:ilvl="1">
      <w:lvlJc w:val="left"/>
      <w:lvlText w:val="•"/>
      <w:numFmt w:val="bullet"/>
      <w:start w:val="1"/>
    </w:lvl>
  </w:abstractNum>
  <w:abstractNum w:abstractNumId="478">
    <w:nsid w:val="17EC0C4"/>
    <w:multiLevelType w:val="hybridMultilevel"/>
    <w:lvl w:ilvl="0">
      <w:lvlJc w:val="left"/>
      <w:lvlText w:val="•"/>
      <w:numFmt w:val="bullet"/>
      <w:start w:val="1"/>
    </w:lvl>
  </w:abstractNum>
  <w:abstractNum w:abstractNumId="479">
    <w:nsid w:val="7173BB22"/>
    <w:multiLevelType w:val="hybridMultilevel"/>
    <w:lvl w:ilvl="0">
      <w:lvlJc w:val="left"/>
      <w:lvlText w:val="•"/>
      <w:numFmt w:val="bullet"/>
      <w:start w:val="1"/>
    </w:lvl>
    <w:lvl w:ilvl="1">
      <w:lvlJc w:val="left"/>
      <w:lvlText w:val="•"/>
      <w:numFmt w:val="bullet"/>
      <w:start w:val="1"/>
    </w:lvl>
  </w:abstractNum>
  <w:abstractNum w:abstractNumId="480">
    <w:nsid w:val="169E1DD3"/>
    <w:multiLevelType w:val="hybridMultilevel"/>
    <w:lvl w:ilvl="0">
      <w:lvlJc w:val="left"/>
      <w:lvlText w:val="%1."/>
      <w:numFmt w:val="decimal"/>
      <w:start w:val="1"/>
    </w:lvl>
  </w:abstractNum>
  <w:abstractNum w:abstractNumId="481">
    <w:nsid w:val="51D141CC"/>
    <w:multiLevelType w:val="hybridMultilevel"/>
    <w:lvl w:ilvl="0">
      <w:lvlJc w:val="left"/>
      <w:lvlText w:val="%1."/>
      <w:numFmt w:val="decimal"/>
      <w:start w:val="4"/>
    </w:lvl>
  </w:abstractNum>
  <w:abstractNum w:abstractNumId="482">
    <w:nsid w:val="12F9357A"/>
    <w:multiLevelType w:val="hybridMultilevel"/>
    <w:lvl w:ilvl="0">
      <w:lvlJc w:val="left"/>
      <w:lvlText w:val="%1."/>
      <w:numFmt w:val="decimal"/>
      <w:start w:val="6"/>
    </w:lvl>
  </w:abstractNum>
  <w:abstractNum w:abstractNumId="483">
    <w:nsid w:val="7672CF28"/>
    <w:multiLevelType w:val="hybridMultilevel"/>
    <w:lvl w:ilvl="0">
      <w:lvlJc w:val="left"/>
      <w:lvlText w:val="(%1)"/>
      <w:numFmt w:val="lowerRoman"/>
      <w:start w:val="2"/>
    </w:lvl>
  </w:abstractNum>
  <w:abstractNum w:abstractNumId="484">
    <w:nsid w:val="567D2763"/>
    <w:multiLevelType w:val="hybridMultilevel"/>
    <w:lvl w:ilvl="0">
      <w:lvlJc w:val="left"/>
      <w:lvlText w:val="%1."/>
      <w:numFmt w:val="decimal"/>
      <w:start w:val="1"/>
    </w:lvl>
  </w:abstractNum>
  <w:abstractNum w:abstractNumId="485">
    <w:nsid w:val="6F5DE2EF"/>
    <w:multiLevelType w:val="hybridMultilevel"/>
    <w:lvl w:ilvl="0">
      <w:lvlJc w:val="left"/>
      <w:lvlText w:val="%1."/>
      <w:numFmt w:val="decimal"/>
      <w:start w:val="3"/>
    </w:lvl>
  </w:abstractNum>
  <w:abstractNum w:abstractNumId="486">
    <w:nsid w:val="23502A61"/>
    <w:multiLevelType w:val="hybridMultilevel"/>
    <w:lvl w:ilvl="0">
      <w:lvlJc w:val="left"/>
      <w:lvlText w:val="%1."/>
      <w:numFmt w:val="decimal"/>
      <w:start w:val="4"/>
    </w:lvl>
  </w:abstractNum>
  <w:abstractNum w:abstractNumId="487">
    <w:nsid w:val="461BC834"/>
    <w:multiLevelType w:val="hybridMultilevel"/>
    <w:lvl w:ilvl="0">
      <w:lvlJc w:val="left"/>
      <w:lvlText w:val="%1."/>
      <w:numFmt w:val="decimal"/>
      <w:start w:val="5"/>
    </w:lvl>
  </w:abstractNum>
  <w:abstractNum w:abstractNumId="488">
    <w:nsid w:val="13DDA79D"/>
    <w:multiLevelType w:val="hybridMultilevel"/>
    <w:lvl w:ilvl="0">
      <w:lvlJc w:val="left"/>
      <w:lvlText w:val="%1."/>
      <w:numFmt w:val="decimal"/>
      <w:start w:val="6"/>
    </w:lvl>
  </w:abstractNum>
  <w:abstractNum w:abstractNumId="489">
    <w:nsid w:val="6A104566"/>
    <w:multiLevelType w:val="hybridMultilevel"/>
    <w:lvl w:ilvl="0">
      <w:lvlJc w:val="left"/>
      <w:lvlText w:val="%1."/>
      <w:numFmt w:val="decimal"/>
      <w:start w:val="7"/>
    </w:lvl>
  </w:abstractNum>
  <w:abstractNum w:abstractNumId="490">
    <w:nsid w:val="1C8A8ACF"/>
    <w:multiLevelType w:val="hybridMultilevel"/>
    <w:lvl w:ilvl="0">
      <w:lvlJc w:val="left"/>
      <w:lvlText w:val="%1."/>
      <w:numFmt w:val="decimal"/>
      <w:start w:val="8"/>
    </w:lvl>
  </w:abstractNum>
  <w:abstractNum w:abstractNumId="491">
    <w:nsid w:val="E73DFE0"/>
    <w:multiLevelType w:val="hybridMultilevel"/>
    <w:lvl w:ilvl="0">
      <w:lvlJc w:val="left"/>
      <w:lvlText w:val="%1."/>
      <w:numFmt w:val="decimal"/>
      <w:start w:val="10"/>
    </w:lvl>
  </w:abstractNum>
  <w:abstractNum w:abstractNumId="492">
    <w:nsid w:val="39F174C7"/>
    <w:multiLevelType w:val="hybridMultilevel"/>
    <w:lvl w:ilvl="0">
      <w:lvlJc w:val="left"/>
      <w:lvlText w:val="(%1)"/>
      <w:numFmt w:val="decimal"/>
      <w:start w:val="15"/>
    </w:lvl>
  </w:abstractNum>
  <w:abstractNum w:abstractNumId="493">
    <w:nsid w:val="6E2E2D53"/>
    <w:multiLevelType w:val="hybridMultilevel"/>
    <w:lvl w:ilvl="0">
      <w:lvlJc w:val="left"/>
      <w:lvlText w:val="%1."/>
      <w:numFmt w:val="decimal"/>
      <w:start w:val="11"/>
    </w:lvl>
  </w:abstractNum>
  <w:abstractNum w:abstractNumId="494">
    <w:nsid w:val="45DC439D"/>
    <w:multiLevelType w:val="hybridMultilevel"/>
    <w:lvl w:ilvl="0">
      <w:lvlJc w:val="left"/>
      <w:lvlText w:val="(%1)"/>
      <w:numFmt w:val="lowerLetter"/>
      <w:start w:val="1"/>
    </w:lvl>
  </w:abstractNum>
  <w:abstractNum w:abstractNumId="495">
    <w:nsid w:val="3B0A3B87"/>
    <w:multiLevelType w:val="hybridMultilevel"/>
    <w:lvl w:ilvl="0">
      <w:lvlJc w:val="left"/>
      <w:lvlText w:val="(%1)"/>
      <w:numFmt w:val="decimal"/>
      <w:start w:val="3"/>
    </w:lvl>
  </w:abstractNum>
  <w:abstractNum w:abstractNumId="496">
    <w:nsid w:val="6DAC7768"/>
    <w:multiLevelType w:val="hybridMultilevel"/>
    <w:lvl w:ilvl="0">
      <w:lvlJc w:val="left"/>
      <w:lvlText w:val="%1."/>
      <w:numFmt w:val="decimal"/>
      <w:start w:val="12"/>
    </w:lvl>
  </w:abstractNum>
  <w:abstractNum w:abstractNumId="497">
    <w:nsid w:val="746AE2E4"/>
    <w:multiLevelType w:val="hybridMultilevel"/>
    <w:lvl w:ilvl="0">
      <w:lvlJc w:val="left"/>
      <w:lvlText w:val="%1."/>
      <w:numFmt w:val="decimal"/>
      <w:start w:val="13"/>
    </w:lvl>
  </w:abstractNum>
  <w:abstractNum w:abstractNumId="498">
    <w:nsid w:val="317E611D"/>
    <w:multiLevelType w:val="hybridMultilevel"/>
    <w:lvl w:ilvl="0">
      <w:lvlJc w:val="left"/>
      <w:lvlText w:val="%1."/>
      <w:numFmt w:val="decimal"/>
      <w:start w:val="15"/>
    </w:lvl>
  </w:abstractNum>
  <w:abstractNum w:abstractNumId="499">
    <w:nsid w:val="7A61D75B"/>
    <w:multiLevelType w:val="hybridMultilevel"/>
    <w:lvl w:ilvl="0">
      <w:lvlJc w:val="left"/>
      <w:lvlText w:val="(%1)"/>
      <w:numFmt w:val="decimal"/>
      <w:start w:val="10"/>
    </w:lvl>
  </w:abstractNum>
  <w:abstractNum w:abstractNumId="500">
    <w:nsid w:val="164A1482"/>
    <w:multiLevelType w:val="hybridMultilevel"/>
    <w:lvl w:ilvl="0">
      <w:lvlJc w:val="left"/>
      <w:lvlText w:val="%1."/>
      <w:numFmt w:val="decimal"/>
      <w:start w:val="16"/>
    </w:lvl>
  </w:abstractNum>
  <w:abstractNum w:abstractNumId="501">
    <w:nsid w:val="1806546B"/>
    <w:multiLevelType w:val="hybridMultilevel"/>
    <w:lvl w:ilvl="0">
      <w:lvlJc w:val="left"/>
      <w:lvlText w:val="%1."/>
      <w:numFmt w:val="decimal"/>
      <w:start w:val="18"/>
    </w:lvl>
  </w:abstractNum>
  <w:abstractNum w:abstractNumId="502">
    <w:nsid w:val="1FA33267"/>
    <w:multiLevelType w:val="hybridMultilevel"/>
    <w:lvl w:ilvl="0">
      <w:lvlJc w:val="left"/>
      <w:lvlText w:val="(%1)"/>
      <w:numFmt w:val="decimal"/>
      <w:start w:val="15"/>
    </w:lvl>
  </w:abstractNum>
  <w:abstractNum w:abstractNumId="503">
    <w:nsid w:val="2E19DD00"/>
    <w:multiLevelType w:val="hybridMultilevel"/>
    <w:lvl w:ilvl="0">
      <w:lvlJc w:val="left"/>
      <w:lvlText w:val="%1."/>
      <w:numFmt w:val="decimal"/>
      <w:start w:val="20"/>
    </w:lvl>
  </w:abstractNum>
  <w:abstractNum w:abstractNumId="504">
    <w:nsid w:val="756D30D0"/>
    <w:multiLevelType w:val="hybridMultilevel"/>
    <w:lvl w:ilvl="0">
      <w:lvlJc w:val="left"/>
      <w:lvlText w:val="%1."/>
      <w:numFmt w:val="decimal"/>
      <w:start w:val="21"/>
    </w:lvl>
  </w:abstractNum>
  <w:abstractNum w:abstractNumId="505">
    <w:nsid w:val="505E5E01"/>
    <w:multiLevelType w:val="hybridMultilevel"/>
    <w:lvl w:ilvl="0">
      <w:lvlJc w:val="left"/>
      <w:lvlText w:val="%1."/>
      <w:numFmt w:val="decimal"/>
      <w:start w:val="22"/>
    </w:lvl>
  </w:abstractNum>
  <w:abstractNum w:abstractNumId="506">
    <w:nsid w:val="2EFDBCE6"/>
    <w:multiLevelType w:val="hybridMultilevel"/>
    <w:lvl w:ilvl="0">
      <w:lvlJc w:val="left"/>
      <w:lvlText w:val="%1."/>
      <w:numFmt w:val="decimal"/>
      <w:start w:val="24"/>
    </w:lvl>
  </w:abstractNum>
  <w:abstractNum w:abstractNumId="507">
    <w:nsid w:val="4EC868C4"/>
    <w:multiLevelType w:val="hybridMultilevel"/>
    <w:lvl w:ilvl="0">
      <w:lvlJc w:val="left"/>
      <w:lvlText w:val="(%1)"/>
      <w:numFmt w:val="lowerRoman"/>
      <w:start w:val="2"/>
    </w:lvl>
  </w:abstractNum>
  <w:abstractNum w:abstractNumId="508">
    <w:nsid w:val="4239DC03"/>
    <w:multiLevelType w:val="hybridMultilevel"/>
    <w:lvl w:ilvl="0">
      <w:lvlJc w:val="left"/>
      <w:lvlText w:val="%1."/>
      <w:numFmt w:val="decimal"/>
      <w:start w:val="28"/>
    </w:lvl>
  </w:abstractNum>
  <w:abstractNum w:abstractNumId="509">
    <w:nsid w:val="307C7DAA"/>
    <w:multiLevelType w:val="hybridMultilevel"/>
    <w:lvl w:ilvl="0">
      <w:lvlJc w:val="left"/>
      <w:lvlText w:val="%1."/>
      <w:numFmt w:val="decimal"/>
      <w:start w:val="30"/>
    </w:lvl>
  </w:abstractNum>
  <w:abstractNum w:abstractNumId="510">
    <w:nsid w:val="403C23E6"/>
    <w:multiLevelType w:val="hybridMultilevel"/>
    <w:lvl w:ilvl="0">
      <w:lvlJc w:val="left"/>
      <w:lvlText w:val="%1."/>
      <w:numFmt w:val="decimal"/>
      <w:start w:val="32"/>
    </w:lvl>
  </w:abstractNum>
  <w:abstractNum w:abstractNumId="511">
    <w:nsid w:val="58D7F9D7"/>
    <w:multiLevelType w:val="hybridMultilevel"/>
    <w:lvl w:ilvl="0">
      <w:lvlJc w:val="left"/>
      <w:lvlText w:val="%1."/>
      <w:numFmt w:val="decimal"/>
      <w:start w:val="35"/>
    </w:lvl>
  </w:abstractNum>
  <w:abstractNum w:abstractNumId="512">
    <w:nsid w:val="24DBF76"/>
    <w:multiLevelType w:val="hybridMultilevel"/>
    <w:lvl w:ilvl="0">
      <w:lvlJc w:val="left"/>
      <w:lvlText w:val="(%1)"/>
      <w:numFmt w:val="lowerRoman"/>
      <w:start w:val="3"/>
    </w:lvl>
  </w:abstractNum>
  <w:abstractNum w:abstractNumId="513">
    <w:nsid w:val="53355960"/>
    <w:multiLevelType w:val="hybridMultilevel"/>
    <w:lvl w:ilvl="0">
      <w:lvlJc w:val="left"/>
      <w:lvlText w:val="%1."/>
      <w:numFmt w:val="decimal"/>
      <w:start w:val="36"/>
    </w:lvl>
  </w:abstractNum>
  <w:abstractNum w:abstractNumId="514">
    <w:nsid w:val="4F4AC8FF"/>
    <w:multiLevelType w:val="hybridMultilevel"/>
    <w:lvl w:ilvl="0">
      <w:lvlJc w:val="left"/>
      <w:lvlText w:val="%1."/>
      <w:numFmt w:val="decimal"/>
      <w:start w:val="37"/>
    </w:lvl>
  </w:abstractNum>
  <w:abstractNum w:abstractNumId="515">
    <w:nsid w:val="58CAE6D9"/>
    <w:multiLevelType w:val="hybridMultilevel"/>
    <w:lvl w:ilvl="0">
      <w:lvlJc w:val="left"/>
      <w:lvlText w:val="(%1)"/>
      <w:numFmt w:val="lowerRoman"/>
      <w:start w:val="2"/>
    </w:lvl>
  </w:abstractNum>
  <w:abstractNum w:abstractNumId="516">
    <w:nsid w:val="42933C4F"/>
    <w:multiLevelType w:val="hybridMultilevel"/>
    <w:lvl w:ilvl="0">
      <w:lvlJc w:val="left"/>
      <w:lvlText w:val="%1."/>
      <w:numFmt w:val="decimal"/>
      <w:start w:val="1"/>
    </w:lvl>
  </w:abstractNum>
  <w:abstractNum w:abstractNumId="517">
    <w:nsid w:val="729AF360"/>
    <w:multiLevelType w:val="hybridMultilevel"/>
    <w:lvl w:ilvl="0">
      <w:lvlJc w:val="left"/>
      <w:lvlText w:val="%1."/>
      <w:numFmt w:val="decimal"/>
      <w:start w:val="4"/>
    </w:lvl>
    <w:lvl w:ilvl="1">
      <w:lvlJc w:val="left"/>
      <w:lvlText w:val="%2."/>
      <w:numFmt w:val="decimal"/>
      <w:start w:val="9"/>
    </w:lvl>
  </w:abstractNum>
  <w:abstractNum w:abstractNumId="518">
    <w:nsid w:val="1EE6AF0D"/>
    <w:multiLevelType w:val="hybridMultilevel"/>
    <w:lvl w:ilvl="0">
      <w:lvlJc w:val="left"/>
      <w:lvlText w:val="%1."/>
      <w:numFmt w:val="decimal"/>
      <w:start w:val="10"/>
    </w:lvl>
    <w:lvl w:ilvl="1">
      <w:lvlJc w:val="left"/>
      <w:lvlText w:val="%2."/>
      <w:numFmt w:val="decimal"/>
      <w:start w:val="11"/>
    </w:lvl>
  </w:abstractNum>
  <w:abstractNum w:abstractNumId="519">
    <w:nsid w:val="5670E3ED"/>
    <w:multiLevelType w:val="hybridMultilevel"/>
    <w:lvl w:ilvl="0">
      <w:lvlJc w:val="left"/>
      <w:lvlText w:val="%1."/>
      <w:numFmt w:val="decimal"/>
      <w:start w:val="12"/>
    </w:lvl>
  </w:abstractNum>
  <w:abstractNum w:abstractNumId="520">
    <w:nsid w:val="5CAB38C6"/>
    <w:multiLevelType w:val="hybridMultilevel"/>
    <w:lvl w:ilvl="0">
      <w:lvlJc w:val="left"/>
      <w:lvlText w:val="%1."/>
      <w:numFmt w:val="decimal"/>
      <w:start w:val="1"/>
    </w:lvl>
  </w:abstractNum>
  <w:abstractNum w:abstractNumId="521">
    <w:nsid w:val="3B7139DD"/>
    <w:multiLevelType w:val="hybridMultilevel"/>
    <w:lvl w:ilvl="0">
      <w:lvlJc w:val="left"/>
      <w:lvlText w:val="[***]"/>
      <w:numFmt w:val="bullet"/>
      <w:start w:val="1"/>
    </w:lvl>
  </w:abstractNum>
  <w:abstractNum w:abstractNumId="522">
    <w:nsid w:val="64E4C3CD"/>
    <w:multiLevelType w:val="hybridMultilevel"/>
    <w:lvl w:ilvl="0">
      <w:lvlJc w:val="left"/>
      <w:lvlText w:val="%1."/>
      <w:numFmt w:val="decimal"/>
      <w:start w:val="2"/>
    </w:lvl>
  </w:abstractNum>
  <w:abstractNum w:abstractNumId="523">
    <w:nsid w:val="169CAD8D"/>
    <w:multiLevelType w:val="hybridMultilevel"/>
    <w:lvl w:ilvl="0">
      <w:lvlJc w:val="left"/>
      <w:lvlText w:val="%1."/>
      <w:numFmt w:val="decimal"/>
      <w:start w:val="3"/>
    </w:lvl>
  </w:abstractNum>
  <w:abstractNum w:abstractNumId="524">
    <w:nsid w:val="299F6730"/>
    <w:multiLevelType w:val="hybridMultilevel"/>
    <w:lvl w:ilvl="0">
      <w:lvlJc w:val="left"/>
      <w:lvlText w:val="%1."/>
      <w:numFmt w:val="decimal"/>
      <w:start w:val="5"/>
    </w:lvl>
  </w:abstractNum>
  <w:abstractNum w:abstractNumId="525">
    <w:nsid w:val="2AC1076A"/>
    <w:multiLevelType w:val="hybridMultilevel"/>
    <w:lvl w:ilvl="0">
      <w:lvlJc w:val="left"/>
      <w:lvlText w:val="(%1)"/>
      <w:numFmt w:val="lowerRoman"/>
      <w:start w:val="1"/>
    </w:lvl>
  </w:abstractNum>
  <w:abstractNum w:abstractNumId="526">
    <w:nsid w:val="51A6E915"/>
    <w:multiLevelType w:val="hybridMultilevel"/>
    <w:lvl w:ilvl="0">
      <w:lvlJc w:val="left"/>
      <w:lvlText w:val="(%1)"/>
      <w:numFmt w:val="lowerRoman"/>
      <w:start w:val="4"/>
    </w:lvl>
  </w:abstractNum>
  <w:abstractNum w:abstractNumId="527">
    <w:nsid w:val="174BDE99"/>
    <w:multiLevelType w:val="hybridMultilevel"/>
    <w:lvl w:ilvl="0">
      <w:lvlJc w:val="left"/>
      <w:lvlText w:val="%1."/>
      <w:numFmt w:val="decimal"/>
      <w:start w:val="6"/>
    </w:lvl>
    <w:lvl w:ilvl="1">
      <w:lvlJc w:val="left"/>
      <w:lvlText w:val="(%2)"/>
      <w:numFmt w:val="lowerRoman"/>
      <w:start w:val="2"/>
    </w:lvl>
  </w:abstractNum>
  <w:abstractNum w:abstractNumId="528">
    <w:nsid w:val="1F2BEA4E"/>
    <w:multiLevelType w:val="hybridMultilevel"/>
    <w:lvl w:ilvl="0">
      <w:lvlJc w:val="left"/>
      <w:lvlText w:val="(%1)"/>
      <w:numFmt w:val="lowerRoman"/>
      <w:start w:val="2"/>
    </w:lvl>
  </w:abstractNum>
  <w:abstractNum w:abstractNumId="529">
    <w:nsid w:val="3254A32"/>
    <w:multiLevelType w:val="hybridMultilevel"/>
    <w:lvl w:ilvl="0">
      <w:lvlJc w:val="left"/>
      <w:lvlText w:val="%1."/>
      <w:numFmt w:val="decimal"/>
      <w:start w:val="7"/>
    </w:lvl>
  </w:abstractNum>
  <w:abstractNum w:abstractNumId="530">
    <w:nsid w:val="11ADB5F4"/>
    <w:multiLevelType w:val="hybridMultilevel"/>
    <w:lvl w:ilvl="0">
      <w:lvlJc w:val="left"/>
      <w:lvlText w:val="(%1)"/>
      <w:numFmt w:val="lowerRoman"/>
      <w:start w:val="1"/>
    </w:lvl>
  </w:abstractNum>
  <w:abstractNum w:abstractNumId="531">
    <w:nsid w:val="3575FED1"/>
    <w:multiLevelType w:val="hybridMultilevel"/>
    <w:lvl w:ilvl="0">
      <w:lvlJc w:val="left"/>
      <w:lvlText w:val="%1."/>
      <w:numFmt w:val="decimal"/>
      <w:start w:val="8"/>
    </w:lvl>
  </w:abstractNum>
  <w:abstractNum w:abstractNumId="532">
    <w:nsid w:val="1B2B9E9D"/>
    <w:multiLevelType w:val="hybridMultilevel"/>
    <w:lvl w:ilvl="0">
      <w:lvlJc w:val="left"/>
      <w:lvlText w:val="(%1)"/>
      <w:numFmt w:val="lowerLetter"/>
      <w:start w:val="1"/>
    </w:lvl>
  </w:abstractNum>
  <w:abstractNum w:abstractNumId="533">
    <w:nsid w:val="3150E85C"/>
    <w:multiLevelType w:val="hybridMultilevel"/>
    <w:lvl w:ilvl="0">
      <w:lvlJc w:val="left"/>
      <w:lvlText w:val="(%1)"/>
      <w:numFmt w:val="lowerLetter"/>
      <w:start w:val="4"/>
    </w:lvl>
  </w:abstractNum>
  <w:abstractNum w:abstractNumId="534">
    <w:nsid w:val="638FDBD1"/>
    <w:multiLevelType w:val="hybridMultilevel"/>
    <w:lvl w:ilvl="0">
      <w:lvlJc w:val="left"/>
      <w:lvlText w:val="(%1)"/>
      <w:numFmt w:val="lowerLetter"/>
      <w:start w:val="1"/>
    </w:lvl>
  </w:abstractNum>
  <w:abstractNum w:abstractNumId="535">
    <w:nsid w:val="1098CF6E"/>
    <w:multiLevelType w:val="hybridMultilevel"/>
    <w:lvl w:ilvl="0">
      <w:lvlJc w:val="left"/>
      <w:lvlText w:val="%1."/>
      <w:numFmt w:val="decimal"/>
      <w:start w:val="9"/>
    </w:lvl>
  </w:abstractNum>
  <w:abstractNum w:abstractNumId="536">
    <w:nsid w:val="1AF465D"/>
    <w:multiLevelType w:val="hybridMultilevel"/>
    <w:lvl w:ilvl="0">
      <w:lvlJc w:val="left"/>
      <w:lvlText w:val="(%1)"/>
      <w:numFmt w:val="lowerRoman"/>
      <w:start w:val="1"/>
    </w:lvl>
  </w:abstractNum>
  <w:abstractNum w:abstractNumId="537">
    <w:nsid w:val="128D98B7"/>
    <w:multiLevelType w:val="hybridMultilevel"/>
    <w:lvl w:ilvl="0">
      <w:lvlJc w:val="left"/>
      <w:lvlText w:val="(%1)"/>
      <w:numFmt w:val="lowerLetter"/>
      <w:start w:val="1"/>
    </w:lvl>
  </w:abstractNum>
  <w:abstractNum w:abstractNumId="538">
    <w:nsid w:val="5F613832"/>
    <w:multiLevelType w:val="hybridMultilevel"/>
    <w:lvl w:ilvl="0">
      <w:lvlJc w:val="left"/>
      <w:lvlText w:val="%1."/>
      <w:numFmt w:val="decimal"/>
      <w:start w:val="1"/>
    </w:lvl>
  </w:abstractNum>
  <w:abstractNum w:abstractNumId="539">
    <w:nsid w:val="43E92260"/>
    <w:multiLevelType w:val="hybridMultilevel"/>
    <w:lvl w:ilvl="0">
      <w:lvlJc w:val="left"/>
      <w:lvlText w:val="%1."/>
      <w:numFmt w:val="decimal"/>
      <w:start w:val="1"/>
    </w:lvl>
  </w:abstractNum>
  <w:abstractNum w:abstractNumId="540">
    <w:nsid w:val="430A1662"/>
    <w:multiLevelType w:val="hybridMultilevel"/>
    <w:lvl w:ilvl="0">
      <w:lvlJc w:val="left"/>
      <w:lvlText w:val="%1."/>
      <w:numFmt w:val="decimal"/>
      <w:start w:val="2"/>
    </w:lvl>
  </w:abstractNum>
  <w:abstractNum w:abstractNumId="541">
    <w:nsid w:val="1F9D5C18"/>
    <w:multiLevelType w:val="hybridMultilevel"/>
    <w:lvl w:ilvl="0">
      <w:lvlJc w:val="left"/>
      <w:lvlText w:val="%1."/>
      <w:numFmt w:val="decimal"/>
      <w:start w:val="3"/>
    </w:lvl>
  </w:abstractNum>
  <w:abstractNum w:abstractNumId="542">
    <w:nsid w:val="1CC11C37"/>
    <w:multiLevelType w:val="hybridMultilevel"/>
    <w:lvl w:ilvl="0">
      <w:lvlJc w:val="left"/>
      <w:lvlText w:val="%1."/>
      <w:numFmt w:val="decimal"/>
      <w:start w:val="4"/>
    </w:lvl>
  </w:abstractNum>
  <w:abstractNum w:abstractNumId="543">
    <w:nsid w:val="4557D5D8"/>
    <w:multiLevelType w:val="hybridMultilevel"/>
    <w:lvl w:ilvl="0">
      <w:lvlJc w:val="left"/>
      <w:lvlText w:val="%1."/>
      <w:numFmt w:val="decimal"/>
      <w:start w:val="7"/>
    </w:lvl>
  </w:abstractNum>
  <w:abstractNum w:abstractNumId="544">
    <w:nsid w:val="72D2B579"/>
    <w:multiLevelType w:val="hybridMultilevel"/>
    <w:lvl w:ilvl="0">
      <w:lvlJc w:val="left"/>
      <w:lvlText w:val="%1."/>
      <w:numFmt w:val="decimal"/>
      <w:start w:val="10"/>
    </w:lvl>
  </w:abstractNum>
  <w:abstractNum w:abstractNumId="545">
    <w:nsid w:val="6C0BE536"/>
    <w:multiLevelType w:val="hybridMultilevel"/>
    <w:lvl w:ilvl="0">
      <w:lvlJc w:val="left"/>
      <w:lvlText w:val="(%1)"/>
      <w:numFmt w:val="decimal"/>
      <w:start w:val="24"/>
    </w:lvl>
  </w:abstractNum>
  <w:abstractNum w:abstractNumId="546">
    <w:nsid w:val="1E22BCB2"/>
    <w:multiLevelType w:val="hybridMultilevel"/>
    <w:lvl w:ilvl="0">
      <w:lvlJc w:val="left"/>
      <w:lvlText w:val="%1."/>
      <w:numFmt w:val="decimal"/>
      <w:start w:val="11"/>
    </w:lvl>
  </w:abstractNum>
  <w:abstractNum w:abstractNumId="547">
    <w:nsid w:val="3565F1C8"/>
    <w:multiLevelType w:val="hybridMultilevel"/>
    <w:lvl w:ilvl="0">
      <w:lvlJc w:val="left"/>
      <w:lvlText w:val="(%1)"/>
      <w:numFmt w:val="lowerRoman"/>
      <w:start w:val="1"/>
    </w:lvl>
  </w:abstractNum>
  <w:abstractNum w:abstractNumId="548">
    <w:nsid w:val="5EA6D896"/>
    <w:multiLevelType w:val="hybridMultilevel"/>
    <w:lvl w:ilvl="0">
      <w:lvlJc w:val="left"/>
      <w:lvlText w:val="%1."/>
      <w:numFmt w:val="decimal"/>
      <w:start w:val="12"/>
    </w:lvl>
  </w:abstractNum>
  <w:abstractNum w:abstractNumId="549">
    <w:nsid w:val="3D096BBF"/>
    <w:multiLevelType w:val="hybridMultilevel"/>
    <w:lvl w:ilvl="0">
      <w:lvlJc w:val="left"/>
      <w:lvlText w:val="(%1)"/>
      <w:numFmt w:val="lowerLetter"/>
      <w:start w:val="1"/>
    </w:lvl>
  </w:abstractNum>
  <w:abstractNum w:abstractNumId="550">
    <w:nsid w:val="BD6D5B5"/>
    <w:multiLevelType w:val="hybridMultilevel"/>
    <w:lvl w:ilvl="0">
      <w:lvlJc w:val="left"/>
      <w:lvlText w:val="(%1)"/>
      <w:numFmt w:val="lowerLetter"/>
      <w:start w:val="2"/>
    </w:lvl>
  </w:abstractNum>
  <w:abstractNum w:abstractNumId="551">
    <w:nsid w:val="3B52115C"/>
    <w:multiLevelType w:val="hybridMultilevel"/>
    <w:lvl w:ilvl="0">
      <w:lvlJc w:val="left"/>
      <w:lvlText w:val="(%1)"/>
      <w:numFmt w:val="lowerLetter"/>
      <w:start w:val="1"/>
    </w:lvl>
  </w:abstractNum>
  <w:abstractNum w:abstractNumId="552">
    <w:nsid w:val="787AA59C"/>
    <w:multiLevelType w:val="hybridMultilevel"/>
    <w:lvl w:ilvl="0">
      <w:lvlJc w:val="left"/>
      <w:lvlText w:val="(%1)"/>
      <w:numFmt w:val="lowerLetter"/>
      <w:start w:val="1"/>
    </w:lvl>
  </w:abstractNum>
  <w:abstractNum w:abstractNumId="553">
    <w:nsid w:val="70BB9983"/>
    <w:multiLevelType w:val="hybridMultilevel"/>
    <w:lvl w:ilvl="0">
      <w:lvlJc w:val="left"/>
      <w:lvlText w:val="%1."/>
      <w:numFmt w:val="decimal"/>
      <w:start w:val="13"/>
    </w:lvl>
  </w:abstractNum>
  <w:abstractNum w:abstractNumId="554">
    <w:nsid w:val="51EEBEEA"/>
    <w:multiLevelType w:val="hybridMultilevel"/>
    <w:lvl w:ilvl="0">
      <w:lvlJc w:val="left"/>
      <w:lvlText w:val="%1."/>
      <w:numFmt w:val="decimal"/>
      <w:start w:val="16"/>
    </w:lvl>
  </w:abstractNum>
  <w:abstractNum w:abstractNumId="555">
    <w:nsid w:val="221A0CCD"/>
    <w:multiLevelType w:val="hybridMultilevel"/>
    <w:lvl w:ilvl="0">
      <w:lvlJc w:val="left"/>
      <w:lvlText w:val="%1."/>
      <w:numFmt w:val="decimal"/>
      <w:start w:val="17"/>
    </w:lvl>
  </w:abstractNum>
  <w:abstractNum w:abstractNumId="556">
    <w:nsid w:val="1B7CA0ED"/>
    <w:multiLevelType w:val="hybridMultilevel"/>
    <w:lvl w:ilvl="0">
      <w:lvlJc w:val="left"/>
      <w:lvlText w:val="(%1)"/>
      <w:numFmt w:val="lowerRoman"/>
      <w:start w:val="1"/>
    </w:lvl>
  </w:abstractNum>
  <w:abstractNum w:abstractNumId="557">
    <w:nsid w:val="2395A7FF"/>
    <w:multiLevelType w:val="hybridMultilevel"/>
    <w:lvl w:ilvl="0">
      <w:lvlJc w:val="left"/>
      <w:lvlText w:val="%1."/>
      <w:numFmt w:val="decimal"/>
      <w:start w:val="21"/>
    </w:lvl>
  </w:abstractNum>
  <w:abstractNum w:abstractNumId="558">
    <w:nsid w:val="3965EB66"/>
    <w:multiLevelType w:val="hybridMultilevel"/>
    <w:lvl w:ilvl="0">
      <w:lvlJc w:val="left"/>
      <w:lvlText w:val="%1."/>
      <w:numFmt w:val="decimal"/>
      <w:start w:val="22"/>
    </w:lvl>
  </w:abstractNum>
  <w:abstractNum w:abstractNumId="559">
    <w:nsid w:val="3AA88B3C"/>
    <w:multiLevelType w:val="hybridMultilevel"/>
    <w:lvl w:ilvl="0">
      <w:lvlJc w:val="left"/>
      <w:lvlText w:val="1"/>
      <w:numFmt w:val="bullet"/>
      <w:start w:val="1"/>
    </w:lvl>
  </w:abstractNum>
  <w:abstractNum w:abstractNumId="560">
    <w:nsid w:val="26BAF231"/>
    <w:multiLevelType w:val="hybridMultilevel"/>
    <w:lvl w:ilvl="0">
      <w:lvlJc w:val="left"/>
      <w:lvlText w:val="(%1)"/>
      <w:numFmt w:val="decimal"/>
      <w:start w:val="1"/>
    </w:lvl>
  </w:abstractNum>
  <w:abstractNum w:abstractNumId="561">
    <w:nsid w:val="4B13A15A"/>
    <w:multiLevelType w:val="hybridMultilevel"/>
    <w:lvl w:ilvl="0">
      <w:lvlJc w:val="left"/>
      <w:lvlText w:val="(%1)"/>
      <w:numFmt w:val="lowerLetter"/>
      <w:start w:val="1"/>
    </w:lvl>
  </w:abstractNum>
  <w:abstractNum w:abstractNumId="562">
    <w:nsid w:val="701E8A0D"/>
    <w:multiLevelType w:val="hybridMultilevel"/>
    <w:lvl w:ilvl="0">
      <w:lvlJc w:val="left"/>
      <w:lvlText w:val="(%1)"/>
      <w:numFmt w:val="lowerRoman"/>
      <w:start w:val="2"/>
    </w:lvl>
  </w:abstractNum>
  <w:abstractNum w:abstractNumId="563">
    <w:nsid w:val="41E690CF"/>
    <w:multiLevelType w:val="hybridMultilevel"/>
    <w:lvl w:ilvl="0">
      <w:lvlJc w:val="left"/>
      <w:lvlText w:val="(%1)"/>
      <w:numFmt w:val="lowerRoman"/>
      <w:start w:val="1"/>
    </w:lvl>
  </w:abstractNum>
  <w:abstractNum w:abstractNumId="564">
    <w:nsid w:val="7C6489B6"/>
    <w:multiLevelType w:val="hybridMultilevel"/>
    <w:lvl w:ilvl="0">
      <w:lvlJc w:val="left"/>
      <w:lvlText w:val="2"/>
      <w:numFmt w:val="bullet"/>
      <w:start w:val="1"/>
    </w:lvl>
  </w:abstractNum>
  <w:abstractNum w:abstractNumId="565">
    <w:nsid w:val="53AE65DE"/>
    <w:multiLevelType w:val="hybridMultilevel"/>
    <w:lvl w:ilvl="0">
      <w:lvlJc w:val="left"/>
      <w:lvlText w:val="3"/>
      <w:numFmt w:val="bullet"/>
      <w:start w:val="1"/>
    </w:lvl>
  </w:abstractNum>
  <w:abstractNum w:abstractNumId="566">
    <w:nsid w:val="527F603D"/>
    <w:multiLevelType w:val="hybridMultilevel"/>
    <w:lvl w:ilvl="0">
      <w:lvlJc w:val="left"/>
      <w:lvlText w:val="(%1)"/>
      <w:numFmt w:val="upperLetter"/>
      <w:start w:val="7"/>
    </w:lvl>
  </w:abstractNum>
  <w:abstractNum w:abstractNumId="567">
    <w:nsid w:val="7E13D013"/>
    <w:multiLevelType w:val="hybridMultilevel"/>
    <w:lvl w:ilvl="0">
      <w:lvlJc w:val="left"/>
      <w:lvlText w:val="(%1)"/>
      <w:numFmt w:val="upperLetter"/>
      <w:start w:val="9"/>
    </w:lvl>
  </w:abstractNum>
  <w:abstractNum w:abstractNumId="568">
    <w:nsid w:val="663BFE95"/>
    <w:multiLevelType w:val="hybridMultilevel"/>
    <w:lvl w:ilvl="0">
      <w:lvlJc w:val="left"/>
      <w:lvlText w:val="(%1)"/>
      <w:numFmt w:val="lowerRoman"/>
      <w:start w:val="3"/>
    </w:lvl>
  </w:abstractNum>
  <w:abstractNum w:abstractNumId="569">
    <w:nsid w:val="31E0986F"/>
    <w:multiLevelType w:val="hybridMultilevel"/>
    <w:lvl w:ilvl="0">
      <w:lvlJc w:val="left"/>
      <w:lvlText w:val="(%1)"/>
      <w:numFmt w:val="lowerRoman"/>
      <w:start w:val="1"/>
    </w:lvl>
  </w:abstractNum>
  <w:abstractNum w:abstractNumId="570">
    <w:nsid w:val="41FCF274"/>
    <w:multiLevelType w:val="hybridMultilevel"/>
    <w:lvl w:ilvl="0">
      <w:lvlJc w:val="left"/>
      <w:lvlText w:val="4"/>
      <w:numFmt w:val="bullet"/>
      <w:start w:val="1"/>
    </w:lvl>
  </w:abstractNum>
  <w:abstractNum w:abstractNumId="571">
    <w:nsid w:val="294614F7"/>
    <w:multiLevelType w:val="hybridMultilevel"/>
    <w:lvl w:ilvl="0">
      <w:lvlJc w:val="left"/>
      <w:lvlText w:val="5"/>
      <w:numFmt w:val="bullet"/>
      <w:start w:val="1"/>
    </w:lvl>
  </w:abstractNum>
  <w:abstractNum w:abstractNumId="572">
    <w:nsid w:val="517DF487"/>
    <w:multiLevelType w:val="hybridMultilevel"/>
    <w:lvl w:ilvl="0">
      <w:lvlJc w:val="left"/>
      <w:lvlText w:val="(%1)"/>
      <w:numFmt w:val="lowerLetter"/>
      <w:start w:val="1"/>
    </w:lvl>
  </w:abstractNum>
  <w:abstractNum w:abstractNumId="573">
    <w:nsid w:val="5EBE0EAB"/>
    <w:multiLevelType w:val="hybridMultilevel"/>
    <w:lvl w:ilvl="0">
      <w:lvlJc w:val="left"/>
      <w:lvlText w:val="(%1)"/>
      <w:numFmt w:val="lowerLetter"/>
      <w:start w:val="1"/>
    </w:lvl>
  </w:abstractNum>
  <w:abstractNum w:abstractNumId="574">
    <w:nsid w:val="6E9DEAD0"/>
    <w:multiLevelType w:val="hybridMultilevel"/>
    <w:lvl w:ilvl="0">
      <w:lvlJc w:val="left"/>
      <w:lvlText w:val="(%1)"/>
      <w:numFmt w:val="lowerLetter"/>
      <w:start w:val="2"/>
    </w:lvl>
  </w:abstractNum>
  <w:abstractNum w:abstractNumId="575">
    <w:nsid w:val="4450AA00"/>
    <w:multiLevelType w:val="hybridMultilevel"/>
    <w:lvl w:ilvl="0">
      <w:lvlJc w:val="left"/>
      <w:lvlText w:val="6"/>
      <w:numFmt w:val="bullet"/>
      <w:start w:val="1"/>
    </w:lvl>
    <w:lvl w:ilvl="1">
      <w:lvlJc w:val="left"/>
      <w:lvlText w:val="(%2)"/>
      <w:numFmt w:val="lowerLetter"/>
      <w:start w:val="1"/>
    </w:lvl>
  </w:abstractNum>
  <w:abstractNum w:abstractNumId="576">
    <w:nsid w:val="4AC9F3E2"/>
    <w:multiLevelType w:val="hybridMultilevel"/>
    <w:lvl w:ilvl="0">
      <w:lvlJc w:val="left"/>
      <w:lvlText w:val="(%1)"/>
      <w:numFmt w:val="lowerLetter"/>
      <w:start w:val="2"/>
    </w:lvl>
  </w:abstractNum>
  <w:abstractNum w:abstractNumId="577">
    <w:nsid w:val="CC0A782"/>
    <w:multiLevelType w:val="hybridMultilevel"/>
    <w:lvl w:ilvl="0">
      <w:lvlJc w:val="left"/>
      <w:lvlText w:val="[***]"/>
      <w:numFmt w:val="bullet"/>
      <w:start w:val="1"/>
    </w:lvl>
  </w:abstractNum>
  <w:abstractNum w:abstractNumId="578">
    <w:nsid w:val="79B69BC9"/>
    <w:multiLevelType w:val="hybridMultilevel"/>
    <w:lvl w:ilvl="0">
      <w:lvlJc w:val="left"/>
      <w:lvlText w:val="7"/>
      <w:numFmt w:val="bullet"/>
      <w:start w:val="1"/>
    </w:lvl>
  </w:abstractNum>
  <w:abstractNum w:abstractNumId="579">
    <w:nsid w:val="2970CC78"/>
    <w:multiLevelType w:val="hybridMultilevel"/>
    <w:lvl w:ilvl="0">
      <w:lvlJc w:val="left"/>
      <w:lvlText w:val="(%1)"/>
      <w:numFmt w:val="lowerLetter"/>
      <w:start w:val="4"/>
    </w:lvl>
  </w:abstractNum>
  <w:abstractNum w:abstractNumId="580">
    <w:nsid w:val="49CA1341"/>
    <w:multiLevelType w:val="hybridMultilevel"/>
    <w:lvl w:ilvl="0">
      <w:lvlJc w:val="left"/>
      <w:lvlText w:val="(%1)"/>
      <w:numFmt w:val="lowerLetter"/>
      <w:start w:val="11"/>
    </w:lvl>
  </w:abstractNum>
  <w:abstractNum w:abstractNumId="581">
    <w:nsid w:val="58D717E"/>
    <w:multiLevelType w:val="hybridMultilevel"/>
    <w:lvl w:ilvl="0">
      <w:lvlJc w:val="left"/>
      <w:lvlText w:val="8"/>
      <w:numFmt w:val="bullet"/>
      <w:start w:val="1"/>
    </w:lvl>
  </w:abstractNum>
  <w:abstractNum w:abstractNumId="582">
    <w:nsid w:val="64C2DDD5"/>
    <w:multiLevelType w:val="hybridMultilevel"/>
    <w:lvl w:ilvl="0">
      <w:lvlJc w:val="left"/>
      <w:lvlText w:val="9"/>
      <w:numFmt w:val="bullet"/>
      <w:start w:val="1"/>
    </w:lvl>
  </w:abstractNum>
  <w:abstractNum w:abstractNumId="583">
    <w:nsid w:val="4244B8DE"/>
    <w:multiLevelType w:val="hybridMultilevel"/>
    <w:lvl w:ilvl="0">
      <w:lvlJc w:val="left"/>
      <w:lvlText w:val="(%1)"/>
      <w:numFmt w:val="lowerLetter"/>
      <w:start w:val="1"/>
    </w:lvl>
  </w:abstractNum>
  <w:abstractNum w:abstractNumId="584">
    <w:nsid w:val="76490B01"/>
    <w:multiLevelType w:val="hybridMultilevel"/>
    <w:lvl w:ilvl="0">
      <w:lvlJc w:val="left"/>
      <w:lvlText w:val="(%1)"/>
      <w:numFmt w:val="lowerLetter"/>
      <w:start w:val="1"/>
    </w:lvl>
  </w:abstractNum>
  <w:abstractNum w:abstractNumId="585">
    <w:nsid w:val="36B19CBF"/>
    <w:multiLevelType w:val="hybridMultilevel"/>
    <w:lvl w:ilvl="0">
      <w:lvlJc w:val="left"/>
      <w:lvlText w:val="(%1)"/>
      <w:numFmt w:val="lowerLetter"/>
      <w:start w:val="1"/>
    </w:lvl>
  </w:abstractNum>
  <w:abstractNum w:abstractNumId="586">
    <w:nsid w:val="645EC5AB"/>
    <w:multiLevelType w:val="hybridMultilevel"/>
    <w:lvl w:ilvl="0">
      <w:lvlJc w:val="left"/>
      <w:lvlText w:val="(%1)"/>
      <w:numFmt w:val="lowerRoman"/>
      <w:start w:val="1"/>
    </w:lvl>
  </w:abstractNum>
  <w:abstractNum w:abstractNumId="587">
    <w:nsid w:val="11C5ABEF"/>
    <w:multiLevelType w:val="hybridMultilevel"/>
    <w:lvl w:ilvl="0">
      <w:lvlJc w:val="left"/>
      <w:lvlText w:val="(%1)"/>
      <w:numFmt w:val="lowerLetter"/>
      <w:start w:val="1"/>
    </w:lvl>
    <w:lvl w:ilvl="1">
      <w:lvlJc w:val="left"/>
      <w:lvlText w:val="(%2)"/>
      <w:numFmt w:val="lowerRoman"/>
      <w:start w:val="1"/>
    </w:lvl>
  </w:abstractNum>
  <w:abstractNum w:abstractNumId="588">
    <w:nsid w:val="5A4744BE"/>
    <w:multiLevelType w:val="hybridMultilevel"/>
    <w:lvl w:ilvl="0">
      <w:lvlJc w:val="left"/>
      <w:lvlText w:val="(%1)"/>
      <w:numFmt w:val="lowerLetter"/>
      <w:start w:val="1"/>
    </w:lvl>
  </w:abstractNum>
  <w:abstractNum w:abstractNumId="589">
    <w:nsid w:val="1DC4B111"/>
    <w:multiLevelType w:val="hybridMultilevel"/>
    <w:lvl w:ilvl="0">
      <w:lvlJc w:val="left"/>
      <w:lvlText w:val="(%1)"/>
      <w:numFmt w:val="lowerLetter"/>
      <w:start w:val="1"/>
    </w:lvl>
  </w:abstractNum>
  <w:abstractNum w:abstractNumId="590">
    <w:nsid w:val="4C6E372B"/>
    <w:multiLevelType w:val="hybridMultilevel"/>
    <w:lvl w:ilvl="0">
      <w:lvlJc w:val="left"/>
      <w:lvlText w:val="(%1)"/>
      <w:numFmt w:val="lowerRoman"/>
      <w:start w:val="1"/>
    </w:lvl>
  </w:abstractNum>
  <w:abstractNum w:abstractNumId="591">
    <w:nsid w:val="10236EF"/>
    <w:multiLevelType w:val="hybridMultilevel"/>
    <w:lvl w:ilvl="0">
      <w:lvlJc w:val="left"/>
      <w:lvlText w:val="(%1)"/>
      <w:numFmt w:val="lowerLetter"/>
      <w:start w:val="1"/>
    </w:lvl>
  </w:abstractNum>
  <w:abstractNum w:abstractNumId="592">
    <w:nsid w:val="68D8526B"/>
    <w:multiLevelType w:val="hybridMultilevel"/>
    <w:lvl w:ilvl="0">
      <w:lvlJc w:val="left"/>
      <w:lvlText w:val="%1"/>
      <w:numFmt w:val="decimal"/>
      <w:start w:val="10"/>
    </w:lvl>
    <w:lvl w:ilvl="1">
      <w:lvlJc w:val="left"/>
      <w:lvlText w:val="(%2)"/>
      <w:numFmt w:val="lowerLetter"/>
      <w:start w:val="1"/>
    </w:lvl>
  </w:abstractNum>
  <w:abstractNum w:abstractNumId="593">
    <w:nsid w:val="3C8CC138"/>
    <w:multiLevelType w:val="hybridMultilevel"/>
    <w:lvl w:ilvl="0">
      <w:lvlJc w:val="left"/>
      <w:lvlText w:val="(%1)"/>
      <w:numFmt w:val="lowerLetter"/>
      <w:start w:val="1"/>
    </w:lvl>
  </w:abstractNum>
  <w:abstractNum w:abstractNumId="594">
    <w:nsid w:val="42E8C7BE"/>
    <w:multiLevelType w:val="hybridMultilevel"/>
    <w:lvl w:ilvl="0">
      <w:lvlJc w:val="left"/>
      <w:lvlText w:val="(%1)"/>
      <w:numFmt w:val="lowerLetter"/>
      <w:start w:val="2"/>
    </w:lvl>
  </w:abstractNum>
  <w:abstractNum w:abstractNumId="595">
    <w:nsid w:val="653CDC22"/>
    <w:multiLevelType w:val="hybridMultilevel"/>
    <w:lvl w:ilvl="0">
      <w:lvlJc w:val="left"/>
      <w:lvlText w:val="[***]"/>
      <w:numFmt w:val="bullet"/>
      <w:start w:val="1"/>
    </w:lvl>
  </w:abstractNum>
  <w:abstractNum w:abstractNumId="596">
    <w:nsid w:val="103B2716"/>
    <w:multiLevelType w:val="hybridMultilevel"/>
    <w:lvl w:ilvl="0">
      <w:lvlJc w:val="left"/>
      <w:lvlText w:val="(%1)"/>
      <w:numFmt w:val="lowerRoman"/>
      <w:start w:val="2"/>
    </w:lvl>
  </w:abstractNum>
  <w:abstractNum w:abstractNumId="597">
    <w:nsid w:val="156827FB"/>
    <w:multiLevelType w:val="hybridMultilevel"/>
    <w:lvl w:ilvl="0">
      <w:lvlJc w:val="left"/>
      <w:lvlText w:val="(%1)"/>
      <w:numFmt w:val="lowerLetter"/>
      <w:start w:val="1"/>
    </w:lvl>
  </w:abstractNum>
  <w:abstractNum w:abstractNumId="598">
    <w:nsid w:val="6350AC35"/>
    <w:multiLevelType w:val="hybridMultilevel"/>
    <w:lvl w:ilvl="0">
      <w:lvlJc w:val="left"/>
      <w:lvlText w:val="(%1)"/>
      <w:numFmt w:val="lowerRoman"/>
      <w:start w:val="1"/>
    </w:lvl>
  </w:abstractNum>
  <w:abstractNum w:abstractNumId="599">
    <w:nsid w:val="767725AB"/>
    <w:multiLevelType w:val="hybridMultilevel"/>
    <w:lvl w:ilvl="0">
      <w:lvlJc w:val="left"/>
      <w:lvlText w:val="[***]"/>
      <w:numFmt w:val="bullet"/>
      <w:start w:val="1"/>
    </w:lvl>
  </w:abstractNum>
  <w:abstractNum w:abstractNumId="600">
    <w:nsid w:val="4748C06A"/>
    <w:multiLevelType w:val="hybridMultilevel"/>
    <w:lvl w:ilvl="0">
      <w:lvlJc w:val="left"/>
      <w:lvlText w:val="(%1)"/>
      <w:numFmt w:val="lowerRoman"/>
      <w:start w:val="5"/>
    </w:lvl>
  </w:abstractNum>
  <w:abstractNum w:abstractNumId="601">
    <w:nsid w:val="254D9EA9"/>
    <w:multiLevelType w:val="hybridMultilevel"/>
    <w:lvl w:ilvl="0">
      <w:lvlJc w:val="left"/>
      <w:lvlText w:val="(%1)"/>
      <w:numFmt w:val="lowerLetter"/>
      <w:start w:val="1"/>
    </w:lvl>
    <w:lvl w:ilvl="1">
      <w:lvlJc w:val="left"/>
      <w:lvlText w:val="(%2)"/>
      <w:numFmt w:val="lowerLetter"/>
      <w:start w:val="9"/>
    </w:lvl>
  </w:abstractNum>
  <w:abstractNum w:abstractNumId="602">
    <w:nsid w:val="1FBD3AA3"/>
    <w:multiLevelType w:val="hybridMultilevel"/>
    <w:lvl w:ilvl="0">
      <w:lvlJc w:val="left"/>
      <w:lvlText w:val="(%1)"/>
      <w:numFmt w:val="lowerLetter"/>
      <w:start w:val="3"/>
    </w:lvl>
    <w:lvl w:ilvl="1">
      <w:lvlJc w:val="left"/>
      <w:lvlText w:val="(%2)"/>
      <w:numFmt w:val="lowerRoman"/>
      <w:start w:val="1"/>
    </w:lvl>
  </w:abstractNum>
  <w:abstractNum w:abstractNumId="603">
    <w:nsid w:val="18C6B4F2"/>
    <w:multiLevelType w:val="hybridMultilevel"/>
    <w:lvl w:ilvl="0">
      <w:lvlJc w:val="left"/>
      <w:lvlText w:val="(%1)"/>
      <w:numFmt w:val="lowerLetter"/>
      <w:start w:val="6"/>
    </w:lvl>
  </w:abstractNum>
  <w:abstractNum w:abstractNumId="604">
    <w:nsid w:val="40BAD55"/>
    <w:multiLevelType w:val="hybridMultilevel"/>
    <w:lvl w:ilvl="0">
      <w:lvlJc w:val="left"/>
      <w:lvlText w:val="(%1)"/>
      <w:numFmt w:val="lowerLetter"/>
      <w:start w:val="1"/>
    </w:lvl>
  </w:abstractNum>
  <w:abstractNum w:abstractNumId="605">
    <w:nsid w:val="E5B2573"/>
    <w:multiLevelType w:val="hybridMultilevel"/>
    <w:lvl w:ilvl="0">
      <w:lvlJc w:val="left"/>
      <w:lvlText w:val="(%1)"/>
      <w:numFmt w:val="decimal"/>
      <w:start w:val="15"/>
    </w:lvl>
  </w:abstractNum>
  <w:abstractNum w:abstractNumId="606">
    <w:nsid w:val="5D175EF2"/>
    <w:multiLevelType w:val="hybridMultilevel"/>
    <w:lvl w:ilvl="0">
      <w:lvlJc w:val="left"/>
      <w:lvlText w:val="1"/>
      <w:numFmt w:val="bullet"/>
      <w:start w:val="1"/>
    </w:lvl>
  </w:abstractNum>
  <w:abstractNum w:abstractNumId="607">
    <w:nsid w:val="4ED5A1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8">
    <w:nsid w:val="1B1BCCF5"/>
    <w:multiLevelType w:val="hybridMultilevel"/>
    <w:lvl w:ilvl="0">
      <w:lvlJc w:val="left"/>
      <w:lvlText w:val="(%1)"/>
      <w:numFmt w:val="lowerRoman"/>
      <w:start w:val="4"/>
    </w:lvl>
  </w:abstractNum>
  <w:abstractNum w:abstractNumId="609">
    <w:nsid w:val="56CDFABB"/>
    <w:multiLevelType w:val="hybridMultilevel"/>
    <w:lvl w:ilvl="0">
      <w:lvlJc w:val="left"/>
      <w:lvlText w:val="(%1)"/>
      <w:numFmt w:val="lowerLetter"/>
      <w:start w:val="3"/>
    </w:lvl>
  </w:abstractNum>
  <w:abstractNum w:abstractNumId="610">
    <w:nsid w:val="78466DAF"/>
    <w:multiLevelType w:val="hybridMultilevel"/>
    <w:lvl w:ilvl="0">
      <w:lvlJc w:val="left"/>
      <w:lvlText w:val="%1"/>
      <w:numFmt w:val="decimal"/>
      <w:start w:val="1"/>
    </w:lvl>
    <w:lvl w:ilvl="1">
      <w:lvlJc w:val="left"/>
      <w:lvlText w:val="(%2)"/>
      <w:numFmt w:val="lowerLetter"/>
      <w:start w:val="5"/>
    </w:lvl>
  </w:abstractNum>
  <w:abstractNum w:abstractNumId="611">
    <w:nsid w:val="64E5E036"/>
    <w:multiLevelType w:val="hybridMultilevel"/>
    <w:lvl w:ilvl="0">
      <w:lvlJc w:val="left"/>
      <w:lvlText w:val="%1."/>
      <w:numFmt w:val="decimal"/>
      <w:start w:val="2"/>
    </w:lvl>
    <w:lvl w:ilvl="1">
      <w:lvlJc w:val="left"/>
      <w:lvlText w:val="%2"/>
      <w:numFmt w:val="lowerLetter"/>
      <w:start w:val="1"/>
    </w:lvl>
  </w:abstractNum>
  <w:abstractNum w:abstractNumId="612">
    <w:nsid w:val="5C5B6C3A"/>
    <w:multiLevelType w:val="hybridMultilevel"/>
    <w:lvl w:ilvl="0">
      <w:lvlJc w:val="left"/>
      <w:lvlText w:val="%1."/>
      <w:numFmt w:val="decimal"/>
      <w:start w:val="3"/>
    </w:lvl>
    <w:lvl w:ilvl="1">
      <w:lvlJc w:val="left"/>
      <w:lvlText w:val="(%2)"/>
      <w:numFmt w:val="lowerLetter"/>
      <w:start w:val="1"/>
    </w:lvl>
  </w:abstractNum>
  <w:abstractNum w:abstractNumId="613">
    <w:nsid w:val="5D094B84"/>
    <w:multiLevelType w:val="hybridMultilevel"/>
    <w:lvl w:ilvl="0">
      <w:lvlJc w:val="left"/>
      <w:lvlText w:val="%1."/>
      <w:numFmt w:val="decimal"/>
      <w:start w:val="7"/>
    </w:lvl>
    <w:lvl w:ilvl="1">
      <w:lvlJc w:val="left"/>
      <w:lvlText w:val="(%2)"/>
      <w:numFmt w:val="lowerLetter"/>
      <w:start w:val="1"/>
    </w:lvl>
  </w:abstractNum>
  <w:abstractNum w:abstractNumId="614">
    <w:nsid w:val="272A991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15">
    <w:nsid w:val="52A4773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16">
    <w:nsid w:val="13BAE843"/>
    <w:multiLevelType w:val="hybridMultilevel"/>
    <w:lvl w:ilvl="0">
      <w:lvlJc w:val="left"/>
      <w:lvlText w:val="%1."/>
      <w:numFmt w:val="decimal"/>
      <w:start w:val="9"/>
    </w:lvl>
    <w:lvl w:ilvl="1">
      <w:lvlJc w:val="left"/>
      <w:lvlText w:val="(%2)"/>
      <w:numFmt w:val="lowerLetter"/>
      <w:start w:val="1"/>
    </w:lvl>
  </w:abstractNum>
  <w:abstractNum w:abstractNumId="617">
    <w:nsid w:val="B895EBF"/>
    <w:multiLevelType w:val="hybridMultilevel"/>
    <w:lvl w:ilvl="0">
      <w:lvlJc w:val="left"/>
      <w:lvlText w:val="(%1)"/>
      <w:numFmt w:val="lowerLetter"/>
      <w:start w:val="2"/>
    </w:lvl>
  </w:abstractNum>
  <w:abstractNum w:abstractNumId="618">
    <w:nsid w:val="646A232A"/>
    <w:multiLevelType w:val="hybridMultilevel"/>
    <w:lvl w:ilvl="0">
      <w:lvlJc w:val="left"/>
      <w:lvlText w:val="%1"/>
      <w:numFmt w:val="decimal"/>
      <w:start w:val="1"/>
    </w:lvl>
    <w:lvl w:ilvl="1">
      <w:lvlJc w:val="left"/>
      <w:lvlText w:val="(%2)"/>
      <w:numFmt w:val="lowerLetter"/>
      <w:start w:val="5"/>
    </w:lvl>
  </w:abstractNum>
  <w:abstractNum w:abstractNumId="619">
    <w:nsid w:val="6E022D01"/>
    <w:multiLevelType w:val="hybridMultilevel"/>
    <w:lvl w:ilvl="0">
      <w:lvlJc w:val="left"/>
      <w:lvlText w:val="%1."/>
      <w:numFmt w:val="decimal"/>
      <w:start w:val="11"/>
    </w:lvl>
    <w:lvl w:ilvl="1">
      <w:lvlJc w:val="left"/>
      <w:lvlText w:val="(%2)"/>
      <w:numFmt w:val="lowerLetter"/>
      <w:start w:val="1"/>
    </w:lvl>
  </w:abstractNum>
  <w:abstractNum w:abstractNumId="620">
    <w:nsid w:val="294E0FD0"/>
    <w:multiLevelType w:val="hybridMultilevel"/>
    <w:lvl w:ilvl="0">
      <w:lvlJc w:val="left"/>
      <w:lvlText w:val="%1"/>
      <w:numFmt w:val="decimal"/>
      <w:start w:val="1"/>
    </w:lvl>
    <w:lvl w:ilvl="1">
      <w:lvlJc w:val="left"/>
      <w:lvlText w:val="(%2)"/>
      <w:numFmt w:val="lowerLetter"/>
      <w:start w:val="3"/>
    </w:lvl>
  </w:abstractNum>
  <w:abstractNum w:abstractNumId="621">
    <w:nsid w:val="30D85A55"/>
    <w:multiLevelType w:val="hybridMultilevel"/>
    <w:lvl w:ilvl="0">
      <w:lvlJc w:val="left"/>
      <w:lvlText w:val="%1."/>
      <w:numFmt w:val="decimal"/>
      <w:start w:val="12"/>
    </w:lvl>
    <w:lvl w:ilvl="1">
      <w:lvlJc w:val="left"/>
      <w:lvlText w:val="%2"/>
      <w:numFmt w:val="lowerLetter"/>
      <w:start w:val="1"/>
    </w:lvl>
  </w:abstractNum>
  <w:abstractNum w:abstractNumId="622">
    <w:nsid w:val="6F0463F1"/>
    <w:multiLevelType w:val="hybridMultilevel"/>
    <w:lvl w:ilvl="0">
      <w:lvlJc w:val="left"/>
      <w:lvlText w:val="%1."/>
      <w:numFmt w:val="decimal"/>
      <w:start w:val="13"/>
    </w:lvl>
  </w:abstractNum>
  <w:abstractNum w:abstractNumId="623">
    <w:nsid w:val="1226623C"/>
    <w:multiLevelType w:val="hybridMultilevel"/>
    <w:lvl w:ilvl="0">
      <w:lvlJc w:val="left"/>
      <w:lvlText w:val="%1."/>
      <w:numFmt w:val="decimal"/>
      <w:start w:val="16"/>
    </w:lvl>
  </w:abstractNum>
  <w:abstractNum w:abstractNumId="624">
    <w:nsid w:val="6D651B8D"/>
    <w:multiLevelType w:val="hybridMultilevel"/>
    <w:lvl w:ilvl="0">
      <w:lvlJc w:val="left"/>
      <w:lvlText w:val="(%1)"/>
      <w:numFmt w:val="lowerRoman"/>
      <w:start w:val="5"/>
    </w:lvl>
  </w:abstractNum>
  <w:abstractNum w:abstractNumId="625">
    <w:nsid w:val="31ED2BAF"/>
    <w:multiLevelType w:val="hybridMultilevel"/>
    <w:lvl w:ilvl="0">
      <w:lvlJc w:val="left"/>
      <w:lvlText w:val="%1."/>
      <w:numFmt w:val="decimal"/>
      <w:start w:val="20"/>
    </w:lvl>
  </w:abstractNum>
  <w:abstractNum w:abstractNumId="626">
    <w:nsid w:val="77633E5E"/>
    <w:multiLevelType w:val="hybridMultilevel"/>
    <w:lvl w:ilvl="0">
      <w:lvlJc w:val="left"/>
      <w:lvlText w:val="%1."/>
      <w:numFmt w:val="decimal"/>
      <w:start w:val="1"/>
    </w:lvl>
    <w:lvl w:ilvl="1">
      <w:lvlJc w:val="left"/>
      <w:lvlText w:val="(%2)"/>
      <w:numFmt w:val="lowerLetter"/>
      <w:start w:val="1"/>
    </w:lvl>
  </w:abstractNum>
  <w:abstractNum w:abstractNumId="627">
    <w:nsid w:val="7DA042A3"/>
    <w:multiLevelType w:val="hybridMultilevel"/>
    <w:lvl w:ilvl="0">
      <w:lvlJc w:val="left"/>
      <w:lvlText w:val="(%1)"/>
      <w:numFmt w:val="lowerLetter"/>
      <w:start w:val="3"/>
    </w:lvl>
  </w:abstractNum>
  <w:abstractNum w:abstractNumId="628">
    <w:nsid w:val="475553AB"/>
    <w:multiLevelType w:val="hybridMultilevel"/>
    <w:lvl w:ilvl="0">
      <w:lvlJc w:val="left"/>
      <w:lvlText w:val="%1."/>
      <w:numFmt w:val="decimal"/>
      <w:start w:val="1"/>
    </w:lvl>
    <w:lvl w:ilvl="1">
      <w:lvlJc w:val="left"/>
      <w:lvlText w:val="(%2)"/>
      <w:numFmt w:val="lowerLetter"/>
      <w:start w:val="1"/>
    </w:lvl>
  </w:abstractNum>
  <w:abstractNum w:abstractNumId="629">
    <w:nsid w:val="5AB3EA93"/>
    <w:multiLevelType w:val="hybridMultilevel"/>
    <w:lvl w:ilvl="0">
      <w:lvlJc w:val="left"/>
      <w:lvlText w:val="(%1)"/>
      <w:numFmt w:val="lowerLetter"/>
      <w:start w:val="3"/>
    </w:lvl>
  </w:abstractNum>
  <w:abstractNum w:abstractNumId="630">
    <w:nsid w:val="7417684F"/>
    <w:multiLevelType w:val="hybridMultilevel"/>
    <w:lvl w:ilvl="0">
      <w:lvlJc w:val="left"/>
      <w:lvlText w:val="%1"/>
      <w:numFmt w:val="decimal"/>
      <w:start w:val="1"/>
    </w:lvl>
    <w:lvl w:ilvl="1">
      <w:lvlJc w:val="left"/>
      <w:lvlText w:val="%2."/>
      <w:numFmt w:val="decimal"/>
      <w:start w:val="1"/>
    </w:lvl>
  </w:abstractNum>
  <w:abstractNum w:abstractNumId="631">
    <w:nsid w:val="E9E1415"/>
    <w:multiLevelType w:val="hybridMultilevel"/>
    <w:lvl w:ilvl="0">
      <w:lvlJc w:val="left"/>
      <w:lvlText w:val="(%1)"/>
      <w:numFmt w:val="decimal"/>
      <w:start w:val="30"/>
    </w:lvl>
    <w:lvl w:ilvl="1">
      <w:lvlJc w:val="left"/>
      <w:lvlText w:val="%2."/>
      <w:numFmt w:val="decimal"/>
      <w:start w:val="3"/>
    </w:lvl>
  </w:abstractNum>
  <w:abstractNum w:abstractNumId="632">
    <w:nsid w:val="1893D"/>
    <w:multiLevelType w:val="hybridMultilevel"/>
    <w:lvl w:ilvl="0">
      <w:lvlJc w:val="left"/>
      <w:lvlText w:val="%1."/>
      <w:numFmt w:val="decimal"/>
      <w:start w:val="4"/>
    </w:lvl>
    <w:lvl w:ilvl="1">
      <w:lvlJc w:val="left"/>
      <w:lvlText w:val="(%2)"/>
      <w:numFmt w:val="lowerLetter"/>
      <w:start w:val="1"/>
    </w:lvl>
  </w:abstractNum>
  <w:abstractNum w:abstractNumId="633">
    <w:nsid w:val="13D4A2F2"/>
    <w:multiLevelType w:val="hybridMultilevel"/>
    <w:lvl w:ilvl="0">
      <w:lvlJc w:val="left"/>
      <w:lvlText w:val="(%1)"/>
      <w:numFmt w:val="lowerLetter"/>
      <w:start w:val="4"/>
    </w:lvl>
  </w:abstractNum>
  <w:abstractNum w:abstractNumId="634">
    <w:nsid w:val="2764C907"/>
    <w:multiLevelType w:val="hybridMultilevel"/>
    <w:lvl w:ilvl="0">
      <w:lvlJc w:val="left"/>
      <w:lvlText w:val="%1."/>
      <w:numFmt w:val="decimal"/>
      <w:start w:val="1"/>
    </w:lvl>
  </w:abstractNum>
  <w:abstractNum w:abstractNumId="635">
    <w:nsid w:val="40D3692"/>
    <w:multiLevelType w:val="hybridMultilevel"/>
    <w:lvl w:ilvl="0">
      <w:lvlJc w:val="left"/>
      <w:lvlText w:val="%1."/>
      <w:numFmt w:val="decimal"/>
      <w:start w:val="4"/>
    </w:lvl>
    <w:lvl w:ilvl="1">
      <w:lvlJc w:val="left"/>
      <w:lvlText w:val="(%2)"/>
      <w:numFmt w:val="lowerLetter"/>
      <w:start w:val="1"/>
    </w:lvl>
  </w:abstractNum>
  <w:abstractNum w:abstractNumId="636">
    <w:nsid w:val="222FC865"/>
    <w:multiLevelType w:val="hybridMultilevel"/>
    <w:lvl w:ilvl="0">
      <w:lvlJc w:val="left"/>
      <w:lvlText w:val="(%1)"/>
      <w:numFmt w:val="lowerLetter"/>
      <w:start w:val="4"/>
    </w:lvl>
  </w:abstractNum>
  <w:abstractNum w:abstractNumId="637">
    <w:nsid w:val="47C27F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2025-10-07T16:42:11Z</dcterms:created>
  <dcterms:modified xsi:type="dcterms:W3CDTF">2025-10-07T16:42:11Z</dcterms:modified>
</cp:coreProperties>
</file>