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19"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19"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19"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319"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19"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319"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319"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6, 2026</w:t>
      </w:r>
    </w:p>
    <w:p>
      <w:pPr>
        <w:pStyle w:val="TextBody"/>
        <w:bidi w:val="0"/>
        <w:spacing w:lineRule="auto" w:line="319"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319" w:before="120" w:after="283"/>
        <w:jc w:val="center"/>
        <w:rPr>
          <w:rFonts w:ascii="Times New Roman;serif" w:hAnsi="Times New Roman;serif"/>
          <w:b/>
          <w:color w:val="000000"/>
          <w:sz w:val="48"/>
        </w:rPr>
      </w:pPr>
      <w:r>
        <w:rPr>
          <w:rFonts w:ascii="Times New Roman;serif" w:hAnsi="Times New Roman;serif"/>
          <w:b/>
          <w:color w:val="000000"/>
          <w:sz w:val="48"/>
        </w:rPr>
        <w:t xml:space="preserve">BillionToOne, Inc. </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319"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color w:val="000000"/>
                <w:sz w:val="20"/>
              </w:rPr>
            </w:pPr>
            <w:r>
              <w:rPr>
                <w:rFonts w:ascii="Times New Roman;serif" w:hAnsi="Times New Roman;serif"/>
                <w:b/>
                <w:color w:val="000000"/>
                <w:sz w:val="20"/>
              </w:rPr>
              <w:t>001-42934</w:t>
            </w:r>
          </w:p>
        </w:tc>
        <w:tc>
          <w:tcPr>
            <w:tcW w:w="1484" w:type="dxa"/>
            <w:gridSpan w:val="3"/>
            <w:tcBorders/>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color w:val="000000"/>
                <w:sz w:val="20"/>
              </w:rPr>
            </w:pPr>
            <w:r>
              <w:rPr>
                <w:rFonts w:ascii="Times New Roman;serif" w:hAnsi="Times New Roman;serif"/>
                <w:b/>
                <w:color w:val="000000"/>
                <w:sz w:val="20"/>
              </w:rPr>
              <w:t>81-1082020</w:t>
            </w:r>
          </w:p>
        </w:tc>
      </w:tr>
      <w:tr>
        <w:trPr/>
        <w:tc>
          <w:tcPr>
            <w:tcW w:w="2069" w:type="dxa"/>
            <w:gridSpan w:val="3"/>
            <w:tcBorders/>
            <w:tcMar>
              <w:top w:w="0" w:type="dxa"/>
              <w:left w:w="0" w:type="dxa"/>
              <w:bottom w:w="0" w:type="dxa"/>
              <w:right w:w="0" w:type="dxa"/>
            </w:tcMar>
            <w:vAlign w:val="center"/>
          </w:tcPr>
          <w:p>
            <w:pPr>
              <w:pStyle w:val="TableContents"/>
              <w:bidi w:val="0"/>
              <w:spacing w:lineRule="auto" w:line="319" w:before="65"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319"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319" w:before="65" w:after="283"/>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319"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319" w:before="65"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319"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1035 O’Brien Drive</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 xml:space="preserve">Menlo Park, CA 94025 </w:t>
      </w:r>
    </w:p>
    <w:p>
      <w:pPr>
        <w:pStyle w:val="TextBody"/>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319"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460-2551</w:t>
      </w:r>
    </w:p>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319"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319"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403"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4" w:type="dxa"/>
        <w:jc w:val="left"/>
        <w:tblInd w:w="0" w:type="dxa"/>
        <w:tblLayout w:type="fixed"/>
        <w:tblCellMar>
          <w:top w:w="28" w:type="dxa"/>
          <w:left w:w="28" w:type="dxa"/>
          <w:bottom w:w="28" w:type="dxa"/>
          <w:right w:w="28" w:type="dxa"/>
        </w:tblCellMar>
      </w:tblPr>
      <w:tblGrid>
        <w:gridCol w:w="1654"/>
        <w:gridCol w:w="1450"/>
        <w:gridCol w:w="1470"/>
        <w:gridCol w:w="230"/>
        <w:gridCol w:w="230"/>
        <w:gridCol w:w="231"/>
        <w:gridCol w:w="816"/>
        <w:gridCol w:w="816"/>
        <w:gridCol w:w="1157"/>
      </w:tblGrid>
      <w:tr>
        <w:trPr/>
        <w:tc>
          <w:tcPr>
            <w:tcW w:w="165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691" w:type="dxa"/>
            <w:gridSpan w:val="3"/>
            <w:tcBorders/>
            <w:tcMar>
              <w:top w:w="0" w:type="dxa"/>
              <w:left w:w="0" w:type="dxa"/>
              <w:bottom w:w="0" w:type="dxa"/>
              <w:right w:w="0" w:type="dxa"/>
            </w:tcMar>
            <w:vAlign w:val="center"/>
          </w:tcPr>
          <w:p>
            <w:pPr>
              <w:pStyle w:val="TableContents"/>
              <w:bidi w:val="0"/>
              <w:spacing w:lineRule="auto" w:line="319" w:before="65" w:after="283"/>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319"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2789" w:type="dxa"/>
            <w:gridSpan w:val="3"/>
            <w:tcBorders/>
            <w:tcMar>
              <w:top w:w="0" w:type="dxa"/>
              <w:left w:w="0" w:type="dxa"/>
              <w:bottom w:w="0" w:type="dxa"/>
              <w:right w:w="0" w:type="dxa"/>
            </w:tcMar>
            <w:vAlign w:val="center"/>
          </w:tcPr>
          <w:p>
            <w:pPr>
              <w:pStyle w:val="TableContents"/>
              <w:bidi w:val="0"/>
              <w:spacing w:lineRule="auto" w:line="319" w:before="65" w:after="283"/>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319"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6" w:before="45" w:after="20"/>
              <w:jc w:val="center"/>
              <w:rPr>
                <w:rFonts w:ascii="Times New Roman;serif" w:hAnsi="Times New Roman;serif"/>
                <w:b/>
                <w:color w:val="000000"/>
                <w:sz w:val="20"/>
              </w:rPr>
            </w:pPr>
            <w:r>
              <w:rPr>
                <w:rFonts w:ascii="Times New Roman;serif" w:hAnsi="Times New Roman;serif"/>
                <w:b/>
                <w:color w:val="000000"/>
                <w:sz w:val="20"/>
              </w:rPr>
              <w:t>Class A common stock, par value $0.00001 per share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6" w:before="45" w:after="20"/>
              <w:jc w:val="center"/>
              <w:rPr>
                <w:rFonts w:ascii="Times New Roman;serif" w:hAnsi="Times New Roman;serif"/>
                <w:b/>
                <w:color w:val="000000"/>
                <w:sz w:val="20"/>
              </w:rPr>
            </w:pPr>
            <w:r>
              <w:rPr>
                <w:rFonts w:ascii="Times New Roman;serif" w:hAnsi="Times New Roman;serif"/>
                <w:b/>
                <w:color w:val="000000"/>
                <w:sz w:val="20"/>
              </w:rPr>
              <w:t>BLLN</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319"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19"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319"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20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2026, BillionToOne, Inc. (the “Company”) issued a press release announcing financial results for the quarter ended March 31, 2026. A copy of the Company’s press release is attached hereto as Exhibit 99.1.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Current Report on Form 8-K and the accompanying Exhibit 99.1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7409" w:type="dxa"/>
        <w:jc w:val="left"/>
        <w:tblInd w:w="0" w:type="dxa"/>
        <w:tblLayout w:type="fixed"/>
        <w:tblCellMar>
          <w:top w:w="28" w:type="dxa"/>
          <w:left w:w="28" w:type="dxa"/>
          <w:bottom w:w="28" w:type="dxa"/>
          <w:right w:w="28" w:type="dxa"/>
        </w:tblCellMar>
      </w:tblPr>
      <w:tblGrid>
        <w:gridCol w:w="293"/>
        <w:gridCol w:w="258"/>
        <w:gridCol w:w="259"/>
        <w:gridCol w:w="1928"/>
        <w:gridCol w:w="1928"/>
        <w:gridCol w:w="274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Exhibit</w:t>
            </w:r>
            <w:r>
              <w:rPr>
                <w:color w:val="000000"/>
              </w:rPr>
              <w:t xml:space="preserve"> </w:t>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hyperlink w:anchor="a991blln-earningspressrele.htm">
              <w:r>
                <w:rPr>
                  <w:rStyle w:val="InternetLink"/>
                  <w:rFonts w:ascii="Times New Roman;serif" w:hAnsi="Times New Roman;serif"/>
                  <w:b w:val="false"/>
                  <w:color w:val="0000FF"/>
                  <w:sz w:val="20"/>
                  <w:u w:val="single"/>
                </w:rPr>
                <w:t>Press Release of BillionToOne, Inc. dated May 6, 2026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19"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240" w:after="283"/>
        <w:jc w:val="left"/>
        <w:rPr/>
      </w:pPr>
      <w:r>
        <w:rPr/>
      </w:r>
    </w:p>
    <w:tbl>
      <w:tblPr>
        <w:tblW w:w="522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209"/>
        <w:gridCol w:w="209"/>
        <w:gridCol w:w="211"/>
        <w:gridCol w:w="187"/>
        <w:gridCol w:w="187"/>
        <w:gridCol w:w="187"/>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color w:val="000000"/>
                <w:sz w:val="20"/>
              </w:rPr>
            </w:pPr>
            <w:r>
              <w:rPr>
                <w:rFonts w:ascii="Times New Roman;serif" w:hAnsi="Times New Roman;serif"/>
                <w:b/>
                <w:color w:val="000000"/>
                <w:sz w:val="20"/>
              </w:rPr>
              <w:t xml:space="preserve">BillionToOne, Inc.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312" w:before="65" w:after="20"/>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 Ross Taylor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16" w:before="45"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6" w:before="45" w:after="20"/>
              <w:jc w:val="left"/>
              <w:rPr>
                <w:rFonts w:ascii="Times New Roman;serif" w:hAnsi="Times New Roman;serif"/>
                <w:b w:val="false"/>
                <w:color w:val="000000"/>
                <w:sz w:val="20"/>
              </w:rPr>
            </w:pPr>
            <w:r>
              <w:rPr>
                <w:rFonts w:ascii="Times New Roman;serif" w:hAnsi="Times New Roman;serif"/>
                <w:b w:val="false"/>
                <w:color w:val="000000"/>
                <w:sz w:val="20"/>
              </w:rPr>
              <w:t>Ross Taylor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240" w:after="240"/>
        <w:jc w:val="center"/>
        <w:rPr>
          <w:rFonts w:ascii="Arial;sans-serif" w:hAnsi="Arial;sans-serif"/>
          <w:b/>
          <w:color w:val="000000"/>
          <w:sz w:val="22"/>
        </w:rPr>
      </w:pPr>
      <w:r>
        <w:rPr>
          <w:rFonts w:ascii="Arial;sans-serif" w:hAnsi="Arial;sans-serif"/>
          <w:b/>
          <w:color w:val="000000"/>
          <w:sz w:val="22"/>
        </w:rPr>
        <w:t>BillionToOne Reports First Quarter 2026 Results and Raises 2026 Revenue Guidance</w:t>
      </w:r>
    </w:p>
    <w:p>
      <w:pPr>
        <w:pStyle w:val="TextBody"/>
        <w:bidi w:val="0"/>
        <w:spacing w:lineRule="auto" w:line="319" w:before="240" w:after="240"/>
        <w:jc w:val="left"/>
        <w:rPr/>
      </w:pPr>
      <w:r>
        <w:rPr>
          <w:rFonts w:ascii="Arial;sans-serif" w:hAnsi="Arial;sans-serif"/>
          <w:b w:val="false"/>
          <w:color w:val="000000"/>
          <w:sz w:val="20"/>
        </w:rPr>
        <w:t>MENLO PARK, CA, May 6, 2026 - BillionToOne, Inc. (NASDAQ: BLLN), a next-generation molecular diagnostics company with a mission to create powerful and accurate tests that are accessible to all, today reported its financial results for the first quarter ended March 31, 2026</w:t>
      </w:r>
      <w:r>
        <w:rPr>
          <w:color w:val="000000"/>
        </w:rPr>
        <w:t xml:space="preserve"> </w:t>
      </w:r>
      <w:r>
        <w:rPr>
          <w:rFonts w:ascii="Arial;sans-serif" w:hAnsi="Arial;sans-serif"/>
          <w:b w:val="false"/>
          <w:color w:val="000000"/>
          <w:sz w:val="20"/>
        </w:rPr>
        <w:t xml:space="preserve">and raised guidance for full year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240" w:after="240"/>
        <w:jc w:val="left"/>
        <w:rPr>
          <w:rFonts w:ascii="Arial;sans-serif" w:hAnsi="Arial;sans-serif"/>
          <w:b/>
          <w:color w:val="000000"/>
          <w:sz w:val="20"/>
        </w:rPr>
      </w:pPr>
      <w:r>
        <w:rPr>
          <w:rFonts w:ascii="Arial;sans-serif" w:hAnsi="Arial;sans-serif"/>
          <w:b/>
          <w:color w:val="000000"/>
          <w:sz w:val="20"/>
        </w:rPr>
        <w:t>Financial Highlights:</w:t>
      </w:r>
    </w:p>
    <w:p>
      <w:pPr>
        <w:pStyle w:val="TextBody"/>
        <w:bidi w:val="0"/>
        <w:spacing w:lineRule="auto" w:line="319" w:before="240" w:after="283"/>
        <w:ind w:left="0" w:right="0" w:hanging="360"/>
        <w:jc w:val="left"/>
        <w:rPr/>
      </w:pPr>
      <w:r>
        <w:rPr>
          <w:color w:val="000000"/>
        </w:rPr>
        <w:t>●</w:t>
      </w:r>
      <w:r>
        <w:rPr>
          <w:rFonts w:ascii="Arial;sans-serif" w:hAnsi="Arial;sans-serif"/>
          <w:b w:val="false"/>
          <w:color w:val="000000"/>
          <w:sz w:val="20"/>
        </w:rPr>
        <w:t>Total revenue of $108.4 million in the first quarter of 2026, compared to $59.0 million in the first quarter of 2025, an increase of 84%.</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Prenatal clinical testing revenue was $96.5 million in the first quarter of 2026, an increase of 72% from the first quarter of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Oncology clinical testing revenue was $10.7 million in the first quarter of 2026, more than four times the $2.2 million reported in the first quarter of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Gross profit margin was 73% in the first quarter of 2026, compared to 64% in the first quarter of 2025, a 9 percentage-point increase year-over-year.</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188,000 tests delivered in the first quarter of 2026, compared to 131,000 tests delivered in the first quarter of 2025, an increase of 44%.</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Income from operations of $17.8 million in the first quarter of 2026, compared to a $2.3 million operating loss in the first quarter of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Cash flow from operations minus capital expenditures was $11.0 million in the first quarter of 2026.</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Raising 2026 full year revenue guidance to be in a range of $450 million to $465 million, which represents 48% to 52% growth over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Expects to operate the business such that it will continue to generate profitability approaching current levels, even with significant continued investments.</w:t>
      </w:r>
    </w:p>
    <w:p>
      <w:pPr>
        <w:pStyle w:val="TextBody"/>
        <w:bidi w:val="0"/>
        <w:spacing w:lineRule="auto" w:line="319" w:before="240" w:after="240"/>
        <w:jc w:val="left"/>
        <w:rPr>
          <w:rFonts w:ascii="Arial;sans-serif" w:hAnsi="Arial;sans-serif"/>
          <w:b/>
          <w:color w:val="000000"/>
          <w:sz w:val="20"/>
        </w:rPr>
      </w:pPr>
      <w:r>
        <w:rPr>
          <w:rFonts w:ascii="Arial;sans-serif" w:hAnsi="Arial;sans-serif"/>
          <w:b/>
          <w:color w:val="000000"/>
          <w:sz w:val="20"/>
        </w:rPr>
        <w:t>Recent Operating Highlights: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In May, we announced the launch of Unity Confirm</w:t>
      </w:r>
      <w:r>
        <w:rPr>
          <w:rFonts w:ascii="Arial;sans-serif" w:hAnsi="Arial;sans-serif"/>
          <w:b w:val="false"/>
          <w:color w:val="000000"/>
          <w:sz w:val="13"/>
        </w:rPr>
        <w:t>TM</w:t>
      </w:r>
      <w:r>
        <w:rPr>
          <w:rFonts w:ascii="Arial;sans-serif" w:hAnsi="Arial;sans-serif"/>
          <w:b w:val="false"/>
          <w:color w:val="000000"/>
          <w:sz w:val="20"/>
        </w:rPr>
        <w:t>, a circulating fetal cell-based, non-invasive confirmation assay designed to enable confirmation of high-risk screening results. The new assay isolates intact circulating fetal cells from a simple maternal blood draw using BillionToOne’s Fetal Cell Capture</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technology. With the assay, clinicians can confirm a high-risk result from a maternal blood draw without putting the pregnancy at risk from invasive methods such as chorionic villus sampling (CVS) or amniocentesis.</w:t>
      </w:r>
    </w:p>
    <w:p>
      <w:pPr>
        <w:pStyle w:val="TextBody"/>
        <w:bidi w:val="0"/>
        <w:spacing w:lineRule="auto" w:line="319" w:before="240" w:after="240"/>
        <w:jc w:val="left"/>
        <w:rPr>
          <w:rFonts w:ascii="Arial;sans-serif" w:hAnsi="Arial;sans-serif"/>
          <w:b w:val="false"/>
          <w:color w:val="000000"/>
          <w:sz w:val="20"/>
        </w:rPr>
      </w:pPr>
      <w:r>
        <w:rPr>
          <w:rFonts w:ascii="Arial;sans-serif" w:hAnsi="Arial;sans-serif"/>
          <w:b w:val="false"/>
          <w:color w:val="000000"/>
          <w:sz w:val="20"/>
        </w:rPr>
        <w:t>"Our first quarter performance underscores the continued momentum we are building through our differentiated technology platform, category-defining products, and disciplined execution," said Dr. Oguzhan Atay, Co-Founder and CEO of BillionToOne. "In Q1 2026 we launched additional prenatal and oncology offerings and significantly expanded our payor contracts, reaching $300 million contracted lives in the U.S. We remain focused on addressing some of healthcare’s most complex challenges. As we move through 2026, we believe we are only beginning to realize the full potential of our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822" w:type="dxa"/>
        <w:jc w:val="left"/>
        <w:tblInd w:w="0" w:type="dxa"/>
        <w:tblLayout w:type="fixed"/>
        <w:tblCellMar>
          <w:top w:w="28" w:type="dxa"/>
          <w:left w:w="28" w:type="dxa"/>
          <w:bottom w:w="28" w:type="dxa"/>
          <w:right w:w="28" w:type="dxa"/>
        </w:tblCellMar>
      </w:tblPr>
      <w:tblGrid>
        <w:gridCol w:w="1190"/>
        <w:gridCol w:w="1046"/>
        <w:gridCol w:w="1049"/>
        <w:gridCol w:w="380"/>
        <w:gridCol w:w="1112"/>
        <w:gridCol w:w="196"/>
        <w:gridCol w:w="196"/>
        <w:gridCol w:w="196"/>
        <w:gridCol w:w="196"/>
        <w:gridCol w:w="380"/>
        <w:gridCol w:w="922"/>
        <w:gridCol w:w="196"/>
        <w:gridCol w:w="109"/>
        <w:gridCol w:w="109"/>
        <w:gridCol w:w="109"/>
        <w:gridCol w:w="232"/>
        <w:gridCol w:w="234"/>
        <w:gridCol w:w="271"/>
        <w:gridCol w:w="109"/>
        <w:gridCol w:w="109"/>
        <w:gridCol w:w="109"/>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March 31,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8"/>
              </w:rPr>
            </w:pPr>
            <w:r>
              <w:rPr>
                <w:rFonts w:ascii="Arial;sans-serif" w:hAnsi="Arial;sans-serif"/>
                <w:b/>
                <w:color w:val="000000"/>
                <w:sz w:val="18"/>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Revenue ($ in millions)</w:t>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Prenatal</w:t>
            </w:r>
          </w:p>
        </w:tc>
        <w:tc>
          <w:tcPr>
            <w:tcW w:w="380"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96.5 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Oncology</w:t>
            </w:r>
          </w:p>
        </w:tc>
        <w:tc>
          <w:tcPr>
            <w:tcW w:w="380"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Clinical trial support and other services</w:t>
            </w:r>
          </w:p>
        </w:tc>
        <w:tc>
          <w:tcPr>
            <w:tcW w:w="38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108.4 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8123" w:type="dxa"/>
            <w:gridSpan w:val="18"/>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4"/>
              </w:rPr>
            </w:pPr>
            <w:r>
              <w:rPr>
                <w:rFonts w:ascii="Arial;sans-serif" w:hAnsi="Arial;sans-serif"/>
                <w:b w:val="false"/>
                <w:i/>
                <w:color w:val="000000"/>
                <w:sz w:val="14"/>
              </w:rPr>
              <w:t>Note: Numbers may not add due to rounding</w:t>
            </w:r>
          </w:p>
        </w:tc>
        <w:tc>
          <w:tcPr>
            <w:tcW w:w="699" w:type="dxa"/>
            <w:gridSpan w:val="6"/>
            <w:tcBorders/>
          </w:tcPr>
          <w:p>
            <w:pPr>
              <w:pStyle w:val="TableContents"/>
              <w:bidi w:val="0"/>
              <w:spacing w:before="0" w:after="283"/>
              <w:jc w:val="left"/>
              <w:rPr>
                <w:sz w:val="4"/>
                <w:szCs w:val="4"/>
              </w:rPr>
            </w:pPr>
            <w:r>
              <w:rPr>
                <w:sz w:val="4"/>
                <w:szCs w:val="4"/>
              </w:rPr>
            </w:r>
          </w:p>
        </w:tc>
      </w:tr>
    </w:tbl>
    <w:tbl>
      <w:tblPr>
        <w:tblW w:w="7461" w:type="dxa"/>
        <w:jc w:val="left"/>
        <w:tblInd w:w="0" w:type="dxa"/>
        <w:tblLayout w:type="fixed"/>
        <w:tblCellMar>
          <w:top w:w="28" w:type="dxa"/>
          <w:left w:w="28" w:type="dxa"/>
          <w:bottom w:w="28" w:type="dxa"/>
          <w:right w:w="28" w:type="dxa"/>
        </w:tblCellMar>
      </w:tblPr>
      <w:tblGrid>
        <w:gridCol w:w="734"/>
        <w:gridCol w:w="644"/>
        <w:gridCol w:w="646"/>
        <w:gridCol w:w="420"/>
        <w:gridCol w:w="927"/>
        <w:gridCol w:w="217"/>
        <w:gridCol w:w="217"/>
        <w:gridCol w:w="217"/>
        <w:gridCol w:w="217"/>
        <w:gridCol w:w="420"/>
        <w:gridCol w:w="927"/>
        <w:gridCol w:w="217"/>
        <w:gridCol w:w="109"/>
        <w:gridCol w:w="109"/>
        <w:gridCol w:w="109"/>
        <w:gridCol w:w="180"/>
        <w:gridCol w:w="181"/>
        <w:gridCol w:w="271"/>
        <w:gridCol w:w="109"/>
        <w:gridCol w:w="109"/>
        <w:gridCol w:w="109"/>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March 31,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8"/>
              </w:rPr>
            </w:pPr>
            <w:r>
              <w:rPr>
                <w:rFonts w:ascii="Arial;sans-serif" w:hAnsi="Arial;sans-serif"/>
                <w:b/>
                <w:color w:val="000000"/>
                <w:sz w:val="18"/>
              </w:rPr>
              <w:t>2026</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tests accessioned</w:t>
            </w:r>
          </w:p>
        </w:tc>
        <w:tc>
          <w:tcPr>
            <w:tcW w:w="134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189,000 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137,000 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tests delivered</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188,000 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131,000 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Overall ASP</w:t>
            </w:r>
          </w:p>
        </w:tc>
        <w:tc>
          <w:tcPr>
            <w:tcW w:w="42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240" w:after="240"/>
        <w:jc w:val="left"/>
        <w:rPr>
          <w:rFonts w:ascii="Arial;sans-serif" w:hAnsi="Arial;sans-serif"/>
          <w:b/>
          <w:color w:val="000000"/>
          <w:sz w:val="20"/>
        </w:rPr>
      </w:pPr>
      <w:r>
        <w:rPr>
          <w:rFonts w:ascii="Arial;sans-serif" w:hAnsi="Arial;sans-serif"/>
          <w:b/>
          <w:color w:val="000000"/>
          <w:sz w:val="20"/>
        </w:rPr>
        <w:t>First Quarter 2026 Financial Results</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Total revenue was $108.4 million in the first quarter of 2026 compared to $59.0 million in the first quarter of 2025, an increase of 84%. The increase in total revenue was driven by a 44% increase in the number of total tests delivered and a 28% increase in Overall ASP. Both prenatal and oncology delivered strong test volume growth year-over-year.</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Gross profit was $79.1 million in the first quarter of 2026, compared to $38.0 million in the first quarter of 2025, representing a gross margin of 73% in the first quarter of 2026 and 64% in the first quarter of 2025. An increase in Overall ASP drove the improvement in gross profit margin compared to the first quarter of 2025. Overall cost-per-test remained relatively stable in the first quarter of 2026 compared to last year, as improvements in cost-per-test for both of our oncology products and for our prenatal products were offset by the faster growth of our oncology products, which have higher costs-per-test.</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 xml:space="preserve">Total operating expenses were $61.3 million in the first quarter of 2026, compared to $40.3 million in the first quarter of 2025 an increase of 52%. </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Income from operations was $17.8 million in the first quarter of 2026, compared to a loss from operations of $2.3 million in the first quarter of 2025. Operating margin was 16% in the first quarter of 2026.</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 xml:space="preserve">Net income in the first quarter of 2026 was $18.0 million, or $0.34 per diluted share, compared to a net loss of $4.0 million, or $(0.39) per diluted share, in the first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240" w:after="240"/>
        <w:jc w:val="left"/>
        <w:rPr>
          <w:rFonts w:ascii="Arial;sans-serif" w:hAnsi="Arial;sans-serif"/>
          <w:b/>
          <w:color w:val="000000"/>
          <w:sz w:val="20"/>
        </w:rPr>
      </w:pPr>
      <w:r>
        <w:rPr>
          <w:rFonts w:ascii="Arial;sans-serif" w:hAnsi="Arial;sans-serif"/>
          <w:b/>
          <w:color w:val="000000"/>
          <w:sz w:val="20"/>
        </w:rPr>
        <w:t xml:space="preserve">Financial Outlook </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BillionToOne now expects full year 2026 total revenue of $450.0 million to $465.0 million, representing growth of 48% to 52% compared to full year 2025. This compares to the company’s previous guidance of $430 million to $445 million.</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BillionToOne also expects to operate the business such that it will continue to generate profitability approaching current levels, even with significant continued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240" w:after="240"/>
        <w:jc w:val="left"/>
        <w:rPr>
          <w:rFonts w:ascii="Arial;sans-serif" w:hAnsi="Arial;sans-serif"/>
          <w:b/>
          <w:color w:val="000000"/>
          <w:sz w:val="20"/>
        </w:rPr>
      </w:pPr>
      <w:r>
        <w:rPr>
          <w:rFonts w:ascii="Arial;sans-serif" w:hAnsi="Arial;sans-serif"/>
          <w:b/>
          <w:color w:val="000000"/>
          <w:sz w:val="20"/>
        </w:rPr>
        <w:t>Webcast and Conference Call Information</w:t>
      </w:r>
    </w:p>
    <w:p>
      <w:pPr>
        <w:pStyle w:val="TextBody"/>
        <w:bidi w:val="0"/>
        <w:spacing w:lineRule="auto" w:line="319" w:before="240" w:after="283"/>
        <w:jc w:val="left"/>
        <w:rPr/>
      </w:pPr>
      <w:r>
        <w:rPr>
          <w:rFonts w:ascii="Arial;sans-serif" w:hAnsi="Arial;sans-serif"/>
          <w:b w:val="false"/>
          <w:color w:val="000000"/>
          <w:sz w:val="20"/>
        </w:rPr>
        <w:t xml:space="preserve">BillionToOne will host a conference call today, May 6, 2026, at 1:30pm Pacific Time / 4:30pm Eastern Time. Investors interested in listening to the conference call are required to </w:t>
      </w:r>
      <w:r>
        <w:rPr>
          <w:rFonts w:ascii="Arial;sans-serif" w:hAnsi="Arial;sans-serif"/>
          <w:b w:val="false"/>
          <w:color w:val="1155CC"/>
          <w:sz w:val="20"/>
          <w:u w:val="single"/>
        </w:rPr>
        <w:t>register online</w:t>
      </w:r>
      <w:r>
        <w:rPr>
          <w:rFonts w:ascii="Arial;sans-serif" w:hAnsi="Arial;sans-serif"/>
          <w:b w:val="false"/>
          <w:color w:val="000000"/>
          <w:sz w:val="20"/>
        </w:rPr>
        <w:t xml:space="preserve">. A live and archived webcast of the event for interested listeners can be accessed at </w:t>
      </w:r>
    </w:p>
    <w:p>
      <w:pPr>
        <w:pStyle w:val="TextBody"/>
        <w:bidi w:val="0"/>
        <w:spacing w:lineRule="auto" w:line="319" w:before="120" w:after="283"/>
        <w:jc w:val="left"/>
        <w:rPr/>
      </w:pPr>
      <w:r>
        <w:rPr>
          <w:rFonts w:ascii="Arial;sans-serif" w:hAnsi="Arial;sans-serif"/>
          <w:b w:val="false"/>
          <w:color w:val="1155CC"/>
          <w:sz w:val="20"/>
          <w:u w:val="single"/>
        </w:rPr>
        <w:t>https://investors.billiontoone.com/</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240" w:after="240"/>
        <w:jc w:val="left"/>
        <w:rPr>
          <w:rFonts w:ascii="Arial;sans-serif" w:hAnsi="Arial;sans-serif"/>
          <w:b/>
          <w:color w:val="000000"/>
          <w:sz w:val="20"/>
        </w:rPr>
      </w:pPr>
      <w:r>
        <w:rPr>
          <w:rFonts w:ascii="Arial;sans-serif" w:hAnsi="Arial;sans-serif"/>
          <w:b/>
          <w:color w:val="000000"/>
          <w:sz w:val="20"/>
        </w:rPr>
        <w:t>About BillionToOne</w:t>
      </w:r>
    </w:p>
    <w:p>
      <w:pPr>
        <w:pStyle w:val="TextBody"/>
        <w:bidi w:val="0"/>
        <w:spacing w:lineRule="auto" w:line="319" w:before="240" w:after="240"/>
        <w:jc w:val="left"/>
        <w:rPr>
          <w:rFonts w:ascii="Arial;sans-serif" w:hAnsi="Arial;sans-serif"/>
          <w:b w:val="false"/>
          <w:color w:val="000000"/>
          <w:sz w:val="20"/>
        </w:rPr>
      </w:pPr>
      <w:r>
        <w:rPr>
          <w:rFonts w:ascii="Arial;sans-serif" w:hAnsi="Arial;sans-serif"/>
          <w:b w:val="false"/>
          <w:color w:val="000000"/>
          <w:sz w:val="20"/>
        </w:rPr>
        <w:t xml:space="preserve">Headquartered in Menlo Park, California, BillionToOne is a molecular diagnostics company with a mission to create powerful and accurate tests that are accessible to all. The company's patented Quantitative Counting Templates™ (QCT™) molecular counting platform is the only multiplex technology that can accurately count DNA molecules at the single-molecule level.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This press release contains certain forward-looking statements within the meaning of federal securities laws.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Forward-looking statements in this press release include, but are not limited to, statements regarding revenue, income and other financial information for the full year of 2026. These statements are based on management’s current expectations, forecasts and assumptions, and actual outcomes and results could differ materially from these statements due to a number of factors, some of which are beyond BillionToOne’s control. These and additional risks and uncertainties that could affect BillionToOne’s financial and operating results and cause actual results to differ materially from those indicated by the forward-looking statements made in this press release. These risks and uncertainties include those discussed under the captions “Risk Factors” and “Management’s Discussion and Analysis of Financial Condition and Results of Operation” and elsewhere in BillionToOne’s most recently filed quarterly report on Form 10-Q, the annual report on Form 10-K and other filings BillionToOne makes with the Securities and Exchange Commission from time to time. The forward-looking statements in this press release are based on information available to BillionToOne as of the date hereof, and BillionToOne disclaims any obligation to update any forward-looking statements provided to reflect any change in its expectations or any change in events, conditions, or circumstances on which any such statement is based, except as required by law. These forward-looking statements should not be relied upon as representing BillionToOne’s views as of any date subsequent to the date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We use certain non-GAAP financial measures to supplement our financial results, which are presented in accordance with GAAP. These non-GAAP financial measures include EBITDA and Adjusted EBITDA. By excluding the impact of certain items that we believe do not directly reflect our underlying operations, we are of the opinion that EBITDA, and Adjusted EBITDA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forecasting. These metrics also provide investors and other users of our financial information with additional tools to compare business performance across companies and periods, while eliminating the effects of items that may vary for different companies for reasons unrelated to core operating performance. However, there are a number of limitations related to the use of non-GAAP financial measures, and these non-GAAP measures should be </w:t>
      </w:r>
    </w:p>
    <w:p>
      <w:pPr>
        <w:pStyle w:val="TextBody"/>
        <w:bidi w:val="0"/>
        <w:spacing w:before="0" w:after="0"/>
        <w:jc w:val="left"/>
        <w:rPr/>
      </w:pPr>
      <w:r>
        <w:rPr/>
        <w:drawing>
          <wp:inline distT="0" distB="0" distL="0" distR="0">
            <wp:extent cx="1276350" cy="6667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A reconciliation between GAAP and non-GAAP financial information is provided immediately following the financial tables. A reconciliation of the forecasted range for adjusted EBITDA for the full year 2026 is not included in this release due to the number of variables in the projected range and because we are currently unable to quantify accurately certain amounts that would be required to be included in the U.S. GAAP measure or the individual adjustments for such reconciliation.</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EBITDA</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define EBITDA as net income (loss) adjusted for income taxes, interest income, interest expense, and depreciation and amortization expense.</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Adjusted EBITDA</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We define Adjusted EBITDA as net income (loss) adjusted for income taxes, interest income, interest expense, depreciation and amortization expense, and certain other items which include significant non-cash items events that are highly variable, significant in size, and that we do not believe are indicative of ongoing or future business operations, which include: stock-based compensation expense; change in fair value of term loan; and change in fair value of warrant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Statements of Operations and Comprehensive Income (Loss)</w:t>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(in thousands, except per share amounts, unaudited)</w:t>
      </w:r>
    </w:p>
    <w:tbl>
      <w:tblPr>
        <w:tblW w:w="9595" w:type="dxa"/>
        <w:jc w:val="center"/>
        <w:tblInd w:w="0" w:type="dxa"/>
        <w:tblLayout w:type="fixed"/>
        <w:tblCellMar>
          <w:top w:w="28" w:type="dxa"/>
          <w:left w:w="28" w:type="dxa"/>
          <w:bottom w:w="28" w:type="dxa"/>
          <w:right w:w="28" w:type="dxa"/>
        </w:tblCellMar>
      </w:tblPr>
      <w:tblGrid>
        <w:gridCol w:w="2462"/>
        <w:gridCol w:w="2156"/>
        <w:gridCol w:w="2177"/>
        <w:gridCol w:w="196"/>
        <w:gridCol w:w="736"/>
        <w:gridCol w:w="109"/>
        <w:gridCol w:w="109"/>
        <w:gridCol w:w="109"/>
        <w:gridCol w:w="109"/>
        <w:gridCol w:w="196"/>
        <w:gridCol w:w="646"/>
        <w:gridCol w:w="109"/>
        <w:gridCol w:w="109"/>
        <w:gridCol w:w="109"/>
        <w:gridCol w:w="109"/>
        <w:gridCol w:w="154"/>
      </w:tblGrid>
      <w:tr>
        <w:trPr/>
        <w:tc>
          <w:tcPr>
            <w:tcW w:w="2462"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108,388 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58,963 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79,096 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40,287 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fair value of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 xml:space="preserve">Total other (expense) income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Income (loss)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 (loss) and comprehensive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 (loss) per share, basic and 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 (loss) per share, basic</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 (loss) per share, 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Weighted-average shares used in calculating net income (loss) per share, basic and diluted:</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Weighted-average shares used in calculating net income (loss) per share, basic</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45,932,719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10,312,892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Weighted-average shares used in calculating net income (loss) per share, diluted</w:t>
            </w:r>
          </w:p>
        </w:tc>
        <w:tc>
          <w:tcPr>
            <w:tcW w:w="1041"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53,028,360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10,312,892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 xml:space="preserve">Balance Sheets </w:t>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(in thousands, except share amounts, unaudited)</w:t>
      </w:r>
    </w:p>
    <w:tbl>
      <w:tblPr>
        <w:tblW w:w="10205" w:type="dxa"/>
        <w:jc w:val="center"/>
        <w:tblInd w:w="0" w:type="dxa"/>
        <w:tblLayout w:type="fixed"/>
        <w:tblCellMar>
          <w:top w:w="28" w:type="dxa"/>
          <w:left w:w="28" w:type="dxa"/>
          <w:bottom w:w="28" w:type="dxa"/>
          <w:right w:w="28" w:type="dxa"/>
        </w:tblCellMar>
      </w:tblPr>
      <w:tblGrid>
        <w:gridCol w:w="3010"/>
        <w:gridCol w:w="2339"/>
        <w:gridCol w:w="2139"/>
        <w:gridCol w:w="210"/>
        <w:gridCol w:w="790"/>
        <w:gridCol w:w="117"/>
        <w:gridCol w:w="109"/>
        <w:gridCol w:w="109"/>
        <w:gridCol w:w="109"/>
        <w:gridCol w:w="229"/>
        <w:gridCol w:w="862"/>
        <w:gridCol w:w="182"/>
      </w:tblGrid>
      <w:tr>
        <w:trPr/>
        <w:tc>
          <w:tcPr>
            <w:tcW w:w="3010"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600" w:type="dxa"/>
            <w:gridSpan w:val="6"/>
            <w:tcBorders/>
          </w:tcPr>
          <w:p>
            <w:pPr>
              <w:pStyle w:val="TableContents"/>
              <w:bidi w:val="0"/>
              <w:spacing w:before="0" w:after="283"/>
              <w:jc w:val="left"/>
              <w:rPr>
                <w:sz w:val="4"/>
                <w:szCs w:val="4"/>
              </w:rPr>
            </w:pPr>
            <w:r>
              <w:rPr>
                <w:sz w:val="4"/>
                <w:szCs w:val="4"/>
              </w:rPr>
            </w:r>
          </w:p>
        </w:tc>
      </w:tr>
      <w:tr>
        <w:trPr/>
        <w:tc>
          <w:tcPr>
            <w:tcW w:w="7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319" w:before="0" w:after="283"/>
              <w:ind w:left="0" w:right="0" w:hanging="200"/>
              <w:jc w:val="center"/>
              <w:rPr>
                <w:rFonts w:ascii="Arial;sans-serif" w:hAnsi="Arial;sans-serif"/>
                <w:b/>
                <w:color w:val="000000"/>
                <w:sz w:val="16"/>
              </w:rPr>
            </w:pPr>
            <w:r>
              <w:rPr>
                <w:rFonts w:ascii="Arial;sans-serif" w:hAnsi="Arial;sans-serif"/>
                <w:b/>
                <w:color w:val="000000"/>
                <w:sz w:val="16"/>
              </w:rPr>
              <w:t>December 31, 2025</w:t>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Assets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Current assets: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537,450 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495,975 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61,305 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41,617 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19,217 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17,545 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6,166 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5,421 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624,138 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560,558 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22,277 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20,361 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Operating lease right-of-use assets,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49,396 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46,742 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4,993 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700,727 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632,654 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color w:val="000000"/>
                <w:sz w:val="16"/>
              </w:rPr>
            </w:pPr>
            <w:r>
              <w:rPr>
                <w:rFonts w:ascii="Arial;sans-serif" w:hAnsi="Arial;sans-serif"/>
                <w:b/>
                <w:color w:val="000000"/>
                <w:sz w:val="16"/>
              </w:rPr>
              <w:t>Liabilities and stockholders’ equity</w:t>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8,702 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7,184 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8,634 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7,247 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Accrued commissions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3,581 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3,912 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Accrued compensation and employee benefits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18,283 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12,551 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Common stock warrant liability</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8,924 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9,282 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2,188 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5,818 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5,079 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Financing lease liabilities, current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57,162 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47,962 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47,695 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45,723 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Financing lease liabilities, non-current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90,005 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57,226 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195,107 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152,549 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Stockholders’ equity:</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Class A common stock, $0.00001 par value, 800,000,000 shares authorized as of March 31, 2026 and December 31, 2025; 41,428,242 and 41,252,105 shares issued and outstanding as of March 31, 2026 and December 31, 2025, respectively</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Class B common stock, $0.00001 par value; 10,000,000 shares authorized as of March 31, 2026 and December 31, 2025; 4,552,650 shares issued and outstanding as of March 31, 2026 and December 31, 2025</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764,189 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756,644 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(1,792)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(1,792)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Accumulated deficit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(256,777)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(274,747)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505,620 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480,105 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700,727 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632,654 </w:t>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6"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BillionToOne, Inc.</w:t>
      </w:r>
    </w:p>
    <w:p>
      <w:pPr>
        <w:pStyle w:val="TextBody"/>
        <w:bidi w:val="0"/>
        <w:spacing w:lineRule="auto" w:line="319" w:before="0" w:after="0"/>
        <w:jc w:val="center"/>
        <w:rPr/>
      </w:pPr>
      <w:r>
        <w:rPr>
          <w:rFonts w:ascii="Arial;sans-serif" w:hAnsi="Arial;sans-serif"/>
          <w:b/>
          <w:color w:val="000000"/>
          <w:sz w:val="22"/>
        </w:rPr>
        <w:t>Statements of Cash Flows</w:t>
      </w:r>
      <w:r>
        <w:rPr>
          <w:color w:val="000000"/>
        </w:rPr>
        <w:t xml:space="preserve"> </w:t>
      </w:r>
    </w:p>
    <w:p>
      <w:pPr>
        <w:pStyle w:val="TextBody"/>
        <w:bidi w:val="0"/>
        <w:spacing w:lineRule="auto" w:line="319" w:before="0" w:after="240"/>
        <w:jc w:val="center"/>
        <w:rPr>
          <w:rFonts w:ascii="Arial;sans-serif" w:hAnsi="Arial;sans-serif"/>
          <w:b w:val="false"/>
          <w:color w:val="000000"/>
          <w:sz w:val="22"/>
        </w:rPr>
      </w:pPr>
      <w:r>
        <w:rPr>
          <w:rFonts w:ascii="Arial;sans-serif" w:hAnsi="Arial;sans-serif"/>
          <w:b w:val="false"/>
          <w:color w:val="000000"/>
          <w:sz w:val="22"/>
        </w:rPr>
        <w:t>(in thousands, unaudited)</w:t>
      </w:r>
    </w:p>
    <w:tbl>
      <w:tblPr>
        <w:tblW w:w="10205" w:type="dxa"/>
        <w:jc w:val="left"/>
        <w:tblInd w:w="0" w:type="dxa"/>
        <w:tblLayout w:type="fixed"/>
        <w:tblCellMar>
          <w:top w:w="28" w:type="dxa"/>
          <w:left w:w="28" w:type="dxa"/>
          <w:bottom w:w="28" w:type="dxa"/>
          <w:right w:w="28" w:type="dxa"/>
        </w:tblCellMar>
      </w:tblPr>
      <w:tblGrid>
        <w:gridCol w:w="2768"/>
        <w:gridCol w:w="2420"/>
        <w:gridCol w:w="2429"/>
        <w:gridCol w:w="220"/>
        <w:gridCol w:w="788"/>
        <w:gridCol w:w="113"/>
        <w:gridCol w:w="113"/>
        <w:gridCol w:w="113"/>
        <w:gridCol w:w="113"/>
        <w:gridCol w:w="220"/>
        <w:gridCol w:w="740"/>
        <w:gridCol w:w="168"/>
      </w:tblGrid>
      <w:tr>
        <w:trPr/>
        <w:tc>
          <w:tcPr>
            <w:tcW w:w="2768"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r>
      <w:tr>
        <w:trPr/>
        <w:tc>
          <w:tcPr>
            <w:tcW w:w="7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color w:val="000000"/>
                <w:sz w:val="20"/>
              </w:rPr>
            </w:pPr>
            <w:r>
              <w:rPr>
                <w:rFonts w:ascii="Arial;sans-serif" w:hAnsi="Arial;sans-serif"/>
                <w:b/>
                <w:color w:val="000000"/>
                <w:sz w:val="20"/>
              </w:rPr>
              <w:t>Cash flows from operating activities: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20"/>
              </w:rPr>
            </w:pPr>
            <w:r>
              <w:rPr>
                <w:rFonts w:ascii="Arial;sans-serif" w:hAnsi="Arial;sans-serif"/>
                <w:b w:val="false"/>
                <w:color w:val="000000"/>
                <w:sz w:val="20"/>
              </w:rPr>
              <w:t>Net income (loss)</w:t>
            </w:r>
          </w:p>
        </w:tc>
        <w:tc>
          <w:tcPr>
            <w:tcW w:w="22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17,970 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(3,988)</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operating activities: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6,510 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61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Amortization of operating right-of-use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Loss on disposal of fixed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Change in fair value of common stock warrant liability</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Change in fair value of redeemable convertible preferred stock warrant liability</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61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i/>
                <w:color w:val="000000"/>
                <w:sz w:val="20"/>
              </w:rPr>
            </w:pPr>
            <w:r>
              <w:rPr>
                <w:rFonts w:ascii="Arial;sans-serif" w:hAnsi="Arial;sans-serif"/>
                <w:b w:val="false"/>
                <w:i/>
                <w:color w:val="000000"/>
                <w:sz w:val="20"/>
              </w:rPr>
              <w:t>Changes in operating assets and liabilities: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Accounts receivable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(19,688)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(4,881)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Inventories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(1,672)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(3,326)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Accounts payable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commissions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compensation and employee benefits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5,512 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Deferred revenue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(682)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(1,051)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15,430 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2,625 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color w:val="000000"/>
                <w:sz w:val="20"/>
              </w:rPr>
            </w:pPr>
            <w:r>
              <w:rPr>
                <w:rFonts w:ascii="Arial;sans-serif" w:hAnsi="Arial;sans-serif"/>
                <w:b/>
                <w:color w:val="000000"/>
                <w:sz w:val="20"/>
              </w:rPr>
              <w:t>Cash flows from investing activities: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(4,471)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(4,471)</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(2,347)</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0"/>
        <w:jc w:val="left"/>
        <w:rPr/>
      </w:pPr>
      <w:r>
        <w:rPr/>
        <w:drawing>
          <wp:inline distT="0" distB="0" distL="0" distR="0">
            <wp:extent cx="1276350" cy="6667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8"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BillionToOne, Inc.</w:t>
      </w:r>
    </w:p>
    <w:p>
      <w:pPr>
        <w:pStyle w:val="TextBody"/>
        <w:bidi w:val="0"/>
        <w:spacing w:lineRule="auto" w:line="319" w:before="0" w:after="0"/>
        <w:jc w:val="center"/>
        <w:rPr/>
      </w:pPr>
      <w:r>
        <w:rPr>
          <w:rFonts w:ascii="Arial;sans-serif" w:hAnsi="Arial;sans-serif"/>
          <w:b/>
          <w:color w:val="000000"/>
          <w:sz w:val="22"/>
        </w:rPr>
        <w:t>Statements of Cash Flows</w:t>
      </w:r>
      <w:r>
        <w:rPr>
          <w:color w:val="000000"/>
        </w:rPr>
        <w:t xml:space="preserve"> </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(in thousands,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68"/>
        <w:gridCol w:w="2450"/>
        <w:gridCol w:w="2161"/>
        <w:gridCol w:w="211"/>
        <w:gridCol w:w="856"/>
        <w:gridCol w:w="109"/>
        <w:gridCol w:w="109"/>
        <w:gridCol w:w="109"/>
        <w:gridCol w:w="109"/>
        <w:gridCol w:w="211"/>
        <w:gridCol w:w="856"/>
        <w:gridCol w:w="156"/>
      </w:tblGrid>
      <w:tr>
        <w:trPr/>
        <w:tc>
          <w:tcPr>
            <w:tcW w:w="2868"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color w:val="000000"/>
                <w:sz w:val="20"/>
              </w:rPr>
            </w:pPr>
            <w:r>
              <w:rPr>
                <w:rFonts w:ascii="Arial;sans-serif" w:hAnsi="Arial;sans-serif"/>
                <w:b/>
                <w:color w:val="000000"/>
                <w:sz w:val="20"/>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issuance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Principal payments on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Payment of deferred offering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increase in cash and cash equivalents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495,975 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191,477 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537,450 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191,599 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Supplemental cash flow disclosure: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payments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color w:val="000000"/>
                <w:sz w:val="20"/>
              </w:rPr>
            </w:pPr>
            <w:r>
              <w:rPr>
                <w:rFonts w:ascii="Arial;sans-serif" w:hAnsi="Arial;sans-serif"/>
                <w:b/>
                <w:color w:val="000000"/>
                <w:sz w:val="20"/>
              </w:rPr>
              <w:t>Supplemental non-cash investing and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20"/>
              </w:rPr>
            </w:pPr>
            <w:r>
              <w:rPr>
                <w:rFonts w:ascii="Arial;sans-serif" w:hAnsi="Arial;sans-serif"/>
                <w:b w:val="false"/>
                <w:color w:val="000000"/>
                <w:sz w:val="20"/>
              </w:rPr>
              <w:t>Purchases of property and equipment in accounts payable and accrued expenses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20"/>
              </w:rPr>
            </w:pPr>
            <w:r>
              <w:rPr>
                <w:rFonts w:ascii="Arial;sans-serif" w:hAnsi="Arial;sans-serif"/>
                <w:b w:val="false"/>
                <w:color w:val="000000"/>
                <w:sz w:val="20"/>
              </w:rPr>
              <w:t>Deferred offering costs in accounts payable and 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20"/>
              </w:rPr>
            </w:pPr>
            <w:r>
              <w:rPr>
                <w:rFonts w:ascii="Arial;sans-serif" w:hAnsi="Arial;sans-serif"/>
                <w:b w:val="false"/>
                <w:color w:val="000000"/>
                <w:sz w:val="20"/>
              </w:rPr>
              <w:t>Right-of-use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cash flows from financing leases (interest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Exercise of stock options for which cash had not been received</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center"/>
        <w:rPr>
          <w:rFonts w:ascii="Arial;sans-serif" w:hAnsi="Arial;sans-serif"/>
          <w:b/>
          <w:color w:val="000000"/>
          <w:sz w:val="22"/>
        </w:rPr>
      </w:pPr>
      <w:r>
        <w:rPr>
          <w:rFonts w:ascii="Arial;sans-serif" w:hAnsi="Arial;sans-serif"/>
          <w:b/>
          <w:color w:val="000000"/>
          <w:sz w:val="22"/>
        </w:rPr>
        <w:t>Reconciliation of Net Income (Loss) to EBITDA</w:t>
      </w:r>
    </w:p>
    <w:p>
      <w:pPr>
        <w:pStyle w:val="TextBody"/>
        <w:bidi w:val="0"/>
        <w:spacing w:lineRule="auto" w:line="288" w:before="160" w:after="160"/>
        <w:jc w:val="center"/>
        <w:rPr>
          <w:rFonts w:ascii="Arial;sans-serif" w:hAnsi="Arial;sans-serif"/>
          <w:b w:val="false"/>
          <w:color w:val="000000"/>
          <w:sz w:val="22"/>
        </w:rPr>
      </w:pPr>
      <w:r>
        <w:rPr>
          <w:rFonts w:ascii="Arial;sans-serif" w:hAnsi="Arial;sans-serif"/>
          <w:b w:val="false"/>
          <w:color w:val="000000"/>
          <w:sz w:val="22"/>
        </w:rPr>
        <w:t>(in thousands, unaudited)</w:t>
      </w:r>
    </w:p>
    <w:tbl>
      <w:tblPr>
        <w:tblW w:w="5605" w:type="dxa"/>
        <w:jc w:val="center"/>
        <w:tblInd w:w="0" w:type="dxa"/>
        <w:tblLayout w:type="fixed"/>
        <w:tblCellMar>
          <w:top w:w="28" w:type="dxa"/>
          <w:left w:w="28" w:type="dxa"/>
          <w:bottom w:w="28" w:type="dxa"/>
          <w:right w:w="28" w:type="dxa"/>
        </w:tblCellMar>
      </w:tblPr>
      <w:tblGrid>
        <w:gridCol w:w="978"/>
        <w:gridCol w:w="859"/>
        <w:gridCol w:w="863"/>
        <w:gridCol w:w="211"/>
        <w:gridCol w:w="751"/>
        <w:gridCol w:w="109"/>
        <w:gridCol w:w="109"/>
        <w:gridCol w:w="109"/>
        <w:gridCol w:w="109"/>
        <w:gridCol w:w="211"/>
        <w:gridCol w:w="706"/>
        <w:gridCol w:w="109"/>
        <w:gridCol w:w="109"/>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Arial;sans-serif" w:hAnsi="Arial;sans-serif"/>
          <w:b/>
          <w:color w:val="000000"/>
          <w:sz w:val="22"/>
        </w:rPr>
      </w:pPr>
      <w:r>
        <w:rPr>
          <w:rFonts w:ascii="Arial;sans-serif" w:hAnsi="Arial;sans-serif"/>
          <w:b/>
          <w:color w:val="000000"/>
          <w:sz w:val="22"/>
        </w:rPr>
        <w:t>Reconciliation of Net Income (Loss) to Adjusted EBITDA</w:t>
      </w:r>
    </w:p>
    <w:p>
      <w:pPr>
        <w:pStyle w:val="TextBody"/>
        <w:bidi w:val="0"/>
        <w:spacing w:lineRule="auto" w:line="288" w:before="0" w:after="160"/>
        <w:jc w:val="center"/>
        <w:rPr>
          <w:rFonts w:ascii="Arial;sans-serif" w:hAnsi="Arial;sans-serif"/>
          <w:b w:val="false"/>
          <w:color w:val="000000"/>
          <w:sz w:val="22"/>
        </w:rPr>
      </w:pPr>
      <w:r>
        <w:rPr>
          <w:rFonts w:ascii="Arial;sans-serif" w:hAnsi="Arial;sans-serif"/>
          <w:b w:val="false"/>
          <w:color w:val="000000"/>
          <w:sz w:val="22"/>
        </w:rPr>
        <w:t>(in thousands, unaudited)</w:t>
      </w:r>
    </w:p>
    <w:tbl>
      <w:tblPr>
        <w:tblW w:w="6474" w:type="dxa"/>
        <w:jc w:val="left"/>
        <w:tblInd w:w="0" w:type="dxa"/>
        <w:tblLayout w:type="fixed"/>
        <w:tblCellMar>
          <w:top w:w="28" w:type="dxa"/>
          <w:left w:w="28" w:type="dxa"/>
          <w:bottom w:w="28" w:type="dxa"/>
          <w:right w:w="28" w:type="dxa"/>
        </w:tblCellMar>
      </w:tblPr>
      <w:tblGrid>
        <w:gridCol w:w="1293"/>
        <w:gridCol w:w="1135"/>
        <w:gridCol w:w="1141"/>
        <w:gridCol w:w="211"/>
        <w:gridCol w:w="751"/>
        <w:gridCol w:w="109"/>
        <w:gridCol w:w="109"/>
        <w:gridCol w:w="109"/>
        <w:gridCol w:w="109"/>
        <w:gridCol w:w="211"/>
        <w:gridCol w:w="706"/>
        <w:gridCol w:w="109"/>
        <w:gridCol w:w="109"/>
        <w:gridCol w:w="109"/>
        <w:gridCol w:w="109"/>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319" w:before="0" w:after="160"/>
        <w:jc w:val="left"/>
        <w:rPr/>
      </w:pPr>
      <w:r>
        <w:rPr>
          <w:rFonts w:ascii="Arial;sans-serif" w:hAnsi="Arial;sans-serif"/>
          <w:b w:val="false"/>
          <w:color w:val="1155CC"/>
          <w:sz w:val="20"/>
          <w:u w:val="single"/>
        </w:rPr>
        <w:t>ir@billiontoone.com</w:t>
      </w:r>
      <w:r>
        <w:rPr>
          <w:color w:val="000000"/>
        </w:rPr>
        <w:t xml:space="preserve"> </w:t>
      </w:r>
    </w:p>
    <w:p>
      <w:pPr>
        <w:pStyle w:val="TextBody"/>
        <w:bidi w:val="0"/>
        <w:spacing w:lineRule="auto" w:line="319"/>
        <w:jc w:val="left"/>
        <w:rPr/>
      </w:pPr>
      <w:r>
        <w:rPr>
          <w:rFonts w:ascii="Arial;sans-serif" w:hAnsi="Arial;sans-serif"/>
          <w:b/>
          <w:color w:val="000000"/>
          <w:sz w:val="20"/>
        </w:rPr>
        <w:t>Media Contact</w:t>
        <w:br/>
      </w:r>
      <w:r>
        <w:rPr>
          <w:rFonts w:ascii="Arial;sans-serif" w:hAnsi="Arial;sans-serif"/>
          <w:b w:val="false"/>
          <w:color w:val="1155CC"/>
          <w:sz w:val="20"/>
          <w:u w:val="single"/>
        </w:rPr>
        <w:t>billiontoone@moxiegrouppr.com</w:t>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3117</Words>
  <Characters>17697</Characters>
  <CharactersWithSpaces>20451</CharactersWithSpaces>
  <Paragraphs>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