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551815</wp:posOffset>
            </wp:positionV>
            <wp:extent cx="7123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577215</wp:posOffset>
            </wp:positionV>
            <wp:extent cx="71234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8890"/>
                    </a:xfrm>
                    <a:prstGeom prst="rect">
                      <a:avLst/>
                    </a:prstGeom>
                    <a:noFill/>
                  </pic:spPr>
                </pic:pic>
              </a:graphicData>
            </a:graphic>
          </wp:anchor>
        </w:drawing>
        <w:t>UNITED STATES</w:t>
      </w:r>
    </w:p>
    <w:p>
      <w:pPr>
        <w:spacing w:after="0" w:line="6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8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75"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1"/>
          <w:szCs w:val="11"/>
          <w:color w:val="auto"/>
        </w:rPr>
        <w:t>___________________________________</w:t>
      </w:r>
    </w:p>
    <w:p>
      <w:pPr>
        <w:spacing w:after="0" w:line="17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70"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1"/>
          <w:szCs w:val="11"/>
          <w:color w:val="auto"/>
        </w:rPr>
        <w:t>___________________________________</w:t>
      </w:r>
    </w:p>
    <w:p>
      <w:pPr>
        <w:spacing w:after="0" w:line="20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1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23, 2026</w:t>
      </w:r>
    </w:p>
    <w:p>
      <w:pPr>
        <w:spacing w:after="0" w:line="33"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1"/>
          <w:szCs w:val="11"/>
          <w:color w:val="auto"/>
        </w:rPr>
        <w:t>___________________________________</w:t>
      </w:r>
    </w:p>
    <w:p>
      <w:pPr>
        <w:spacing w:after="0" w:line="1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BillionToOne, Inc.</w:t>
      </w:r>
    </w:p>
    <w:p>
      <w:pPr>
        <w:spacing w:after="0" w:line="8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6"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1"/>
          <w:szCs w:val="11"/>
          <w:color w:val="auto"/>
        </w:rPr>
        <w:t>___________________________________</w:t>
      </w:r>
    </w:p>
    <w:p>
      <w:pPr>
        <w:sectPr>
          <w:pgSz w:w="11900" w:h="16838" w:orient="portrait"/>
          <w:cols w:equalWidth="0" w:num="1">
            <w:col w:w="11140"/>
          </w:cols>
          <w:pgMar w:left="320" w:top="1307" w:right="439" w:bottom="1440" w:gutter="0" w:footer="0" w:header="0"/>
        </w:sectPr>
      </w:pPr>
    </w:p>
    <w:p>
      <w:pPr>
        <w:spacing w:after="0" w:line="175"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001-42934</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81-1082020</w:t>
      </w:r>
    </w:p>
    <w:p>
      <w:pPr>
        <w:spacing w:after="0" w:line="167" w:lineRule="exact"/>
        <w:rPr>
          <w:sz w:val="24"/>
          <w:szCs w:val="24"/>
          <w:color w:val="auto"/>
        </w:rPr>
      </w:pPr>
    </w:p>
    <w:p>
      <w:pPr>
        <w:sectPr>
          <w:pgSz w:w="11900" w:h="16838" w:orient="portrait"/>
          <w:cols w:equalWidth="0" w:num="3">
            <w:col w:w="4440" w:space="720"/>
            <w:col w:w="2880" w:space="720"/>
            <w:col w:w="2380"/>
          </w:cols>
          <w:pgMar w:left="320" w:top="1307" w:right="439" w:bottom="1440" w:gutter="0" w:footer="0" w:header="0"/>
          <w:type w:val="continuous"/>
        </w:sectPr>
      </w:pPr>
    </w:p>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29"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38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29"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64" w:lineRule="exact"/>
        <w:rPr>
          <w:sz w:val="24"/>
          <w:szCs w:val="24"/>
          <w:color w:val="auto"/>
        </w:rPr>
      </w:pPr>
    </w:p>
    <w:p>
      <w:pPr>
        <w:sectPr>
          <w:pgSz w:w="11900" w:h="16838" w:orient="portrait"/>
          <w:cols w:equalWidth="0" w:num="3">
            <w:col w:w="4400" w:space="720"/>
            <w:col w:w="2800" w:space="720"/>
            <w:col w:w="2500"/>
          </w:cols>
          <w:pgMar w:left="320" w:top="1307" w:right="439" w:bottom="1440" w:gutter="0" w:footer="0" w:header="0"/>
          <w:type w:val="continuous"/>
        </w:sect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1035 O’Brien Drive</w:t>
      </w:r>
    </w:p>
    <w:p>
      <w:pPr>
        <w:spacing w:after="0" w:line="3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Menlo Park, CA 94025</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20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(650) 460-2551</w:t>
      </w:r>
    </w:p>
    <w:p>
      <w:pPr>
        <w:spacing w:after="0" w:line="28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9"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1"/>
          <w:szCs w:val="11"/>
          <w:color w:val="auto"/>
        </w:rPr>
        <w:t>___________________________________</w:t>
      </w:r>
    </w:p>
    <w:p>
      <w:pPr>
        <w:sectPr>
          <w:pgSz w:w="11900" w:h="16838" w:orient="portrait"/>
          <w:cols w:equalWidth="0" w:num="1">
            <w:col w:w="11140"/>
          </w:cols>
          <w:pgMar w:left="320" w:top="1307" w:right="439" w:bottom="1440" w:gutter="0" w:footer="0" w:header="0"/>
          <w:type w:val="continuous"/>
        </w:sectPr>
      </w:pPr>
    </w:p>
    <w:p>
      <w:pPr>
        <w:spacing w:after="0" w:line="203" w:lineRule="exact"/>
        <w:rPr>
          <w:sz w:val="24"/>
          <w:szCs w:val="24"/>
          <w:color w:val="auto"/>
        </w:rPr>
      </w:pPr>
    </w:p>
    <w:p>
      <w:pPr>
        <w:ind w:right="580"/>
        <w:spacing w:after="0" w:line="308"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13" w:lineRule="exact"/>
        <w:rPr>
          <w:sz w:val="24"/>
          <w:szCs w:val="24"/>
          <w:color w:val="auto"/>
        </w:rPr>
      </w:pPr>
    </w:p>
    <w:p>
      <w:pPr>
        <w:ind w:left="920" w:hanging="548"/>
        <w:spacing w:after="0"/>
        <w:tabs>
          <w:tab w:leader="none" w:pos="920" w:val="left"/>
        </w:tabs>
        <w:numPr>
          <w:ilvl w:val="0"/>
          <w:numId w:val="1"/>
        </w:numPr>
        <w:rPr>
          <w:rFonts w:ascii="MS PGothic" w:cs="MS PGothic" w:eastAsia="MS PGothic" w:hAnsi="MS PGothic"/>
          <w:sz w:val="36"/>
          <w:szCs w:val="36"/>
          <w:color w:val="auto"/>
          <w:vertAlign w:val="subscript"/>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82" w:lineRule="exact"/>
        <w:rPr>
          <w:rFonts w:ascii="MS PGothic" w:cs="MS PGothic" w:eastAsia="MS PGothic" w:hAnsi="MS PGothic"/>
          <w:sz w:val="36"/>
          <w:szCs w:val="36"/>
          <w:color w:val="auto"/>
          <w:vertAlign w:val="subscript"/>
        </w:rPr>
      </w:pPr>
    </w:p>
    <w:p>
      <w:pPr>
        <w:ind w:left="920" w:hanging="548"/>
        <w:spacing w:after="0" w:line="188" w:lineRule="auto"/>
        <w:tabs>
          <w:tab w:leader="none" w:pos="920" w:val="left"/>
        </w:tabs>
        <w:numPr>
          <w:ilvl w:val="0"/>
          <w:numId w:val="1"/>
        </w:numPr>
        <w:rPr>
          <w:rFonts w:ascii="MS PGothic" w:cs="MS PGothic" w:eastAsia="MS PGothic" w:hAnsi="MS PGothic"/>
          <w:sz w:val="36"/>
          <w:szCs w:val="36"/>
          <w:color w:val="auto"/>
          <w:vertAlign w:val="subscript"/>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82" w:lineRule="exact"/>
        <w:rPr>
          <w:rFonts w:ascii="MS PGothic" w:cs="MS PGothic" w:eastAsia="MS PGothic" w:hAnsi="MS PGothic"/>
          <w:sz w:val="36"/>
          <w:szCs w:val="36"/>
          <w:color w:val="auto"/>
          <w:vertAlign w:val="subscript"/>
        </w:rPr>
      </w:pPr>
    </w:p>
    <w:p>
      <w:pPr>
        <w:ind w:left="920" w:hanging="548"/>
        <w:spacing w:after="0" w:line="188" w:lineRule="auto"/>
        <w:tabs>
          <w:tab w:leader="none" w:pos="920" w:val="left"/>
        </w:tabs>
        <w:numPr>
          <w:ilvl w:val="0"/>
          <w:numId w:val="1"/>
        </w:numPr>
        <w:rPr>
          <w:rFonts w:ascii="MS PGothic" w:cs="MS PGothic" w:eastAsia="MS PGothic" w:hAnsi="MS PGothic"/>
          <w:sz w:val="36"/>
          <w:szCs w:val="36"/>
          <w:color w:val="auto"/>
          <w:vertAlign w:val="subscript"/>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82" w:lineRule="exact"/>
        <w:rPr>
          <w:rFonts w:ascii="MS PGothic" w:cs="MS PGothic" w:eastAsia="MS PGothic" w:hAnsi="MS PGothic"/>
          <w:sz w:val="36"/>
          <w:szCs w:val="36"/>
          <w:color w:val="auto"/>
          <w:vertAlign w:val="subscript"/>
        </w:rPr>
      </w:pPr>
    </w:p>
    <w:p>
      <w:pPr>
        <w:ind w:left="920" w:hanging="548"/>
        <w:spacing w:after="0" w:line="188" w:lineRule="auto"/>
        <w:tabs>
          <w:tab w:leader="none" w:pos="920" w:val="left"/>
        </w:tabs>
        <w:numPr>
          <w:ilvl w:val="0"/>
          <w:numId w:val="1"/>
        </w:numPr>
        <w:rPr>
          <w:rFonts w:ascii="MS PGothic" w:cs="MS PGothic" w:eastAsia="MS PGothic" w:hAnsi="MS PGothic"/>
          <w:sz w:val="36"/>
          <w:szCs w:val="36"/>
          <w:color w:val="auto"/>
          <w:vertAlign w:val="subscript"/>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65" w:lineRule="exact"/>
        <w:rPr>
          <w:sz w:val="24"/>
          <w:szCs w:val="24"/>
          <w:color w:val="auto"/>
        </w:rPr>
      </w:pPr>
    </w:p>
    <w:tbl>
      <w:tblPr>
        <w:tblLayout w:type="fixed"/>
        <w:tblInd w:w="80" w:type="dxa"/>
        <w:tblCellMar>
          <w:top w:w="0" w:type="dxa"/>
          <w:left w:w="0" w:type="dxa"/>
          <w:bottom w:w="0" w:type="dxa"/>
          <w:right w:w="0" w:type="dxa"/>
        </w:tblCellMar>
      </w:tblPr>
      <w:tr>
        <w:trPr>
          <w:trHeight w:val="189"/>
        </w:trPr>
        <w:tc>
          <w:tcPr>
            <w:tcW w:w="5320" w:type="dxa"/>
            <w:vAlign w:val="bottom"/>
          </w:tcPr>
          <w:p>
            <w:pPr>
              <w:spacing w:after="0"/>
              <w:rPr>
                <w:sz w:val="16"/>
                <w:szCs w:val="16"/>
                <w:color w:val="auto"/>
              </w:rPr>
            </w:pPr>
          </w:p>
        </w:tc>
        <w:tc>
          <w:tcPr>
            <w:tcW w:w="1860" w:type="dxa"/>
            <w:vAlign w:val="bottom"/>
          </w:tcPr>
          <w:p>
            <w:pPr>
              <w:ind w:left="66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90"/>
        </w:trPr>
        <w:tc>
          <w:tcPr>
            <w:tcW w:w="5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860" w:type="dxa"/>
            <w:vAlign w:val="bottom"/>
          </w:tcPr>
          <w:p>
            <w:pPr>
              <w:ind w:left="68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64"/>
        </w:trPr>
        <w:tc>
          <w:tcPr>
            <w:tcW w:w="5320" w:type="dxa"/>
            <w:vAlign w:val="bottom"/>
            <w:tcBorders>
              <w:bottom w:val="single" w:sz="8" w:color="auto"/>
            </w:tcBorders>
          </w:tcPr>
          <w:p>
            <w:pPr>
              <w:spacing w:after="0"/>
              <w:rPr>
                <w:sz w:val="5"/>
                <w:szCs w:val="5"/>
                <w:color w:val="auto"/>
              </w:rPr>
            </w:pPr>
          </w:p>
        </w:tc>
        <w:tc>
          <w:tcPr>
            <w:tcW w:w="1860" w:type="dxa"/>
            <w:vAlign w:val="bottom"/>
            <w:tcBorders>
              <w:bottom w:val="single" w:sz="8" w:color="auto"/>
            </w:tcBorders>
          </w:tcPr>
          <w:p>
            <w:pPr>
              <w:spacing w:after="0"/>
              <w:rPr>
                <w:sz w:val="5"/>
                <w:szCs w:val="5"/>
                <w:color w:val="auto"/>
              </w:rPr>
            </w:pPr>
          </w:p>
        </w:tc>
        <w:tc>
          <w:tcPr>
            <w:tcW w:w="38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2"/>
        </w:trPr>
        <w:tc>
          <w:tcPr>
            <w:tcW w:w="5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 A common stock, par value $0.00001 per share</w:t>
            </w:r>
          </w:p>
        </w:tc>
        <w:tc>
          <w:tcPr>
            <w:tcW w:w="1860" w:type="dxa"/>
            <w:vAlign w:val="bottom"/>
            <w:vMerge w:val="restart"/>
          </w:tcPr>
          <w:p>
            <w:pPr>
              <w:ind w:left="660"/>
              <w:spacing w:after="0"/>
              <w:rPr>
                <w:sz w:val="20"/>
                <w:szCs w:val="20"/>
                <w:color w:val="auto"/>
              </w:rPr>
            </w:pPr>
            <w:r>
              <w:rPr>
                <w:rFonts w:ascii="Times New Roman" w:cs="Times New Roman" w:eastAsia="Times New Roman" w:hAnsi="Times New Roman"/>
                <w:sz w:val="18"/>
                <w:szCs w:val="18"/>
                <w:b w:val="1"/>
                <w:bCs w:val="1"/>
                <w:color w:val="auto"/>
              </w:rPr>
              <w:t>BLLN</w:t>
            </w: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r>
        <w:trPr>
          <w:trHeight w:val="59"/>
        </w:trPr>
        <w:tc>
          <w:tcPr>
            <w:tcW w:w="5320" w:type="dxa"/>
            <w:vAlign w:val="bottom"/>
            <w:vMerge w:val="continue"/>
          </w:tcPr>
          <w:p>
            <w:pPr>
              <w:spacing w:after="0"/>
              <w:rPr>
                <w:sz w:val="5"/>
                <w:szCs w:val="5"/>
                <w:color w:val="auto"/>
              </w:rPr>
            </w:pPr>
          </w:p>
        </w:tc>
        <w:tc>
          <w:tcPr>
            <w:tcW w:w="1860" w:type="dxa"/>
            <w:vAlign w:val="bottom"/>
            <w:vMerge w:val="continue"/>
          </w:tcPr>
          <w:p>
            <w:pPr>
              <w:spacing w:after="0"/>
              <w:rPr>
                <w:sz w:val="5"/>
                <w:szCs w:val="5"/>
                <w:color w:val="auto"/>
              </w:rPr>
            </w:pPr>
          </w:p>
        </w:tc>
        <w:tc>
          <w:tcPr>
            <w:tcW w:w="38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9" w:lineRule="exact"/>
        <w:rPr>
          <w:sz w:val="24"/>
          <w:szCs w:val="24"/>
          <w:color w:val="auto"/>
        </w:rPr>
      </w:pPr>
    </w:p>
    <w:p>
      <w:pPr>
        <w:ind w:right="420"/>
        <w:spacing w:after="0" w:line="313"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2" w:lineRule="exact"/>
        <w:rPr>
          <w:sz w:val="24"/>
          <w:szCs w:val="24"/>
          <w:color w:val="auto"/>
        </w:rPr>
      </w:pPr>
    </w:p>
    <w:p>
      <w:pPr>
        <w:ind w:right="60"/>
        <w:spacing w:after="0" w:line="24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801370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290830</wp:posOffset>
            </wp:positionV>
            <wp:extent cx="71234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316865</wp:posOffset>
            </wp:positionV>
            <wp:extent cx="71234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ectPr>
          <w:pgSz w:w="11900" w:h="16838" w:orient="portrait"/>
          <w:cols w:equalWidth="0" w:num="1">
            <w:col w:w="11140"/>
          </w:cols>
          <w:pgMar w:left="320" w:top="1307"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16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June 23, 2026, BillionToOne, Inc. (the “Company”) entered into a lease (the “Lease”) with Whipple Road Portfolio, LLC (the “Landlord”), pursuant to which the Company will lease approximately 62,659 square feet of office and laboratory space at 3260 Whipple Road, Union City, CA 94587. The leased space is intended to provide additional laboratory capacity to support anticipated growth in test volumes over the next several years, as total test volumes have exceeded the Company’s plan over the last year. The laboratory space at the leased premises will be dedicated to the Company's oncology products, more than tripling the current oncology-dedicated laboratory space. Once completed, this facility will expand the Company’s total facility space by approximately 16%.</w:t>
      </w:r>
    </w:p>
    <w:p>
      <w:pPr>
        <w:spacing w:after="0" w:line="12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Prior to the commencement date of the Lease, the Landlord and Company will perform certain work to build out the laboratory space and office facility at the leased premises, which will be partially paid for with the tenant improvement allowance discussed below. The Lease is anticipated to commence on or about August 1, 2027, following the substantial completion of tenant improvements, and has an initial term of 12 years. The Lease includes an option to further extend the lease for an additional 10 years at the then-prevailing market rate.</w:t>
      </w:r>
    </w:p>
    <w:p>
      <w:pPr>
        <w:spacing w:after="0" w:line="9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aggregate base rent payments due over the 12-year term of the Lease are approximately $46.7 million, with the Landlord providing an initial 12-month rent abatement period and a tenant improvement allowance of up to $12.5 million. The Lease contains customary provisions requiring the Company to pay its pro rata share of operating expenses and certain taxes, assessments and fees related to the leased premises, as well as a security deposit of $407,910 payable upon signing the Lease. The Company and Landlord have made customary representations, warranties and covenants in the Lease.</w:t>
      </w:r>
    </w:p>
    <w:p>
      <w:pPr>
        <w:spacing w:after="0" w:line="11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terms of the Lease is qualified in its entirety by reference to the Lease, a copy of which will be filed as an exhibit to the Company’s Quarterly Report on Form 10-Q for the period ended June 30, 2026.</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Registrant.</w:t>
      </w:r>
    </w:p>
    <w:p>
      <w:pPr>
        <w:spacing w:after="0" w:line="148"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information set forth above in Item 1.01 of this Current Report on Form 8-K regarding the Lease Agreement is incorporated into this Item 2.03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650240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27" w:right="3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00" w:lineRule="exact"/>
        <w:rPr>
          <w:sz w:val="20"/>
          <w:szCs w:val="20"/>
          <w:color w:val="auto"/>
        </w:rPr>
      </w:pPr>
    </w:p>
    <w:p>
      <w:pPr>
        <w:spacing w:after="0" w:line="251" w:lineRule="exact"/>
        <w:rPr>
          <w:sz w:val="20"/>
          <w:szCs w:val="20"/>
          <w:color w:val="auto"/>
        </w:rPr>
      </w:pPr>
    </w:p>
    <w:p>
      <w:pPr>
        <w:ind w:left="20"/>
        <w:spacing w:after="0"/>
        <w:tabs>
          <w:tab w:leader="none" w:pos="1720" w:val="left"/>
        </w:tabs>
        <w:rPr>
          <w:sz w:val="20"/>
          <w:szCs w:val="20"/>
          <w:color w:val="auto"/>
        </w:rPr>
      </w:pPr>
      <w:r>
        <w:rPr>
          <w:rFonts w:ascii="Times New Roman" w:cs="Times New Roman" w:eastAsia="Times New Roman" w:hAnsi="Times New Roman"/>
          <w:sz w:val="18"/>
          <w:szCs w:val="18"/>
          <w:b w:val="1"/>
          <w:bCs w:val="1"/>
          <w:u w:val="single" w:color="auto"/>
          <w:color w:val="auto"/>
        </w:rPr>
        <w:t>Exhibit</w:t>
      </w:r>
      <w:r>
        <w:rPr>
          <w:sz w:val="20"/>
          <w:szCs w:val="20"/>
          <w:color w:val="auto"/>
        </w:rPr>
        <w:tab/>
      </w:r>
      <w:r>
        <w:rPr>
          <w:rFonts w:ascii="Times New Roman" w:cs="Times New Roman" w:eastAsia="Times New Roman" w:hAnsi="Times New Roman"/>
          <w:sz w:val="18"/>
          <w:szCs w:val="18"/>
          <w:b w:val="1"/>
          <w:bCs w:val="1"/>
          <w:u w:val="single" w:color="auto"/>
          <w:color w:val="auto"/>
        </w:rPr>
        <w:t>Description</w:t>
      </w:r>
    </w:p>
    <w:p>
      <w:pPr>
        <w:spacing w:after="0" w:line="67" w:lineRule="exact"/>
        <w:rPr>
          <w:sz w:val="20"/>
          <w:szCs w:val="20"/>
          <w:color w:val="auto"/>
        </w:rPr>
      </w:pPr>
    </w:p>
    <w:p>
      <w:pPr>
        <w:ind w:left="20"/>
        <w:spacing w:after="0"/>
        <w:tabs>
          <w:tab w:leader="none" w:pos="17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Regarding Forward-Looking Statements</w:t>
      </w:r>
    </w:p>
    <w:p>
      <w:pPr>
        <w:spacing w:after="0" w:line="16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Form 8-K contains certain forward-looking statements within the meaning of federal securities laws. These forward-looking statements generally are identified by the words “believe,” “project,” “expect,” “anticipate,” “estimate,” “intend,” “strategy,” “future,” “opportunity,” “plan,” “may,” “should,” “will,” “would,” “will be,” “will continue,” “will likely result,” and similar expressions. Forward-looking statements are predictions, projections and other statements about future events that are based on current expectations and assumptions and, as a result, are subject to risks and uncertainties. Forward-looking statements in this Form 8-K include, but are not limited to, statements regarding anticipated growth in test volumes. These statements are based on management’s current expectations, forecasts and assumptions, and actual outcomes and results could differ materially from these statements due to a number of factors, some of which are beyond BillionToOne’s control. These and additional risks and uncertainties could affect BillionToOne’s financial and operating results and cause actual results to differ materially from those indicated by the forward-looking statements made in this Form 8-K. These risks and uncertainties include those discussed under the captions “Risk Factors” and “Management’s Discussion and Analysis of Financial Condition and Results of Operation” and elsewhere in BillionToOne’s most recently filed quarterly report on Form 10-Q, the annual report on Form 10-K and other filings BillionToOne makes with the Securities and Exchange Commission from time to time. The forward-looking statements in this Form 8-K are based on information available to BillionToOne as of the date hereof, and BillionToOne disclaims any obligation to update any forward-looking statements provided to reflect any change in its expectations or any change in events, conditions, or circumstances on which any such statement is based, except as required by law. These forward-looking statements should not be relied upon as representing BillionToOne’s views as of any date subsequent to the date of this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663575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31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30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8020" w:type="dxa"/>
            <w:vAlign w:val="bottom"/>
            <w:gridSpan w:val="2"/>
          </w:tcPr>
          <w:p>
            <w:pPr>
              <w:ind w:left="3000"/>
              <w:spacing w:after="0"/>
              <w:rPr>
                <w:sz w:val="20"/>
                <w:szCs w:val="20"/>
                <w:color w:val="auto"/>
              </w:rPr>
            </w:pPr>
            <w:r>
              <w:rPr>
                <w:rFonts w:ascii="Times New Roman" w:cs="Times New Roman" w:eastAsia="Times New Roman" w:hAnsi="Times New Roman"/>
                <w:sz w:val="18"/>
                <w:szCs w:val="18"/>
                <w:b w:val="1"/>
                <w:bCs w:val="1"/>
                <w:color w:val="auto"/>
              </w:rPr>
              <w:t>BillionToOne, Inc.</w:t>
            </w:r>
          </w:p>
        </w:tc>
      </w:tr>
      <w:tr>
        <w:trPr>
          <w:trHeight w:val="66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29, 2026</w:t>
            </w:r>
          </w:p>
        </w:tc>
        <w:tc>
          <w:tcPr>
            <w:tcW w:w="3980" w:type="dxa"/>
            <w:vAlign w:val="bottom"/>
          </w:tcPr>
          <w:p>
            <w:pPr>
              <w:ind w:left="3000"/>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Ross Taylor</w:t>
            </w:r>
          </w:p>
        </w:tc>
      </w:tr>
      <w:tr>
        <w:trPr>
          <w:trHeight w:val="27"/>
        </w:trPr>
        <w:tc>
          <w:tcPr>
            <w:tcW w:w="720" w:type="dxa"/>
            <w:vAlign w:val="bottom"/>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3980" w:type="dxa"/>
            <w:vAlign w:val="bottom"/>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r>
      <w:tr>
        <w:trPr>
          <w:trHeight w:val="291"/>
        </w:trPr>
        <w:tc>
          <w:tcPr>
            <w:tcW w:w="7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980" w:type="dxa"/>
            <w:vAlign w:val="bottom"/>
          </w:tcPr>
          <w:p>
            <w:pPr>
              <w:ind w:left="3000"/>
              <w:spacing w:after="0"/>
              <w:rPr>
                <w:sz w:val="20"/>
                <w:szCs w:val="20"/>
                <w:color w:val="auto"/>
              </w:rPr>
            </w:pPr>
            <w:r>
              <w:rPr>
                <w:rFonts w:ascii="Times New Roman" w:cs="Times New Roman" w:eastAsia="Times New Roman" w:hAnsi="Times New Roman"/>
                <w:sz w:val="18"/>
                <w:szCs w:val="18"/>
                <w:color w:val="auto"/>
              </w:rPr>
              <w:t>Name:</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Ross Taylor</w:t>
            </w:r>
          </w:p>
        </w:tc>
      </w:tr>
      <w:tr>
        <w:trPr>
          <w:trHeight w:val="364"/>
        </w:trPr>
        <w:tc>
          <w:tcPr>
            <w:tcW w:w="7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980" w:type="dxa"/>
            <w:vAlign w:val="bottom"/>
          </w:tcPr>
          <w:p>
            <w:pPr>
              <w:ind w:left="3000"/>
              <w:spacing w:after="0"/>
              <w:rPr>
                <w:sz w:val="20"/>
                <w:szCs w:val="20"/>
                <w:color w:val="auto"/>
              </w:rPr>
            </w:pPr>
            <w:r>
              <w:rPr>
                <w:rFonts w:ascii="Times New Roman" w:cs="Times New Roman" w:eastAsia="Times New Roman" w:hAnsi="Times New Roman"/>
                <w:sz w:val="18"/>
                <w:szCs w:val="18"/>
                <w:color w:val="auto"/>
              </w:rPr>
              <w:t>Title:</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20"/>
      </w:cols>
      <w:pgMar w:left="320" w:top="94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2026-06-29T15:23:22Z</dcterms:created>
  <dcterms:modified xsi:type="dcterms:W3CDTF">2026-06-29T15:23:22Z</dcterms:modified>
</cp:coreProperties>
</file>