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795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9514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Tsao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BILLIONTOONE,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1035 O'BRIEN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BillionToOne,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BLLN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0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center"/>
              <w:ind w:right="45"/>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1,704</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100.3718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19,296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2,361</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101.5524</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16,935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2,816</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102.7739</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14,119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2,889</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103.6843</w:t>
            </w:r>
            <w:r>
              <w:rPr>
                <w:rFonts w:ascii="Times New Roman" w:cs="Times New Roman" w:eastAsia="Times New Roman" w:hAnsi="Times New Roman"/>
                <w:sz w:val="21"/>
                <w:szCs w:val="21"/>
                <w:color w:val="008000"/>
                <w:w w:val="9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11,230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left="5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104.472</w:t>
            </w:r>
            <w:r>
              <w:rPr>
                <w:rFonts w:ascii="Times New Roman" w:cs="Times New Roman" w:eastAsia="Times New Roman" w:hAnsi="Times New Roman"/>
                <w:sz w:val="21"/>
                <w:szCs w:val="21"/>
                <w:color w:val="008000"/>
                <w:w w:val="96"/>
                <w:vertAlign w:val="superscript"/>
              </w:rPr>
              <w:t>(6)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left="5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98.7417</w:t>
            </w:r>
            <w:r>
              <w:rPr>
                <w:rFonts w:ascii="Times New Roman" w:cs="Times New Roman" w:eastAsia="Times New Roman" w:hAnsi="Times New Roman"/>
                <w:sz w:val="21"/>
                <w:szCs w:val="21"/>
                <w:color w:val="008000"/>
                <w:w w:val="96"/>
                <w:vertAlign w:val="superscript"/>
              </w:rPr>
              <w:t>(7)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10,400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left="5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100.053</w:t>
            </w:r>
            <w:r>
              <w:rPr>
                <w:rFonts w:ascii="Times New Roman" w:cs="Times New Roman" w:eastAsia="Times New Roman" w:hAnsi="Times New Roman"/>
                <w:sz w:val="21"/>
                <w:szCs w:val="21"/>
                <w:color w:val="008000"/>
                <w:w w:val="96"/>
                <w:vertAlign w:val="superscript"/>
              </w:rPr>
              <w:t>(8)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9,400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2,461</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101.3707</w:t>
            </w:r>
            <w:r>
              <w:rPr>
                <w:rFonts w:ascii="Times New Roman" w:cs="Times New Roman" w:eastAsia="Times New Roman" w:hAnsi="Times New Roman"/>
                <w:sz w:val="21"/>
                <w:szCs w:val="21"/>
                <w:color w:val="008000"/>
                <w:w w:val="96"/>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6,939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2,978</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102.5988</w:t>
            </w:r>
            <w:r>
              <w:rPr>
                <w:rFonts w:ascii="Times New Roman" w:cs="Times New Roman" w:eastAsia="Times New Roman" w:hAnsi="Times New Roman"/>
                <w:sz w:val="21"/>
                <w:szCs w:val="21"/>
                <w:color w:val="008000"/>
                <w:w w:val="93"/>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3,961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2,398</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103.6289</w:t>
            </w:r>
            <w:r>
              <w:rPr>
                <w:rFonts w:ascii="Times New Roman" w:cs="Times New Roman" w:eastAsia="Times New Roman" w:hAnsi="Times New Roman"/>
                <w:sz w:val="21"/>
                <w:szCs w:val="21"/>
                <w:color w:val="008000"/>
                <w:w w:val="93"/>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563</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104.3167</w:t>
            </w:r>
            <w:r>
              <w:rPr>
                <w:rFonts w:ascii="Times New Roman" w:cs="Times New Roman" w:eastAsia="Times New Roman" w:hAnsi="Times New Roman"/>
                <w:sz w:val="21"/>
                <w:szCs w:val="21"/>
                <w:color w:val="008000"/>
                <w:w w:val="93"/>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center"/>
              <w:ind w:right="25"/>
              <w:spacing w:after="0"/>
              <w:rPr>
                <w:sz w:val="20"/>
                <w:szCs w:val="20"/>
                <w:color w:val="auto"/>
              </w:rPr>
            </w:pPr>
            <w:r>
              <w:rPr>
                <w:rFonts w:ascii="Times New Roman" w:cs="Times New Roman" w:eastAsia="Times New Roman" w:hAnsi="Times New Roman"/>
                <w:sz w:val="11"/>
                <w:szCs w:val="11"/>
                <w:color w:val="008000"/>
                <w:w w:val="97"/>
              </w:rPr>
              <w:t>(13)</w:t>
            </w:r>
          </w:p>
        </w:tc>
        <w:tc>
          <w:tcPr>
            <w:tcW w:w="8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6"/>
                <w:szCs w:val="6"/>
                <w:color w:val="auto"/>
              </w:rPr>
            </w:pPr>
          </w:p>
        </w:tc>
        <w:tc>
          <w:tcPr>
            <w:tcW w:w="3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1040" w:type="dxa"/>
            <w:vAlign w:val="bottom"/>
            <w:gridSpan w:val="3"/>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380" w:type="dxa"/>
            <w:vAlign w:val="bottom"/>
            <w:vMerge w:val="continue"/>
          </w:tcPr>
          <w:p>
            <w:pPr>
              <w:spacing w:after="0"/>
              <w:rPr>
                <w:sz w:val="6"/>
                <w:szCs w:val="6"/>
                <w:color w:val="auto"/>
              </w:rPr>
            </w:pPr>
          </w:p>
        </w:tc>
        <w:tc>
          <w:tcPr>
            <w:tcW w:w="82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7"/>
              </w:rPr>
              <w:t>06/07/2031</w:t>
            </w:r>
          </w:p>
        </w:tc>
        <w:tc>
          <w:tcPr>
            <w:tcW w:w="740" w:type="dxa"/>
            <w:vAlign w:val="bottom"/>
            <w:gridSpan w:val="2"/>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w:t>
            </w:r>
          </w:p>
        </w:tc>
        <w:tc>
          <w:tcPr>
            <w:tcW w:w="68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4"/>
              </w:rPr>
              <w:t>630,000</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center"/>
              <w:ind w:right="25"/>
              <w:spacing w:after="0"/>
              <w:rPr>
                <w:sz w:val="20"/>
                <w:szCs w:val="20"/>
                <w:color w:val="auto"/>
              </w:rPr>
            </w:pPr>
            <w:r>
              <w:rPr>
                <w:rFonts w:ascii="Times New Roman" w:cs="Times New Roman" w:eastAsia="Times New Roman" w:hAnsi="Times New Roman"/>
                <w:sz w:val="11"/>
                <w:szCs w:val="11"/>
                <w:color w:val="008000"/>
                <w:w w:val="97"/>
              </w:rPr>
              <w:t>(13)</w:t>
            </w:r>
          </w:p>
        </w:tc>
        <w:tc>
          <w:tcPr>
            <w:tcW w:w="8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6"/>
                <w:szCs w:val="6"/>
                <w:color w:val="auto"/>
              </w:rPr>
            </w:pPr>
          </w:p>
        </w:tc>
        <w:tc>
          <w:tcPr>
            <w:tcW w:w="3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1040" w:type="dxa"/>
            <w:vAlign w:val="bottom"/>
            <w:gridSpan w:val="3"/>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380" w:type="dxa"/>
            <w:vAlign w:val="bottom"/>
            <w:vMerge w:val="continue"/>
          </w:tcPr>
          <w:p>
            <w:pPr>
              <w:spacing w:after="0"/>
              <w:rPr>
                <w:sz w:val="6"/>
                <w:szCs w:val="6"/>
                <w:color w:val="auto"/>
              </w:rPr>
            </w:pPr>
          </w:p>
        </w:tc>
        <w:tc>
          <w:tcPr>
            <w:tcW w:w="82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7"/>
              </w:rPr>
              <w:t>06/07/2031</w:t>
            </w:r>
          </w:p>
        </w:tc>
        <w:tc>
          <w:tcPr>
            <w:tcW w:w="740" w:type="dxa"/>
            <w:vAlign w:val="bottom"/>
            <w:gridSpan w:val="2"/>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w:t>
            </w:r>
          </w:p>
        </w:tc>
        <w:tc>
          <w:tcPr>
            <w:tcW w:w="68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4"/>
              </w:rPr>
              <w:t>620,000</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6, 2026.</w:t>
      </w:r>
    </w:p>
    <w:p>
      <w:pPr>
        <w:spacing w:after="0" w:line="43"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$100.000 to $100.9175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$101.120 to $102.020 per share, inclusive. The holder undertakes to provide, upon written request, full information regarding the number of shares sold at each separate price within the range set forth in this footnote.</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$102.185 to $103.150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$103.250 to $104.200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$104.360 to $104.610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right="14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$98.160 to $99.080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$99.840 to $100.280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$100.860 to $101.800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right="400" w:firstLine="2"/>
        <w:spacing w:after="0" w:line="25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$101.980 to $102.970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right="400" w:firstLine="2"/>
        <w:spacing w:after="0" w:line="255" w:lineRule="auto"/>
        <w:tabs>
          <w:tab w:leader="none" w:pos="18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$103.140 to $104.130 per share, inclusive. The holder undertakes to provide, upon written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right="400" w:firstLine="2"/>
        <w:spacing w:after="0" w:line="25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$104.160 to $104.540 per share, inclusive. The holder undertakes to provide, upon written request, full information regarding the number of shares sold at each separate price within the range set forth in this footnote.</w:t>
      </w:r>
    </w:p>
    <w:p>
      <w:pPr>
        <w:sectPr>
          <w:pgSz w:w="11900" w:h="16838" w:orient="portrait"/>
          <w:cols w:equalWidth="0" w:num="1">
            <w:col w:w="10880"/>
          </w:cols>
          <w:pgMar w:left="500" w:top="127" w:right="51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13. The options are fully vested and exercisable.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Thomas P. Lynch,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-1905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20"/>
            <w:col w:w="212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7127" TargetMode="External"/><Relationship Id="rId14" Type="http://schemas.openxmlformats.org/officeDocument/2006/relationships/hyperlink" Target="http://www.sec.gov/cgi-bin/browse-edgar?action=getcompany&amp;CIK=0002070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2026-06-17T16:48:34Z</dcterms:created>
  <dcterms:modified xsi:type="dcterms:W3CDTF">2026-06-17T16:48:34Z</dcterms:modified>
</cp:coreProperties>
</file>