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8171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1711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Lynch Thomas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BILLIONTOONE,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1035 O'BRIEN DRIVE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BillionToOne,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BLLN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6"/>
        <w:spacing w:after="0"/>
        <w:rPr>
          <w:sz w:val="20"/>
          <w:szCs w:val="20"/>
          <w:color w:val="auto"/>
        </w:rPr>
      </w:pPr>
      <w:r>
        <w:rPr>
          <w:rFonts w:ascii="Times New Roman" w:cs="Times New Roman" w:eastAsia="Times New Roman" w:hAnsi="Times New Roman"/>
          <w:sz w:val="16"/>
          <w:szCs w:val="16"/>
          <w:color w:val="0000FF"/>
        </w:rPr>
        <w:t>See Remarks</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4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600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1"/>
                <w:szCs w:val="11"/>
                <w:color w:val="008000"/>
                <w:w w:val="93"/>
              </w:rPr>
              <w:t>(1)</w:t>
            </w:r>
          </w:p>
        </w:tc>
        <w:tc>
          <w:tcPr>
            <w:tcW w:w="72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600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1"/>
                <w:szCs w:val="11"/>
                <w:color w:val="008000"/>
                <w:w w:val="93"/>
              </w:rPr>
              <w:t>(1)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100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8.65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79,400</w:t>
            </w:r>
          </w:p>
        </w:tc>
        <w:tc>
          <w:tcPr>
            <w:tcW w:w="780" w:type="dxa"/>
            <w:vAlign w:val="bottom"/>
            <w:gridSpan w:val="2"/>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01/18/2033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79,400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79,400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8.65</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79,400</w:t>
            </w:r>
          </w:p>
        </w:tc>
        <w:tc>
          <w:tcPr>
            <w:tcW w:w="5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01/18/2033</w:t>
            </w: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79,400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10/17/2033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15,000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15,000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11.55</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15,000</w:t>
            </w:r>
          </w:p>
        </w:tc>
        <w:tc>
          <w:tcPr>
            <w:tcW w:w="5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10/17/2033</w:t>
            </w: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15,000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10/16/2034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17.12</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10,000</w:t>
            </w:r>
          </w:p>
        </w:tc>
        <w:tc>
          <w:tcPr>
            <w:tcW w:w="5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10/16/2034</w:t>
            </w: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w:t>
            </w:r>
          </w:p>
        </w:tc>
        <w:tc>
          <w:tcPr>
            <w:tcW w:w="780" w:type="dxa"/>
            <w:vAlign w:val="bottom"/>
            <w:gridSpan w:val="2"/>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09/30/2035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40,000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30.78</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40,000</w:t>
            </w:r>
          </w:p>
        </w:tc>
        <w:tc>
          <w:tcPr>
            <w:tcW w:w="5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09/30/2035</w:t>
            </w: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40,000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-4946015</wp:posOffset>
            </wp:positionV>
            <wp:extent cx="28575" cy="4951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9517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 reclassification exempt under Rule 16b-7, each share of Common Stock was automatically reclassified into one share of Class A common stock immediately prior to the completion of the Issuer's initial public offering of Class A common stock (the "Offering").</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A common stock were purchased by the Reporting Person through a directed share program in connection with the Offering.</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right="38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with 25% of the options vesting on October 24, 2022. The remaining 75%. vest and become exercisable in equal monthly installments over the following three years, subject to the Reporting Person's continuous service with the Issuer through each such vesting date.</w:t>
      </w:r>
    </w:p>
    <w:p>
      <w:pPr>
        <w:spacing w:after="0" w:line="20" w:lineRule="exact"/>
        <w:rPr>
          <w:rFonts w:ascii="Times New Roman" w:cs="Times New Roman" w:eastAsia="Times New Roman" w:hAnsi="Times New Roman"/>
          <w:sz w:val="13"/>
          <w:szCs w:val="13"/>
          <w:color w:val="008000"/>
        </w:rPr>
      </w:pPr>
    </w:p>
    <w:p>
      <w:pPr>
        <w:ind w:left="1" w:right="2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October 1, 2023, subject to the Reporting Person's continuous service with the Issuer through each such vesting date.</w:t>
      </w:r>
    </w:p>
    <w:p>
      <w:pPr>
        <w:spacing w:after="0" w:line="20" w:lineRule="exact"/>
        <w:rPr>
          <w:rFonts w:ascii="Times New Roman" w:cs="Times New Roman" w:eastAsia="Times New Roman" w:hAnsi="Times New Roman"/>
          <w:sz w:val="13"/>
          <w:szCs w:val="13"/>
          <w:color w:val="008000"/>
        </w:rPr>
      </w:pPr>
    </w:p>
    <w:p>
      <w:pPr>
        <w:ind w:left="1" w:right="2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October 6, 2024, subject to the Reporting Person's continuous service with the Issuer through each such vesting date.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September 15, 2025, subject to the Reporting Person's continuous service with the Issuer through each such vesting date.</w:t>
      </w:r>
    </w:p>
    <w:p>
      <w:pPr>
        <w:spacing w:after="0" w:line="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008000"/>
        </w:rPr>
        <w:t>General Counsel, Chief Compliance Officer and Secretary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Thomas P. Lynch</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11/12/2025</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2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1"/>
      </w:cols>
      <w:pgMar w:left="499"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824" TargetMode="External"/><Relationship Id="rId14" Type="http://schemas.openxmlformats.org/officeDocument/2006/relationships/hyperlink" Target="http://www.sec.gov/cgi-bin/browse-edgar?action=getcompany&amp;CIK=0002070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2025-11-12T17:18:10Z</dcterms:created>
  <dcterms:modified xsi:type="dcterms:W3CDTF">2025-11-12T17:18:10Z</dcterms:modified>
</cp:coreProperties>
</file>