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9"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19"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19"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319"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319"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319"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5, 2026</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319" w:before="120" w:after="283"/>
        <w:jc w:val="center"/>
        <w:rPr>
          <w:rFonts w:ascii="Times New Roman;serif" w:hAnsi="Times New Roman;serif"/>
          <w:b/>
          <w:color w:val="000000"/>
          <w:sz w:val="48"/>
        </w:rPr>
      </w:pPr>
      <w:r>
        <w:rPr>
          <w:rFonts w:ascii="Times New Roman;serif" w:hAnsi="Times New Roman;serif"/>
          <w:b/>
          <w:color w:val="000000"/>
          <w:sz w:val="48"/>
        </w:rPr>
        <w:t xml:space="preserve">BillionToOne, Inc. </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4617"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color w:val="000000"/>
                <w:sz w:val="20"/>
              </w:rPr>
            </w:pPr>
            <w:r>
              <w:rPr>
                <w:rFonts w:ascii="Times New Roman;serif" w:hAnsi="Times New Roman;serif"/>
                <w:b/>
                <w:color w:val="000000"/>
                <w:sz w:val="20"/>
              </w:rPr>
              <w:t>001-42934</w:t>
            </w:r>
          </w:p>
        </w:tc>
        <w:tc>
          <w:tcPr>
            <w:tcW w:w="1484" w:type="dxa"/>
            <w:gridSpan w:val="3"/>
            <w:tcBorders/>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color w:val="000000"/>
                <w:sz w:val="20"/>
              </w:rPr>
            </w:pPr>
            <w:r>
              <w:rPr>
                <w:rFonts w:ascii="Times New Roman;serif" w:hAnsi="Times New Roman;serif"/>
                <w:b/>
                <w:color w:val="000000"/>
                <w:sz w:val="20"/>
              </w:rPr>
              <w:t>81-1082020</w:t>
            </w:r>
          </w:p>
        </w:tc>
      </w:tr>
      <w:tr>
        <w:trPr/>
        <w:tc>
          <w:tcPr>
            <w:tcW w:w="2069"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1035 O’Brien Drive</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xml:space="preserve">Menlo Park, CA 94025 </w:t>
      </w:r>
    </w:p>
    <w:p>
      <w:pPr>
        <w:pStyle w:val="TextBody"/>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319"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460-2551</w:t>
      </w:r>
    </w:p>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319"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319"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403"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4" w:type="dxa"/>
        <w:jc w:val="left"/>
        <w:tblInd w:w="0" w:type="dxa"/>
        <w:tblLayout w:type="fixed"/>
        <w:tblCellMar>
          <w:top w:w="28" w:type="dxa"/>
          <w:left w:w="28" w:type="dxa"/>
          <w:bottom w:w="28" w:type="dxa"/>
          <w:right w:w="28" w:type="dxa"/>
        </w:tblCellMar>
      </w:tblPr>
      <w:tblGrid>
        <w:gridCol w:w="1654"/>
        <w:gridCol w:w="1450"/>
        <w:gridCol w:w="1470"/>
        <w:gridCol w:w="230"/>
        <w:gridCol w:w="230"/>
        <w:gridCol w:w="231"/>
        <w:gridCol w:w="816"/>
        <w:gridCol w:w="816"/>
        <w:gridCol w:w="1157"/>
      </w:tblGrid>
      <w:tr>
        <w:trPr/>
        <w:tc>
          <w:tcPr>
            <w:tcW w:w="165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316" w:before="65" w:after="2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691"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2789" w:type="dxa"/>
            <w:gridSpan w:val="3"/>
            <w:tcBorders/>
            <w:tcMar>
              <w:top w:w="0" w:type="dxa"/>
              <w:left w:w="0" w:type="dxa"/>
              <w:bottom w:w="0" w:type="dxa"/>
              <w:right w:w="0" w:type="dxa"/>
            </w:tcMar>
            <w:vAlign w:val="center"/>
          </w:tcPr>
          <w:p>
            <w:pPr>
              <w:pStyle w:val="TableContents"/>
              <w:bidi w:val="0"/>
              <w:spacing w:lineRule="auto" w:line="319" w:before="65" w:after="283"/>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319"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6" w:before="45" w:after="20"/>
              <w:jc w:val="center"/>
              <w:rPr>
                <w:rFonts w:ascii="Times New Roman;serif" w:hAnsi="Times New Roman;serif"/>
                <w:b/>
                <w:color w:val="000000"/>
                <w:sz w:val="20"/>
              </w:rPr>
            </w:pPr>
            <w:r>
              <w:rPr>
                <w:rFonts w:ascii="Times New Roman;serif" w:hAnsi="Times New Roman;serif"/>
                <w:b/>
                <w:color w:val="000000"/>
                <w:sz w:val="20"/>
              </w:rPr>
              <w:t>Class A common stock, par value $0.00001 per share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6" w:before="45" w:after="20"/>
              <w:jc w:val="center"/>
              <w:rPr>
                <w:rFonts w:ascii="Times New Roman;serif" w:hAnsi="Times New Roman;serif"/>
                <w:b/>
                <w:color w:val="000000"/>
                <w:sz w:val="20"/>
              </w:rPr>
            </w:pPr>
            <w:r>
              <w:rPr>
                <w:rFonts w:ascii="Times New Roman;serif" w:hAnsi="Times New Roman;serif"/>
                <w:b/>
                <w:color w:val="000000"/>
                <w:sz w:val="20"/>
              </w:rPr>
              <w:t>BLLN</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319"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9"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319"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0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BillionToOne, Inc. (the “Company”) issued a press release announcing financial results for the quarter ended June 30, 2026. A copy of the Company’s press release is attached hereto as Exhibit 99.1.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Current Report on Form 8-K and the accompanying Exhibit 99.1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7410" w:type="dxa"/>
        <w:jc w:val="left"/>
        <w:tblInd w:w="0" w:type="dxa"/>
        <w:tblLayout w:type="fixed"/>
        <w:tblCellMar>
          <w:top w:w="28" w:type="dxa"/>
          <w:left w:w="28" w:type="dxa"/>
          <w:bottom w:w="28" w:type="dxa"/>
          <w:right w:w="28" w:type="dxa"/>
        </w:tblCellMar>
      </w:tblPr>
      <w:tblGrid>
        <w:gridCol w:w="293"/>
        <w:gridCol w:w="258"/>
        <w:gridCol w:w="259"/>
        <w:gridCol w:w="1928"/>
        <w:gridCol w:w="1928"/>
        <w:gridCol w:w="274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u w:val="single"/>
              </w:rPr>
              <w:t>Exhibit</w:t>
            </w:r>
            <w:r>
              <w:rPr>
                <w:color w:val="000000"/>
              </w:rPr>
              <w:t xml:space="preserve"> </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pPr>
            <w:hyperlink w:anchor="a991blln-earningspressrele.htm">
              <w:r>
                <w:rPr>
                  <w:rStyle w:val="InternetLink"/>
                  <w:rFonts w:ascii="Times New Roman;serif" w:hAnsi="Times New Roman;serif"/>
                  <w:b w:val="false"/>
                  <w:color w:val="0000FF"/>
                  <w:sz w:val="20"/>
                  <w:u w:val="single"/>
                </w:rPr>
                <w:t>Press Release of BillionToOne, Inc. dated August 5, 2026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19"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240" w:after="283"/>
        <w:jc w:val="left"/>
        <w:rPr/>
      </w:pPr>
      <w:r>
        <w:rPr/>
      </w:r>
    </w:p>
    <w:tbl>
      <w:tblPr>
        <w:tblW w:w="5430"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209"/>
        <w:gridCol w:w="209"/>
        <w:gridCol w:w="211"/>
        <w:gridCol w:w="187"/>
        <w:gridCol w:w="187"/>
        <w:gridCol w:w="187"/>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color w:val="000000"/>
                <w:sz w:val="20"/>
              </w:rPr>
            </w:pPr>
            <w:r>
              <w:rPr>
                <w:rFonts w:ascii="Times New Roman;serif" w:hAnsi="Times New Roman;serif"/>
                <w:b/>
                <w:color w:val="000000"/>
                <w:sz w:val="20"/>
              </w:rPr>
              <w:t xml:space="preserve">BillionToOne, Inc.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312" w:before="65" w:after="20"/>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/s/ Ross Taylor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16" w:before="45"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6" w:before="45" w:after="20"/>
              <w:jc w:val="left"/>
              <w:rPr>
                <w:rFonts w:ascii="Times New Roman;serif" w:hAnsi="Times New Roman;serif"/>
                <w:b w:val="false"/>
                <w:color w:val="000000"/>
                <w:sz w:val="20"/>
              </w:rPr>
            </w:pPr>
            <w:r>
              <w:rPr>
                <w:rFonts w:ascii="Times New Roman;serif" w:hAnsi="Times New Roman;serif"/>
                <w:b w:val="false"/>
                <w:color w:val="000000"/>
                <w:sz w:val="20"/>
              </w:rPr>
              <w:t>Ross Taylor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240" w:after="240"/>
        <w:jc w:val="center"/>
        <w:rPr>
          <w:rFonts w:ascii="Arial;sans-serif" w:hAnsi="Arial;sans-serif"/>
          <w:b/>
          <w:color w:val="000000"/>
          <w:sz w:val="22"/>
        </w:rPr>
      </w:pPr>
      <w:r>
        <w:rPr>
          <w:rFonts w:ascii="Arial;sans-serif" w:hAnsi="Arial;sans-serif"/>
          <w:b/>
          <w:color w:val="000000"/>
          <w:sz w:val="22"/>
        </w:rPr>
        <w:t>BillionToOne Reports Second Quarter 2026 Results and Reiterates 2026 Revenue Guidance</w:t>
      </w:r>
    </w:p>
    <w:p>
      <w:pPr>
        <w:pStyle w:val="TextBody"/>
        <w:bidi w:val="0"/>
        <w:spacing w:lineRule="auto" w:line="319" w:before="240" w:after="240"/>
        <w:jc w:val="left"/>
        <w:rPr/>
      </w:pPr>
      <w:r>
        <w:rPr>
          <w:rFonts w:ascii="Arial;sans-serif" w:hAnsi="Arial;sans-serif"/>
          <w:b w:val="false"/>
          <w:color w:val="000000"/>
          <w:sz w:val="20"/>
        </w:rPr>
        <w:t>MENLO PARK, CA, August 5, 2026 - BillionToOne, Inc. (NASDAQ: BLLN), a next-generation molecular diagnostics company with a mission to create powerful and accurate tests that are accessible to all, today reported its financial results for the second quarter ended June 30, 2026</w:t>
      </w:r>
      <w:r>
        <w:rPr>
          <w:color w:val="000000"/>
        </w:rPr>
        <w:t xml:space="preserve"> </w:t>
      </w:r>
      <w:r>
        <w:rPr>
          <w:rFonts w:ascii="Arial;sans-serif" w:hAnsi="Arial;sans-serif"/>
          <w:b w:val="false"/>
          <w:color w:val="000000"/>
          <w:sz w:val="20"/>
        </w:rPr>
        <w:t xml:space="preserve">and reiterated guidance for full year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Financial Highlights:</w:t>
      </w:r>
    </w:p>
    <w:p>
      <w:pPr>
        <w:pStyle w:val="TextBody"/>
        <w:bidi w:val="0"/>
        <w:spacing w:lineRule="auto" w:line="319" w:before="240" w:after="283"/>
        <w:ind w:left="0" w:right="0" w:hanging="360"/>
        <w:jc w:val="left"/>
        <w:rPr/>
      </w:pPr>
      <w:r>
        <w:rPr>
          <w:color w:val="000000"/>
        </w:rPr>
        <w:t>●</w:t>
      </w:r>
      <w:r>
        <w:rPr>
          <w:rFonts w:ascii="Arial;sans-serif" w:hAnsi="Arial;sans-serif"/>
          <w:b w:val="false"/>
          <w:color w:val="000000"/>
          <w:sz w:val="20"/>
        </w:rPr>
        <w:t>Total revenue of $109.4 million in the second quarter of 2026, compared to $66.6 million in the second quarter of 2025, an increase of 64%.</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Prenatal clinical testing revenue was $94.2 million in the second quarter of 2026, an increase of 55% from the second quarter of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Oncology clinical testing revenue was $13.7 million in the second quarter of 2026, 176% higher than the $4.9 million reported in the second quarter of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Gross profit margin was 70% in the second quarter of 2026, compared to 65% in the second quarter of 2025, a 5 percentage-point increase year-over-year.</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196,000 tests delivered in the second quarter of 2026, compared to 145,000 tests delivered in the second quarter of 2025, an increase of 35%.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Income from operations of $5.5 million in the second quarter of 2026, compared to a $1.6 million operating loss in the second quarter of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Free cash flow, defined as cash flow from operations minus capital expenditures, was $5.1 million in the second quarter of 2026.</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Reiterating 2026 full year revenue guidance to be in a range of $450 million to $465 million, which represents 48% to 52% growth over 2025.</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Expects to operate the business such that it will continue to generate profitability similar to current levels, even with significant continued investments.</w:t>
      </w: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Recent Operating Highlights: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Today, we announced the upcoming expansion of our Unity Fetal Risk Screen with the addition of a 130-gene panel, which is the largest single-gene NIPT panel available. Our expanded panel significantly broadens the addressable market for Unity and reinforces BillionToOne's position as the leader in cfDNA testing for recessive conditions. This expanded panel will be available commercially on August 17, 2026.</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Today, we announced the planned launch of Northstar Origin, an add-on tissue-of-origin feature for our Northstar Select test that can benefit patients with unknown or uncertain diagnoses. This feature will be available commercially on September 1, 2026.</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0"/>
        </w:rPr>
        <w:t>In June 2026, we announced the peer-reviewed data published in The Journal of Liquid Biopsy, in collaboration with Allegheny Health Network, demonstrating that Northstar Response was a stronger predictor of survival than standard-of-care imaging in patients with advanced solid tumors receiving immunotherapy or immunotherapy combination therapy.</w:t>
      </w:r>
    </w:p>
    <w:p>
      <w:pPr>
        <w:pStyle w:val="TextBody"/>
        <w:bidi w:val="0"/>
        <w:spacing w:lineRule="auto" w:line="319" w:before="240" w:after="240"/>
        <w:jc w:val="left"/>
        <w:rPr>
          <w:rFonts w:ascii="Arial;sans-serif" w:hAnsi="Arial;sans-serif"/>
          <w:b w:val="false"/>
          <w:color w:val="000000"/>
          <w:sz w:val="20"/>
        </w:rPr>
      </w:pPr>
      <w:r>
        <w:rPr>
          <w:rFonts w:ascii="Arial;sans-serif" w:hAnsi="Arial;sans-serif"/>
          <w:b w:val="false"/>
          <w:color w:val="000000"/>
          <w:sz w:val="20"/>
        </w:rPr>
        <w:t xml:space="preserve">"Our second quarter demonstrated the durability of our model, with our differentiated technology platform, category-defining products, and disciplined execution driving continued growth and profitability," said Dr. Oguzhan Atay, Co-Founder and CEO of BillionToOne. "We grew revenue 64% year-over-year to a $438 </w:t>
      </w:r>
    </w:p>
    <w:p>
      <w:pPr>
        <w:pStyle w:val="TextBody"/>
        <w:bidi w:val="0"/>
        <w:spacing w:before="0" w:after="0"/>
        <w:jc w:val="left"/>
        <w:rPr/>
      </w:pPr>
      <w:r>
        <w:rPr/>
        <w:drawing>
          <wp:inline distT="0" distB="0" distL="0" distR="0">
            <wp:extent cx="1276350" cy="666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319" w:before="240" w:after="240"/>
        <w:jc w:val="left"/>
        <w:rPr>
          <w:rFonts w:ascii="Arial;sans-serif" w:hAnsi="Arial;sans-serif"/>
          <w:b w:val="false"/>
          <w:color w:val="000000"/>
          <w:sz w:val="20"/>
        </w:rPr>
      </w:pPr>
      <w:r>
        <w:rPr>
          <w:rFonts w:ascii="Arial;sans-serif" w:hAnsi="Arial;sans-serif"/>
          <w:b w:val="false"/>
          <w:color w:val="000000"/>
          <w:sz w:val="20"/>
        </w:rPr>
        <w:t>million annualized run-rate while advancing our product roadmap with the launch of Unity Confirm and the upcoming launches of our expanded Fetal Risk Screen and Northstar Origin. We believe we are still in the earliest chapters of what our smNGS platform can achieve, and we remain relentlessly focused on transforming molecular diagnostics and healthcare.”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078" w:type="dxa"/>
        <w:jc w:val="left"/>
        <w:tblInd w:w="0" w:type="dxa"/>
        <w:tblLayout w:type="fixed"/>
        <w:tblCellMar>
          <w:top w:w="28" w:type="dxa"/>
          <w:left w:w="28" w:type="dxa"/>
          <w:bottom w:w="28" w:type="dxa"/>
          <w:right w:w="28" w:type="dxa"/>
        </w:tblCellMar>
      </w:tblPr>
      <w:tblGrid>
        <w:gridCol w:w="1190"/>
        <w:gridCol w:w="1046"/>
        <w:gridCol w:w="1049"/>
        <w:gridCol w:w="211"/>
        <w:gridCol w:w="616"/>
        <w:gridCol w:w="109"/>
        <w:gridCol w:w="109"/>
        <w:gridCol w:w="109"/>
        <w:gridCol w:w="109"/>
        <w:gridCol w:w="211"/>
        <w:gridCol w:w="511"/>
        <w:gridCol w:w="109"/>
        <w:gridCol w:w="109"/>
        <w:gridCol w:w="109"/>
        <w:gridCol w:w="109"/>
        <w:gridCol w:w="232"/>
        <w:gridCol w:w="234"/>
        <w:gridCol w:w="271"/>
        <w:gridCol w:w="109"/>
        <w:gridCol w:w="109"/>
        <w:gridCol w:w="109"/>
        <w:gridCol w:w="211"/>
        <w:gridCol w:w="616"/>
        <w:gridCol w:w="109"/>
        <w:gridCol w:w="109"/>
        <w:gridCol w:w="109"/>
        <w:gridCol w:w="109"/>
        <w:gridCol w:w="211"/>
        <w:gridCol w:w="616"/>
        <w:gridCol w:w="109"/>
        <w:gridCol w:w="109"/>
        <w:gridCol w:w="109"/>
        <w:gridCol w:w="109"/>
        <w:gridCol w:w="232"/>
        <w:gridCol w:w="234"/>
        <w:gridCol w:w="316"/>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Three Months Ended</w:t>
              <w:br/>
              <w:t>June 30,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Six Months Ended</w:t>
              <w:br/>
              <w:t>June 30,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Arial;sans-serif" w:hAnsi="Arial;sans-serif"/>
                <w:b/>
                <w:color w:val="000000"/>
                <w:sz w:val="18"/>
              </w:rPr>
            </w:pPr>
            <w:r>
              <w:rPr>
                <w:rFonts w:ascii="Arial;sans-serif" w:hAnsi="Arial;sans-serif"/>
                <w:b/>
                <w:color w:val="000000"/>
                <w:sz w:val="18"/>
              </w:rPr>
              <w:t>%</w:t>
            </w:r>
          </w:p>
        </w:tc>
      </w:tr>
      <w:tr>
        <w:trPr/>
        <w:tc>
          <w:tcPr>
            <w:tcW w:w="32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Revenue ($ in millions)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Prenatal</w:t>
            </w:r>
          </w:p>
        </w:tc>
        <w:tc>
          <w:tcPr>
            <w:tcW w:w="211"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316" w:type="dxa"/>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Oncology</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Clinical trial support and other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217.8 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w:t>
            </w:r>
          </w:p>
        </w:tc>
      </w:tr>
      <w:tr>
        <w:trPr/>
        <w:tc>
          <w:tcPr>
            <w:tcW w:w="10078" w:type="dxa"/>
            <w:gridSpan w:val="36"/>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4"/>
              </w:rPr>
            </w:pPr>
            <w:r>
              <w:rPr>
                <w:rFonts w:ascii="Arial;sans-serif" w:hAnsi="Arial;sans-serif"/>
                <w:b w:val="false"/>
                <w:i/>
                <w:color w:val="000000"/>
                <w:sz w:val="14"/>
              </w:rPr>
              <w:t>Note: Numbers may not add due to rounding</w:t>
            </w:r>
          </w:p>
        </w:tc>
      </w:tr>
    </w:tbl>
    <w:tbl>
      <w:tblPr>
        <w:tblW w:w="8708" w:type="dxa"/>
        <w:jc w:val="left"/>
        <w:tblInd w:w="0" w:type="dxa"/>
        <w:tblLayout w:type="fixed"/>
        <w:tblCellMar>
          <w:top w:w="28" w:type="dxa"/>
          <w:left w:w="28" w:type="dxa"/>
          <w:bottom w:w="28" w:type="dxa"/>
          <w:right w:w="28" w:type="dxa"/>
        </w:tblCellMar>
      </w:tblPr>
      <w:tblGrid>
        <w:gridCol w:w="734"/>
        <w:gridCol w:w="644"/>
        <w:gridCol w:w="646"/>
        <w:gridCol w:w="257"/>
        <w:gridCol w:w="569"/>
        <w:gridCol w:w="109"/>
        <w:gridCol w:w="109"/>
        <w:gridCol w:w="109"/>
        <w:gridCol w:w="109"/>
        <w:gridCol w:w="257"/>
        <w:gridCol w:w="569"/>
        <w:gridCol w:w="109"/>
        <w:gridCol w:w="109"/>
        <w:gridCol w:w="109"/>
        <w:gridCol w:w="109"/>
        <w:gridCol w:w="180"/>
        <w:gridCol w:w="181"/>
        <w:gridCol w:w="271"/>
        <w:gridCol w:w="109"/>
        <w:gridCol w:w="109"/>
        <w:gridCol w:w="109"/>
        <w:gridCol w:w="257"/>
        <w:gridCol w:w="569"/>
        <w:gridCol w:w="109"/>
        <w:gridCol w:w="109"/>
        <w:gridCol w:w="109"/>
        <w:gridCol w:w="109"/>
        <w:gridCol w:w="257"/>
        <w:gridCol w:w="569"/>
        <w:gridCol w:w="109"/>
        <w:gridCol w:w="109"/>
        <w:gridCol w:w="109"/>
        <w:gridCol w:w="109"/>
        <w:gridCol w:w="180"/>
        <w:gridCol w:w="181"/>
        <w:gridCol w:w="316"/>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w:t>
              <w:br/>
              <w:t>June 30,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Six Months Ended</w:t>
              <w:br/>
              <w:t>June 30,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tests accessioned</w:t>
            </w:r>
          </w:p>
        </w:tc>
        <w:tc>
          <w:tcPr>
            <w:tcW w:w="826"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197,000 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386,000 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16" w:type="dxa"/>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tests delivered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196,000 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384,000 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18"/>
              </w:rPr>
            </w:pPr>
            <w:r>
              <w:rPr>
                <w:rFonts w:ascii="Arial;sans-serif" w:hAnsi="Arial;sans-serif"/>
                <w:b w:val="false"/>
                <w:color w:val="000000"/>
                <w:sz w:val="18"/>
              </w:rPr>
              <w: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Overall ASP</w:t>
            </w:r>
          </w:p>
        </w:tc>
        <w:tc>
          <w:tcPr>
            <w:tcW w:w="25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Second Quarter 2026 Financial Results</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Total revenue was $109.4 million in the second quarter of 2026 compared to $66.6 million in the second quarter of 2025, an increase of 64%. The increase in total revenue was driven by a 35% increase in the number of total tests delivered and a 21% increase in Overall ASP. Both prenatal and oncology delivered strong test volume growth year-over-year.</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Gross profit was $77.1 million in the second quarter of 2026, compared to $43.5 million in the second quarter of 2025, representing a gross margin of 70% in the second quarter of 2026 and 65% in the second quarter of 2025. An increase in Overall ASP drove the improvement in gross profit margin compared to the second quarter of 2025. Overall cost-per-test increased slightly in the second quarter of 2026 compared to last year, as improvements in cost-per-test for both of our oncology products and for our prenatal products were offset by the faster growth of our oncology products, which have higher costs-per-test.</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 xml:space="preserve">Total operating expenses were $71.6 million in the second quarter of 2026, compared to $45.1 million in the second quarter of 2025 an increase of 59%. </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Income from operations was $5.5 million in the second quarter of 2026, compared to a loss from operations of $1.6 million in the second quarter of 2025. Operating margin was 5% in the second quarter of 2026.</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 xml:space="preserve">Net income in the second quarter of 2026 was $8.1 million, or $0.15 per diluted share, compared to a net loss of $0.2 million, or $(0.02) per diluted share, in the second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8"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 xml:space="preserve">Financial Outlook </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BillionToOne continues to expect full year 2026 total revenue of $450.0 million to $465.0 million, representing growth of 48% to 52% compared to full year 2025.</w:t>
      </w:r>
    </w:p>
    <w:p>
      <w:pPr>
        <w:pStyle w:val="TextBody"/>
        <w:bidi w:val="0"/>
        <w:spacing w:lineRule="auto" w:line="319" w:before="160" w:after="160"/>
        <w:jc w:val="left"/>
        <w:rPr>
          <w:rFonts w:ascii="Arial;sans-serif" w:hAnsi="Arial;sans-serif"/>
          <w:b w:val="false"/>
          <w:color w:val="000000"/>
          <w:sz w:val="20"/>
        </w:rPr>
      </w:pPr>
      <w:r>
        <w:rPr>
          <w:rFonts w:ascii="Arial;sans-serif" w:hAnsi="Arial;sans-serif"/>
          <w:b w:val="false"/>
          <w:color w:val="000000"/>
          <w:sz w:val="20"/>
        </w:rPr>
        <w:t>BillionToOne also expects to operate the business such that it will continue to generate profitability similar to current levels, even with significant continued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Webcast and Conference Call Information</w:t>
      </w:r>
    </w:p>
    <w:p>
      <w:pPr>
        <w:pStyle w:val="TextBody"/>
        <w:bidi w:val="0"/>
        <w:spacing w:lineRule="auto" w:line="319" w:before="240" w:after="283"/>
        <w:jc w:val="left"/>
        <w:rPr/>
      </w:pPr>
      <w:r>
        <w:rPr>
          <w:rFonts w:ascii="Arial;sans-serif" w:hAnsi="Arial;sans-serif"/>
          <w:b w:val="false"/>
          <w:color w:val="000000"/>
          <w:sz w:val="20"/>
        </w:rPr>
        <w:t xml:space="preserve">BillionToOne will host a conference call today, August 5, 2026, at 1:30pm Pacific Time / 4:30pm Eastern Time. Investors interested in listening to the conference call are required to </w:t>
      </w:r>
      <w:r>
        <w:rPr>
          <w:rFonts w:ascii="Arial;sans-serif" w:hAnsi="Arial;sans-serif"/>
          <w:b w:val="false"/>
          <w:color w:val="1155CC"/>
          <w:sz w:val="20"/>
          <w:u w:val="single"/>
        </w:rPr>
        <w:t>register online</w:t>
      </w:r>
      <w:r>
        <w:rPr>
          <w:rFonts w:ascii="Arial;sans-serif" w:hAnsi="Arial;sans-serif"/>
          <w:b w:val="false"/>
          <w:color w:val="000000"/>
          <w:sz w:val="20"/>
        </w:rPr>
        <w:t xml:space="preserve">. A live and archived webcast of the event for interested listeners can be accessed at </w:t>
      </w:r>
    </w:p>
    <w:p>
      <w:pPr>
        <w:pStyle w:val="TextBody"/>
        <w:bidi w:val="0"/>
        <w:spacing w:lineRule="auto" w:line="319" w:before="120" w:after="283"/>
        <w:jc w:val="left"/>
        <w:rPr/>
      </w:pPr>
      <w:r>
        <w:rPr>
          <w:rFonts w:ascii="Arial;sans-serif" w:hAnsi="Arial;sans-serif"/>
          <w:b w:val="false"/>
          <w:color w:val="1155CC"/>
          <w:sz w:val="20"/>
          <w:u w:val="single"/>
        </w:rPr>
        <w:t>https://investors.billiontoone.com/</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240" w:after="240"/>
        <w:jc w:val="left"/>
        <w:rPr>
          <w:rFonts w:ascii="Arial;sans-serif" w:hAnsi="Arial;sans-serif"/>
          <w:b/>
          <w:color w:val="000000"/>
          <w:sz w:val="20"/>
        </w:rPr>
      </w:pPr>
      <w:r>
        <w:rPr>
          <w:rFonts w:ascii="Arial;sans-serif" w:hAnsi="Arial;sans-serif"/>
          <w:b/>
          <w:color w:val="000000"/>
          <w:sz w:val="20"/>
        </w:rPr>
        <w:t>About BillionToOne</w:t>
      </w:r>
    </w:p>
    <w:p>
      <w:pPr>
        <w:pStyle w:val="TextBody"/>
        <w:bidi w:val="0"/>
        <w:spacing w:lineRule="auto" w:line="319" w:before="240" w:after="240"/>
        <w:jc w:val="left"/>
        <w:rPr>
          <w:rFonts w:ascii="Arial;sans-serif" w:hAnsi="Arial;sans-serif"/>
          <w:b w:val="false"/>
          <w:color w:val="000000"/>
          <w:sz w:val="20"/>
        </w:rPr>
      </w:pPr>
      <w:r>
        <w:rPr>
          <w:rFonts w:ascii="Arial;sans-serif" w:hAnsi="Arial;sans-serif"/>
          <w:b w:val="false"/>
          <w:color w:val="000000"/>
          <w:sz w:val="20"/>
        </w:rPr>
        <w:t xml:space="preserve">Headquartered in Menlo Park, California, BillionToOne is a molecular diagnostics company with a mission to create powerful and accurate tests that are accessible to all. The company's patented Quantitative Counting Templates™ (QCT™) molecular counting platform is the only multiplex technology that can accurately count DNA molecules at the single-molecule level.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This press release contains certain forward-looking statements within the meaning of federal securities laws.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Forward-looking statements in this press release include, but are not limited to, statements regarding revenue, income and other financial information for the full year of 2026. These statements are based on management’s current expectations, forecasts and assumptions, and actual outcomes and results could differ materially from these statements due to a number of factors, some of which are beyond BillionToOne’s control. These and additional risks and uncertainties that could affect BillionToOne’s financial and operating results and cause actual results to differ materially from those indicated by the forward-looking statements made in this press release. These risks and uncertainties include those discussed under the captions “Risk Factors” and “Management’s Discussion and Analysis of Financial Condition and Results of Operation” and elsewhere in BillionToOne’s most recently filed quarterly report on Form 10-Q, the annual report on Form 10-K and other filings BillionToOne makes with the Securities and Exchange Commission from time to time. The forward-looking statements in this press release are based on information available to BillionToOne as of the date hereof, and BillionToOne disclaims any obligation to update any forward-looking statements provided to reflect any change in its expectations or any change in events, conditions, or circumstances on which any such statement is based, except as required by law. These forward-looking statements should not be relied upon as representing BillionToOne’s views as of any date subsequent to the date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We use certain non-GAAP financial measures to supplement our unaudited financial results, which are presented in accordance with GAAP. These non-GAAP financial measures include EBITDA, adjusted </w:t>
      </w:r>
    </w:p>
    <w:p>
      <w:pPr>
        <w:pStyle w:val="TextBody"/>
        <w:bidi w:val="0"/>
        <w:spacing w:before="0" w:after="0"/>
        <w:jc w:val="left"/>
        <w:rPr/>
      </w:pPr>
      <w:r>
        <w:rPr/>
        <w:drawing>
          <wp:inline distT="0" distB="0" distL="0" distR="0">
            <wp:extent cx="1276350" cy="6667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0"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EBITDA and free cash flow. By excluding the impact of certain items that we believe do not directly reflect our underlying operations, we are of the opinion that EBITDA, adjusted EBITDA and free cash flow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forecasting. These metrics also provide investors and other users of our financial information with additional tools to compare business performance across companies and periods, while eliminating the effects of items that may vary for different companies for reasons unrelated to core operating performance.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A reconciliation between GAAP and non-GAAP financial information is provided immediately following the financial tables. A reconciliation of the forecasted range for adjusted EBITDA for the full year 2026 is not included in this release due to the number of variables in the projected range and because we are currently unable to quantify accurately certain amounts that would be required to be included in the U.S. GAAP measure or the individual adjustments for such reconciliation.</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EBITDA</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define EBITDA as net income (loss) adjusted for income taxes, interest income, interest expense, and depreciation and amortization expense.</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Adjusted EBITDA</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We define Adjusted EBITDA as net income (loss) adjusted for income taxes, interest income, interest expense, depreciation and amortization expense, and certain other items which include significant non-cash items events that are highly variable, significant in size, and that we do not believe are indicative of ongoing or future business operations, which include: stock-based compensation expense; change in fair value of term loan; and change in fair value of warrant liabilities.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Free Cash Flow</w:t>
      </w:r>
    </w:p>
    <w:p>
      <w:pPr>
        <w:pStyle w:val="TextBody"/>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We define Free Cash Flow as net cash provided by operating activities adjusted for purchases of property and equipment.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2"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Statements of Operations and Comprehensive Income (Loss)</w: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(in thousands, except per share amounts, unaudited)</w:t>
      </w:r>
    </w:p>
    <w:tbl>
      <w:tblPr>
        <w:tblW w:w="10205" w:type="dxa"/>
        <w:jc w:val="center"/>
        <w:tblInd w:w="0" w:type="dxa"/>
        <w:tblLayout w:type="fixed"/>
        <w:tblCellMar>
          <w:top w:w="28" w:type="dxa"/>
          <w:left w:w="28" w:type="dxa"/>
          <w:bottom w:w="28" w:type="dxa"/>
          <w:right w:w="28" w:type="dxa"/>
        </w:tblCellMar>
      </w:tblPr>
      <w:tblGrid>
        <w:gridCol w:w="1985"/>
        <w:gridCol w:w="1552"/>
        <w:gridCol w:w="1567"/>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5"/>
      </w:tblGrid>
      <w:tr>
        <w:trPr/>
        <w:tc>
          <w:tcPr>
            <w:tcW w:w="1985"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Arial;sans-serif" w:hAnsi="Arial;sans-serif"/>
                <w:b/>
                <w:color w:val="000000"/>
                <w:sz w:val="16"/>
              </w:rPr>
            </w:pPr>
            <w:r>
              <w:rPr>
                <w:rFonts w:ascii="Arial;sans-serif" w:hAnsi="Arial;sans-serif"/>
                <w:b/>
                <w:color w:val="000000"/>
                <w:sz w:val="16"/>
              </w:rPr>
              <w:t>2025</w:t>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217,836 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125,536 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77,107 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156,203 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81,438 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22,181 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63,199 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132,866 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85,380 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(3,942)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2,957 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(3,102)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Income (loss)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(4,120)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(loss) and comprehensive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(4,234)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(loss) per share, basic and 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(loss) per share, basic</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 (loss) per share, 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(0.41)</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shares used in calculating net income (loss) per share, basic and diluted:</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shares used in calculating net income (loss) per share, basic</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46,403,350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46,169,335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10,349,146</w:t>
            </w:r>
          </w:p>
        </w:tc>
      </w:tr>
      <w:tr>
        <w:trPr/>
        <w:tc>
          <w:tcPr>
            <w:tcW w:w="51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Weighted-average shares used in calculating net income (loss) per share, diluted</w:t>
            </w:r>
          </w:p>
        </w:tc>
        <w:tc>
          <w:tcPr>
            <w:tcW w:w="104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54,455,523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10,385,000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53,743,241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10,349,146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4"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 xml:space="preserve">Balance Sheets </w:t>
      </w:r>
    </w:p>
    <w:p>
      <w:pPr>
        <w:pStyle w:val="TextBody"/>
        <w:bidi w:val="0"/>
        <w:spacing w:lineRule="auto" w:line="319" w:before="0" w:after="0"/>
        <w:jc w:val="center"/>
        <w:rPr>
          <w:rFonts w:ascii="Arial;sans-serif" w:hAnsi="Arial;sans-serif"/>
          <w:b/>
          <w:color w:val="000000"/>
          <w:sz w:val="20"/>
        </w:rPr>
      </w:pPr>
      <w:r>
        <w:rPr>
          <w:rFonts w:ascii="Arial;sans-serif" w:hAnsi="Arial;sans-serif"/>
          <w:b/>
          <w:color w:val="000000"/>
          <w:sz w:val="20"/>
        </w:rPr>
        <w:t>(in thousands, except share amounts, unaudited)</w:t>
      </w:r>
    </w:p>
    <w:tbl>
      <w:tblPr>
        <w:tblW w:w="10205" w:type="dxa"/>
        <w:jc w:val="center"/>
        <w:tblInd w:w="0" w:type="dxa"/>
        <w:tblLayout w:type="fixed"/>
        <w:tblCellMar>
          <w:top w:w="28" w:type="dxa"/>
          <w:left w:w="28" w:type="dxa"/>
          <w:bottom w:w="28" w:type="dxa"/>
          <w:right w:w="28" w:type="dxa"/>
        </w:tblCellMar>
      </w:tblPr>
      <w:tblGrid>
        <w:gridCol w:w="3016"/>
        <w:gridCol w:w="2348"/>
        <w:gridCol w:w="2150"/>
        <w:gridCol w:w="204"/>
        <w:gridCol w:w="768"/>
        <w:gridCol w:w="113"/>
        <w:gridCol w:w="109"/>
        <w:gridCol w:w="109"/>
        <w:gridCol w:w="109"/>
        <w:gridCol w:w="230"/>
        <w:gridCol w:w="864"/>
        <w:gridCol w:w="185"/>
      </w:tblGrid>
      <w:tr>
        <w:trPr/>
        <w:tc>
          <w:tcPr>
            <w:tcW w:w="3016"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319" w:before="0" w:after="283"/>
              <w:ind w:left="0" w:right="0" w:hanging="200"/>
              <w:jc w:val="center"/>
              <w:rPr>
                <w:rFonts w:ascii="Arial;sans-serif" w:hAnsi="Arial;sans-serif"/>
                <w:b/>
                <w:color w:val="000000"/>
                <w:sz w:val="16"/>
              </w:rPr>
            </w:pPr>
            <w:r>
              <w:rPr>
                <w:rFonts w:ascii="Arial;sans-serif" w:hAnsi="Arial;sans-serif"/>
                <w:b/>
                <w:color w:val="000000"/>
                <w:sz w:val="16"/>
              </w:rPr>
              <w:t>December 31, 2025</w:t>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Assets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Current assets: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548,628 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495,975 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74,894 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41,617 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21,135 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17,545 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6,719 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5,421 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651,376 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560,558 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24,932 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20,361 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47,829 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46,742 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4,993 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729,696 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632,654 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color w:val="000000"/>
                <w:sz w:val="16"/>
              </w:rPr>
            </w:pPr>
            <w:r>
              <w:rPr>
                <w:rFonts w:ascii="Arial;sans-serif" w:hAnsi="Arial;sans-serif"/>
                <w:b/>
                <w:color w:val="000000"/>
                <w:sz w:val="16"/>
              </w:rPr>
              <w:t>Liabilities and stockholders’ equity</w:t>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7,184 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12,603 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7,247 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Accrued commissions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3,912 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Accrued compensation and employee benefits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12,551 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Common stock warrant liability</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9,282 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2,188 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6,343 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5,079 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Financing lease liabilities, current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55,725 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47,962 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45,981 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45,723 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Financing lease liabilities, non-current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91,031 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57,226 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192,890 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152,549 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Class A common stock, $0.00001 par value, 800,000,000 shares authorized as of June 30, 2026 and December 31, 2025; 42,283,900 and 41,252,105 shares issued and outstanding as of June 30, 2026 and December 31, 2025, respectively</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Class B common stock, $0.00001 par value; 10,000,000 shares authorized as of June 30, 2026 and December 31, 2025; 4,542,650 and 4,552,650 shares issued and outstanding as of June 30, 2026 and December 31, 2025, respectively</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787,321 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756,644 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Accumulated deficit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(248,723)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(274,747)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536,806 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480,105 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729,696 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632,654 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6"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BillionToOne, Inc.</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Statements of Cash Flows</w:t>
      </w:r>
    </w:p>
    <w:p>
      <w:pPr>
        <w:pStyle w:val="TextBody"/>
        <w:bidi w:val="0"/>
        <w:spacing w:lineRule="auto" w:line="319" w:before="0" w:after="240"/>
        <w:jc w:val="center"/>
        <w:rPr>
          <w:rFonts w:ascii="Arial;sans-serif" w:hAnsi="Arial;sans-serif"/>
          <w:b w:val="false"/>
          <w:color w:val="000000"/>
          <w:sz w:val="22"/>
        </w:rPr>
      </w:pPr>
      <w:r>
        <w:rPr>
          <w:rFonts w:ascii="Arial;sans-serif" w:hAnsi="Arial;sans-serif"/>
          <w:b w:val="false"/>
          <w:color w:val="000000"/>
          <w:sz w:val="22"/>
        </w:rPr>
        <w:t>(in thousands, unaudited)</w:t>
      </w:r>
    </w:p>
    <w:p>
      <w:pPr>
        <w:pStyle w:val="TextBody"/>
        <w:bidi w:val="0"/>
        <w:spacing w:before="0" w:after="240"/>
        <w:jc w:val="left"/>
        <w:rPr/>
      </w:pPr>
      <w:r>
        <w:rPr/>
      </w:r>
    </w:p>
    <w:tbl>
      <w:tblPr>
        <w:tblW w:w="10205" w:type="dxa"/>
        <w:jc w:val="center"/>
        <w:tblInd w:w="0" w:type="dxa"/>
        <w:tblLayout w:type="fixed"/>
        <w:tblCellMar>
          <w:top w:w="28" w:type="dxa"/>
          <w:left w:w="28" w:type="dxa"/>
          <w:bottom w:w="28" w:type="dxa"/>
          <w:right w:w="28" w:type="dxa"/>
        </w:tblCellMar>
      </w:tblPr>
      <w:tblGrid>
        <w:gridCol w:w="2770"/>
        <w:gridCol w:w="2426"/>
        <w:gridCol w:w="2435"/>
        <w:gridCol w:w="211"/>
        <w:gridCol w:w="751"/>
        <w:gridCol w:w="109"/>
        <w:gridCol w:w="109"/>
        <w:gridCol w:w="109"/>
        <w:gridCol w:w="109"/>
        <w:gridCol w:w="226"/>
        <w:gridCol w:w="795"/>
        <w:gridCol w:w="155"/>
      </w:tblGrid>
      <w:tr>
        <w:trPr/>
        <w:tc>
          <w:tcPr>
            <w:tcW w:w="2770"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7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2"/>
              </w:rPr>
            </w:pPr>
            <w:r>
              <w:rPr>
                <w:rFonts w:ascii="Arial;sans-serif" w:hAnsi="Arial;sans-serif"/>
                <w:b w:val="false"/>
                <w:color w:val="000000"/>
                <w:sz w:val="22"/>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(4,234)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5,106 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3,540 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Amortization of operating right-of-use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2,455 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Loss on disposal of fixed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common stock warrant liability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20"/>
              </w:rPr>
            </w:pPr>
            <w:r>
              <w:rPr>
                <w:rFonts w:ascii="Arial;sans-serif" w:hAnsi="Arial;sans-serif"/>
                <w:b w:val="false"/>
                <w:color w:val="000000"/>
                <w:sz w:val="20"/>
              </w:rPr>
              <w:t>Change in fair value of redeemable convertible preferred stock warrant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591 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i/>
                <w:color w:val="000000"/>
                <w:sz w:val="20"/>
              </w:rPr>
            </w:pPr>
            <w:r>
              <w:rPr>
                <w:rFonts w:ascii="Arial;sans-serif" w:hAnsi="Arial;sans-serif"/>
                <w:b w:val="false"/>
                <w:i/>
                <w:color w:val="000000"/>
                <w:sz w:val="20"/>
              </w:rPr>
              <w:t>Changes in operating assets and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Accounts receivable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(5,729)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Inventories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(5,002)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2,417 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(2,698)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Accounts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3,313 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2,393 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commissions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compensation and employee benefits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4,207 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Deferred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(590)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(2,139)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3,807 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investing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(5,221)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9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(8,520)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2"/>
              </w:rPr>
            </w:pPr>
            <w:r>
              <w:rPr>
                <w:rFonts w:ascii="Arial;sans-serif" w:hAnsi="Arial;sans-serif"/>
                <w:b w:val="false"/>
                <w:color w:val="000000"/>
                <w:sz w:val="22"/>
              </w:rPr>
              <w:t>(5,221)</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1276350" cy="6667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BillionToOne, Inc.</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Statements of Cash Flows</w:t>
      </w:r>
    </w:p>
    <w:p>
      <w:pPr>
        <w:pStyle w:val="TextBody"/>
        <w:bidi w:val="0"/>
        <w:spacing w:lineRule="auto" w:line="319" w:before="0" w:after="240"/>
        <w:jc w:val="center"/>
        <w:rPr>
          <w:rFonts w:ascii="Arial;sans-serif" w:hAnsi="Arial;sans-serif"/>
          <w:b w:val="false"/>
          <w:color w:val="000000"/>
          <w:sz w:val="22"/>
        </w:rPr>
      </w:pPr>
      <w:r>
        <w:rPr>
          <w:rFonts w:ascii="Arial;sans-serif" w:hAnsi="Arial;sans-serif"/>
          <w:b w:val="false"/>
          <w:color w:val="000000"/>
          <w:sz w:val="22"/>
        </w:rPr>
        <w:t>(in thousands,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6"/>
        <w:gridCol w:w="2412"/>
        <w:gridCol w:w="2161"/>
        <w:gridCol w:w="211"/>
        <w:gridCol w:w="856"/>
        <w:gridCol w:w="109"/>
        <w:gridCol w:w="109"/>
        <w:gridCol w:w="109"/>
        <w:gridCol w:w="109"/>
        <w:gridCol w:w="211"/>
        <w:gridCol w:w="856"/>
        <w:gridCol w:w="156"/>
      </w:tblGrid>
      <w:tr>
        <w:trPr/>
        <w:tc>
          <w:tcPr>
            <w:tcW w:w="2906"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7"/>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319" w:before="0" w:after="283"/>
              <w:ind w:left="0" w:right="0" w:hanging="187"/>
              <w:jc w:val="center"/>
              <w:rPr>
                <w:rFonts w:ascii="Arial;sans-serif" w:hAnsi="Arial;sans-serif"/>
                <w:b/>
                <w:color w:val="000000"/>
                <w:sz w:val="16"/>
              </w:rPr>
            </w:pPr>
            <w:r>
              <w:rPr>
                <w:rFonts w:ascii="Arial;sans-serif" w:hAnsi="Arial;sans-serif"/>
                <w:b/>
                <w:color w:val="000000"/>
                <w:sz w:val="16"/>
              </w:rPr>
              <w:t>Six Months Ended June 30,</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187"/>
              <w:jc w:val="center"/>
              <w:rPr>
                <w:rFonts w:ascii="Arial;sans-serif" w:hAnsi="Arial;sans-serif"/>
                <w:b/>
                <w:color w:val="000000"/>
                <w:sz w:val="16"/>
              </w:rPr>
            </w:pPr>
            <w:r>
              <w:rPr>
                <w:rFonts w:ascii="Arial;sans-serif" w:hAnsi="Arial;sans-serif"/>
                <w:b/>
                <w:color w:val="000000"/>
                <w:sz w:val="16"/>
              </w:rPr>
              <w:t>2025</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issuance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Principal payments on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Payment of deferred offering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495,975 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191,477 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548,628 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188,958 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20"/>
              </w:rPr>
            </w:pPr>
            <w:r>
              <w:rPr>
                <w:rFonts w:ascii="Arial;sans-serif" w:hAnsi="Arial;sans-serif"/>
                <w:b/>
                <w:color w:val="000000"/>
                <w:sz w:val="20"/>
              </w:rPr>
              <w:t>Supplemental cash flow disclosure: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payments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Arial;sans-serif" w:hAnsi="Arial;sans-serif"/>
                <w:b/>
                <w:color w:val="000000"/>
                <w:sz w:val="20"/>
              </w:rPr>
            </w:pPr>
            <w:r>
              <w:rPr>
                <w:rFonts w:ascii="Arial;sans-serif" w:hAnsi="Arial;sans-serif"/>
                <w:b/>
                <w:color w:val="000000"/>
                <w:sz w:val="20"/>
              </w:rPr>
              <w:t>Supplemental non-cash investing and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Arial;sans-serif" w:hAnsi="Arial;sans-serif"/>
                <w:b w:val="false"/>
                <w:color w:val="000000"/>
                <w:sz w:val="20"/>
              </w:rPr>
            </w:pPr>
            <w:r>
              <w:rPr>
                <w:rFonts w:ascii="Arial;sans-serif" w:hAnsi="Arial;sans-serif"/>
                <w:b w:val="false"/>
                <w:color w:val="000000"/>
                <w:sz w:val="20"/>
              </w:rPr>
              <w:t>Purchases of property and equipment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20"/>
              </w:rPr>
            </w:pPr>
            <w:r>
              <w:rPr>
                <w:rFonts w:ascii="Arial;sans-serif" w:hAnsi="Arial;sans-serif"/>
                <w:b w:val="false"/>
                <w:color w:val="000000"/>
                <w:sz w:val="20"/>
              </w:rPr>
              <w:t>Deferred offering costs in accounts payable and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2"/>
              </w:rPr>
            </w:pPr>
            <w:r>
              <w:rPr>
                <w:rFonts w:ascii="Arial;sans-serif" w:hAnsi="Arial;sans-serif"/>
                <w:b w:val="false"/>
                <w:color w:val="000000"/>
                <w:sz w:val="22"/>
              </w:rPr>
              <w:t>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Arial;sans-serif" w:hAnsi="Arial;sans-serif"/>
                <w:b w:val="false"/>
                <w:color w:val="000000"/>
                <w:sz w:val="20"/>
              </w:rPr>
            </w:pPr>
            <w:r>
              <w:rPr>
                <w:rFonts w:ascii="Arial;sans-serif" w:hAnsi="Arial;sans-serif"/>
                <w:b w:val="false"/>
                <w:color w:val="000000"/>
                <w:sz w:val="20"/>
              </w:rPr>
              <w:t>Net exercise of Class A common stock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cash flows from financing leases (interest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Exercise of stock options for which cash had not been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160" w:after="283"/>
        <w:jc w:val="center"/>
        <w:rPr>
          <w:rFonts w:ascii="Arial;sans-serif" w:hAnsi="Arial;sans-serif"/>
          <w:b/>
          <w:color w:val="000000"/>
          <w:sz w:val="22"/>
        </w:rPr>
      </w:pPr>
      <w:r>
        <w:rPr>
          <w:rFonts w:ascii="Arial;sans-serif" w:hAnsi="Arial;sans-serif"/>
          <w:b/>
          <w:color w:val="000000"/>
          <w:sz w:val="22"/>
        </w:rPr>
        <w:t>BillionToOne, Inc.</w:t>
      </w:r>
    </w:p>
    <w:p>
      <w:pPr>
        <w:pStyle w:val="TextBody"/>
        <w:bidi w:val="0"/>
        <w:spacing w:lineRule="auto" w:line="288" w:before="160" w:after="283"/>
        <w:jc w:val="center"/>
        <w:rPr>
          <w:rFonts w:ascii="Arial;sans-serif" w:hAnsi="Arial;sans-serif"/>
          <w:b/>
          <w:color w:val="000000"/>
          <w:sz w:val="22"/>
        </w:rPr>
      </w:pPr>
      <w:r>
        <w:rPr>
          <w:rFonts w:ascii="Arial;sans-serif" w:hAnsi="Arial;sans-serif"/>
          <w:b/>
          <w:color w:val="000000"/>
          <w:sz w:val="22"/>
        </w:rPr>
        <w:t>Reconciliation of Net Income (Loss) to EBITDA</w:t>
      </w:r>
    </w:p>
    <w:p>
      <w:pPr>
        <w:pStyle w:val="TextBody"/>
        <w:bidi w:val="0"/>
        <w:spacing w:lineRule="auto" w:line="288" w:before="0" w:after="160"/>
        <w:jc w:val="center"/>
        <w:rPr>
          <w:rFonts w:ascii="Arial;sans-serif" w:hAnsi="Arial;sans-serif"/>
          <w:b w:val="false"/>
          <w:color w:val="000000"/>
          <w:sz w:val="22"/>
        </w:rPr>
      </w:pPr>
      <w:r>
        <w:rPr>
          <w:rFonts w:ascii="Arial;sans-serif" w:hAnsi="Arial;sans-serif"/>
          <w:b w:val="false"/>
          <w:color w:val="000000"/>
          <w:sz w:val="22"/>
        </w:rPr>
        <w:t>(in thousands, unaudited)</w:t>
      </w:r>
    </w:p>
    <w:tbl>
      <w:tblPr>
        <w:tblW w:w="7650" w:type="dxa"/>
        <w:jc w:val="center"/>
        <w:tblInd w:w="0" w:type="dxa"/>
        <w:tblLayout w:type="fixed"/>
        <w:tblCellMar>
          <w:top w:w="28" w:type="dxa"/>
          <w:left w:w="28" w:type="dxa"/>
          <w:bottom w:w="28" w:type="dxa"/>
          <w:right w:w="28" w:type="dxa"/>
        </w:tblCellMar>
      </w:tblPr>
      <w:tblGrid>
        <w:gridCol w:w="978"/>
        <w:gridCol w:w="859"/>
        <w:gridCol w:w="863"/>
        <w:gridCol w:w="211"/>
        <w:gridCol w:w="646"/>
        <w:gridCol w:w="109"/>
        <w:gridCol w:w="109"/>
        <w:gridCol w:w="109"/>
        <w:gridCol w:w="109"/>
        <w:gridCol w:w="211"/>
        <w:gridCol w:w="541"/>
        <w:gridCol w:w="109"/>
        <w:gridCol w:w="109"/>
        <w:gridCol w:w="109"/>
        <w:gridCol w:w="109"/>
        <w:gridCol w:w="211"/>
        <w:gridCol w:w="751"/>
        <w:gridCol w:w="109"/>
        <w:gridCol w:w="109"/>
        <w:gridCol w:w="109"/>
        <w:gridCol w:w="109"/>
        <w:gridCol w:w="211"/>
        <w:gridCol w:w="70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Arial;sans-serif" w:hAnsi="Arial;sans-serif"/>
          <w:b/>
          <w:color w:val="000000"/>
          <w:sz w:val="22"/>
        </w:rPr>
      </w:pPr>
      <w:r>
        <w:rPr>
          <w:rFonts w:ascii="Arial;sans-serif" w:hAnsi="Arial;sans-serif"/>
          <w:b/>
          <w:color w:val="000000"/>
          <w:sz w:val="22"/>
        </w:rPr>
        <w:t>Reconciliation of Net Income (Loss) to Adjusted EBITDA</w:t>
      </w:r>
    </w:p>
    <w:p>
      <w:pPr>
        <w:pStyle w:val="TextBody"/>
        <w:bidi w:val="0"/>
        <w:spacing w:lineRule="auto" w:line="288" w:before="0" w:after="160"/>
        <w:jc w:val="center"/>
        <w:rPr>
          <w:rFonts w:ascii="Arial;sans-serif" w:hAnsi="Arial;sans-serif"/>
          <w:b w:val="false"/>
          <w:color w:val="000000"/>
          <w:sz w:val="22"/>
        </w:rPr>
      </w:pPr>
      <w:r>
        <w:rPr>
          <w:rFonts w:ascii="Arial;sans-serif" w:hAnsi="Arial;sans-serif"/>
          <w:b w:val="false"/>
          <w:color w:val="000000"/>
          <w:sz w:val="22"/>
        </w:rPr>
        <w:t>(in thousands, unaudited)</w:t>
      </w:r>
    </w:p>
    <w:tbl>
      <w:tblPr>
        <w:tblW w:w="8729" w:type="dxa"/>
        <w:jc w:val="left"/>
        <w:tblInd w:w="0" w:type="dxa"/>
        <w:tblLayout w:type="fixed"/>
        <w:tblCellMar>
          <w:top w:w="28" w:type="dxa"/>
          <w:left w:w="28" w:type="dxa"/>
          <w:bottom w:w="28" w:type="dxa"/>
          <w:right w:w="28" w:type="dxa"/>
        </w:tblCellMar>
      </w:tblPr>
      <w:tblGrid>
        <w:gridCol w:w="1293"/>
        <w:gridCol w:w="1135"/>
        <w:gridCol w:w="1141"/>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0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Arial;sans-serif" w:hAnsi="Arial;sans-serif"/>
          <w:b/>
          <w:color w:val="000000"/>
          <w:sz w:val="22"/>
        </w:rPr>
      </w:pPr>
      <w:r>
        <w:rPr>
          <w:rFonts w:ascii="Arial;sans-serif" w:hAnsi="Arial;sans-serif"/>
          <w:b/>
          <w:color w:val="000000"/>
          <w:sz w:val="22"/>
        </w:rPr>
        <w:t xml:space="preserve">Reconciliation of Free Cash Flow to Net Cash Provided by Operating Activities </w:t>
      </w:r>
    </w:p>
    <w:p>
      <w:pPr>
        <w:pStyle w:val="TextBody"/>
        <w:bidi w:val="0"/>
        <w:spacing w:lineRule="auto" w:line="288" w:before="0" w:after="160"/>
        <w:jc w:val="center"/>
        <w:rPr>
          <w:rFonts w:ascii="Arial;sans-serif" w:hAnsi="Arial;sans-serif"/>
          <w:b w:val="false"/>
          <w:color w:val="000000"/>
          <w:sz w:val="22"/>
        </w:rPr>
      </w:pPr>
      <w:r>
        <w:rPr>
          <w:rFonts w:ascii="Arial;sans-serif" w:hAnsi="Arial;sans-serif"/>
          <w:b w:val="false"/>
          <w:color w:val="000000"/>
          <w:sz w:val="22"/>
        </w:rPr>
        <w:t>(in thousands, unaudited)</w:t>
      </w:r>
    </w:p>
    <w:tbl>
      <w:tblPr>
        <w:tblW w:w="8775" w:type="dxa"/>
        <w:jc w:val="left"/>
        <w:tblInd w:w="0" w:type="dxa"/>
        <w:tblLayout w:type="fixed"/>
        <w:tblCellMar>
          <w:top w:w="28" w:type="dxa"/>
          <w:left w:w="28" w:type="dxa"/>
          <w:bottom w:w="28" w:type="dxa"/>
          <w:right w:w="28" w:type="dxa"/>
        </w:tblCellMar>
      </w:tblPr>
      <w:tblGrid>
        <w:gridCol w:w="1326"/>
        <w:gridCol w:w="1163"/>
        <w:gridCol w:w="1171"/>
        <w:gridCol w:w="211"/>
        <w:gridCol w:w="646"/>
        <w:gridCol w:w="109"/>
        <w:gridCol w:w="109"/>
        <w:gridCol w:w="109"/>
        <w:gridCol w:w="109"/>
        <w:gridCol w:w="211"/>
        <w:gridCol w:w="706"/>
        <w:gridCol w:w="109"/>
        <w:gridCol w:w="109"/>
        <w:gridCol w:w="109"/>
        <w:gridCol w:w="109"/>
        <w:gridCol w:w="211"/>
        <w:gridCol w:w="751"/>
        <w:gridCol w:w="109"/>
        <w:gridCol w:w="109"/>
        <w:gridCol w:w="109"/>
        <w:gridCol w:w="109"/>
        <w:gridCol w:w="211"/>
        <w:gridCol w:w="706"/>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6667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276350" cy="66675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319"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319" w:before="0" w:after="160"/>
        <w:jc w:val="left"/>
        <w:rPr/>
      </w:pPr>
      <w:r>
        <w:rPr>
          <w:rFonts w:ascii="Arial;sans-serif" w:hAnsi="Arial;sans-serif"/>
          <w:b w:val="false"/>
          <w:color w:val="1155CC"/>
          <w:sz w:val="20"/>
          <w:u w:val="single"/>
        </w:rPr>
        <w:t>ir@billiontoone.com</w:t>
      </w:r>
      <w:r>
        <w:rPr>
          <w:color w:val="000000"/>
        </w:rPr>
        <w:t xml:space="preserve"> </w:t>
      </w:r>
    </w:p>
    <w:p>
      <w:pPr>
        <w:pStyle w:val="TextBody"/>
        <w:bidi w:val="0"/>
        <w:spacing w:lineRule="auto" w:line="319"/>
        <w:jc w:val="left"/>
        <w:rPr/>
      </w:pPr>
      <w:r>
        <w:rPr>
          <w:rFonts w:ascii="Arial;sans-serif" w:hAnsi="Arial;sans-serif"/>
          <w:b/>
          <w:color w:val="000000"/>
          <w:sz w:val="20"/>
        </w:rPr>
        <w:t>Media Contact</w:t>
        <w:br/>
      </w:r>
      <w:r>
        <w:rPr>
          <w:rFonts w:ascii="Arial;sans-serif" w:hAnsi="Arial;sans-serif"/>
          <w:b w:val="false"/>
          <w:color w:val="1155CC"/>
          <w:sz w:val="20"/>
          <w:u w:val="single"/>
        </w:rPr>
        <w:t>billiontoone@moxiegrouppr.com</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3471</Words>
  <Characters>19389</Characters>
  <CharactersWithSpaces>22378</CharactersWithSpaces>
  <Paragraphs>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