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1182.xml.htm"/>
      <w:bookmarkStart w:id="1" w:name="kswkform4_17919311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Lynch Thomas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01/18/2033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40,974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are fully vested and exercisable. The terms of the underlying option grant are as previously reported on the Reporting Person's Form 3 filed on November 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General Counsel, Chief Compliance Officer and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Thomas P. Lynch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9824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3356</Characters>
  <CharactersWithSpaces>3896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