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7"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7" w:lineRule="exact"/>
        <w:rPr>
          <w:sz w:val="24"/>
          <w:szCs w:val="24"/>
          <w:color w:val="auto"/>
        </w:rPr>
      </w:pPr>
    </w:p>
    <w:p>
      <w:pPr>
        <w:ind w:left="320" w:right="20"/>
        <w:spacing w:after="0" w:line="28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-186055</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0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4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4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5147945</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3859530</wp:posOffset>
            </wp:positionH>
            <wp:positionV relativeFrom="paragraph">
              <wp:posOffset>-587375</wp:posOffset>
            </wp:positionV>
            <wp:extent cx="55880" cy="600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620395</wp:posOffset>
            </wp:positionV>
            <wp:extent cx="7002145" cy="780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7807325"/>
                    </a:xfrm>
                    <a:prstGeom prst="rect">
                      <a:avLst/>
                    </a:prstGeom>
                    <a:noFill/>
                  </pic:spPr>
                </pic:pic>
              </a:graphicData>
            </a:graphic>
          </wp:anchor>
        </w:drawing>
      </w:r>
    </w:p>
    <w:p>
      <w:pPr>
        <w:spacing w:after="0" w:line="1041" w:lineRule="exact"/>
        <w:rPr>
          <w:sz w:val="24"/>
          <w:szCs w:val="24"/>
          <w:color w:val="auto"/>
        </w:rPr>
      </w:pPr>
    </w:p>
    <w:p>
      <w:pPr>
        <w:sectPr>
          <w:pgSz w:w="11900" w:h="16895" w:orient="portrait"/>
          <w:cols w:equalWidth="0" w:num="2">
            <w:col w:w="2320" w:space="440"/>
            <w:col w:w="8320"/>
          </w:cols>
          <w:pgMar w:left="460" w:top="211"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Atay Oguzhan</w:t>
        </w:r>
      </w:hyperlink>
    </w:p>
    <w:p>
      <w:pPr>
        <w:spacing w:after="0" w:line="279"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BILLIONTOONE, INC.</w:t>
      </w:r>
    </w:p>
    <w:p>
      <w:pPr>
        <w:spacing w:after="0" w:line="5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1035 O'BRIEN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4"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BillionToOne,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BLLN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11/07/2025</w:t>
      </w:r>
    </w:p>
    <w:p>
      <w:pPr>
        <w:spacing w:after="0" w:line="20" w:lineRule="exact"/>
        <w:rPr>
          <w:sz w:val="24"/>
          <w:szCs w:val="24"/>
          <w:color w:val="auto"/>
        </w:rPr>
      </w:pPr>
      <w:r>
        <w:rPr>
          <w:sz w:val="24"/>
          <w:szCs w:val="24"/>
          <w:color w:val="auto"/>
        </w:rPr>
        <w:br w:type="column"/>
      </w:r>
    </w:p>
    <w:p>
      <w:pPr>
        <w:ind w:left="-4" w:right="820" w:firstLine="4"/>
        <w:spacing w:after="0" w:line="267"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9"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7"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7"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1" w:lineRule="exact"/>
        <w:rPr>
          <w:sz w:val="24"/>
          <w:szCs w:val="24"/>
          <w:color w:val="auto"/>
        </w:rPr>
      </w:pPr>
    </w:p>
    <w:p>
      <w:pPr>
        <w:ind w:left="1176"/>
        <w:spacing w:after="0"/>
        <w:rPr>
          <w:sz w:val="20"/>
          <w:szCs w:val="20"/>
          <w:color w:val="auto"/>
        </w:rPr>
      </w:pPr>
      <w:r>
        <w:rPr>
          <w:rFonts w:ascii="Times New Roman" w:cs="Times New Roman" w:eastAsia="Times New Roman" w:hAnsi="Times New Roman"/>
          <w:sz w:val="16"/>
          <w:szCs w:val="16"/>
          <w:color w:val="0000FF"/>
        </w:rPr>
        <w:t>See Remarks</w:t>
      </w:r>
    </w:p>
    <w:p>
      <w:pPr>
        <w:spacing w:after="0" w:line="513" w:lineRule="exact"/>
        <w:rPr>
          <w:sz w:val="24"/>
          <w:szCs w:val="24"/>
          <w:color w:val="auto"/>
        </w:rPr>
      </w:pPr>
    </w:p>
    <w:p>
      <w:pPr>
        <w:sectPr>
          <w:pgSz w:w="11900" w:h="16895" w:orient="portrait"/>
          <w:cols w:equalWidth="0" w:num="3">
            <w:col w:w="3180" w:space="720"/>
            <w:col w:w="3104" w:space="720"/>
            <w:col w:w="3356"/>
          </w:cols>
          <w:pgMar w:left="460" w:top="211" w:right="359" w:bottom="0" w:gutter="0" w:footer="0" w:header="0"/>
          <w:type w:val="continuous"/>
        </w:sectPr>
      </w:pP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60" w:type="dxa"/>
            <w:vAlign w:val="bottom"/>
            <w:gridSpan w:val="6"/>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   CA</w:t>
            </w: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gridSpan w:val="4"/>
          </w:tcPr>
          <w:p>
            <w:pPr>
              <w:ind w:left="8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00" w:type="dxa"/>
            <w:vAlign w:val="bottom"/>
            <w:gridSpan w:val="8"/>
          </w:tcPr>
          <w:p>
            <w:pPr>
              <w:ind w:left="80"/>
              <w:spacing w:after="0" w:line="125"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620"/>
              <w:spacing w:after="0"/>
              <w:rPr>
                <w:sz w:val="20"/>
                <w:szCs w:val="20"/>
                <w:color w:val="auto"/>
              </w:rPr>
            </w:pPr>
            <w:r>
              <w:rPr>
                <w:rFonts w:ascii="Arial" w:cs="Arial" w:eastAsia="Arial" w:hAnsi="Arial"/>
                <w:sz w:val="12"/>
                <w:szCs w:val="12"/>
                <w:color w:val="auto"/>
              </w:rPr>
              <w:t>(State)</w:t>
            </w:r>
          </w:p>
        </w:tc>
        <w:tc>
          <w:tcPr>
            <w:tcW w:w="980" w:type="dxa"/>
            <w:vAlign w:val="bottom"/>
          </w:tcPr>
          <w:p>
            <w:pPr>
              <w:ind w:left="12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gridSpan w:val="2"/>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20" w:type="dxa"/>
            <w:vAlign w:val="bottom"/>
            <w:tcBorders>
              <w:bottom w:val="single" w:sz="8" w:color="2C2C2C"/>
            </w:tcBorders>
            <w:gridSpan w:val="8"/>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4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4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60" w:type="dxa"/>
            <w:vAlign w:val="bottom"/>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line="121"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4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4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6"/>
                <w:szCs w:val="16"/>
                <w:color w:val="0000FF"/>
                <w:w w:val="98"/>
              </w:rPr>
              <w:t>11/07/2025</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24"/>
                <w:szCs w:val="24"/>
                <w:color w:val="0000FF"/>
                <w:w w:val="80"/>
                <w:vertAlign w:val="subscript"/>
              </w:rPr>
              <w:t>C</w:t>
            </w:r>
            <w:r>
              <w:rPr>
                <w:rFonts w:ascii="Times New Roman" w:cs="Times New Roman" w:eastAsia="Times New Roman" w:hAnsi="Times New Roman"/>
                <w:sz w:val="10"/>
                <w:szCs w:val="10"/>
                <w:color w:val="008000"/>
                <w:w w:val="80"/>
              </w:rPr>
              <w:t>(2)</w:t>
            </w:r>
          </w:p>
        </w:tc>
        <w:tc>
          <w:tcPr>
            <w:tcW w:w="7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6"/>
                <w:szCs w:val="16"/>
                <w:color w:val="0000FF"/>
                <w:w w:val="99"/>
              </w:rPr>
              <w:t>262,434</w:t>
            </w:r>
          </w:p>
        </w:tc>
        <w:tc>
          <w:tcPr>
            <w:tcW w:w="52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199"/>
              <w:spacing w:after="0"/>
              <w:rPr>
                <w:sz w:val="20"/>
                <w:szCs w:val="20"/>
                <w:color w:val="auto"/>
              </w:rPr>
            </w:pPr>
            <w:r>
              <w:rPr>
                <w:rFonts w:ascii="Times New Roman" w:cs="Times New Roman" w:eastAsia="Times New Roman" w:hAnsi="Times New Roman"/>
                <w:sz w:val="10"/>
                <w:szCs w:val="10"/>
                <w:color w:val="008000"/>
              </w:rPr>
              <w:t>(2)</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262,434</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6"/>
                <w:szCs w:val="16"/>
                <w:color w:val="0000FF"/>
                <w:w w:val="98"/>
              </w:rPr>
              <w:t>11/07/2025</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(3)</w:t>
            </w:r>
          </w:p>
        </w:tc>
        <w:tc>
          <w:tcPr>
            <w:tcW w:w="7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6"/>
                <w:szCs w:val="16"/>
                <w:color w:val="0000FF"/>
                <w:w w:val="99"/>
              </w:rPr>
              <w:t>262,434</w:t>
            </w:r>
          </w:p>
        </w:tc>
        <w:tc>
          <w:tcPr>
            <w:tcW w:w="52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ind w:right="199"/>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tcBorders>
              <w:bottom w:val="single" w:sz="8" w:color="2C2C2C"/>
            </w:tcBorders>
            <w:gridSpan w:val="2"/>
          </w:tcPr>
          <w:p>
            <w:pPr>
              <w:jc w:val="center"/>
              <w:ind w:left="313"/>
              <w:spacing w:after="0"/>
              <w:rPr>
                <w:sz w:val="20"/>
                <w:szCs w:val="20"/>
                <w:color w:val="auto"/>
              </w:rPr>
            </w:pPr>
            <w:r>
              <w:rPr>
                <w:rFonts w:ascii="Times New Roman" w:cs="Times New Roman" w:eastAsia="Times New Roman" w:hAnsi="Times New Roman"/>
                <w:sz w:val="16"/>
                <w:szCs w:val="16"/>
                <w:color w:val="0000FF"/>
                <w:w w:val="99"/>
              </w:rPr>
              <w:t>0</w:t>
            </w: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6"/>
                <w:szCs w:val="16"/>
                <w:color w:val="0000FF"/>
                <w:w w:val="98"/>
              </w:rPr>
              <w:t>11/07/2025</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(3)</w:t>
            </w:r>
          </w:p>
        </w:tc>
        <w:tc>
          <w:tcPr>
            <w:tcW w:w="7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6"/>
                <w:szCs w:val="16"/>
                <w:color w:val="0000FF"/>
                <w:w w:val="99"/>
              </w:rPr>
              <w:t>1,965,108</w:t>
            </w:r>
          </w:p>
        </w:tc>
        <w:tc>
          <w:tcPr>
            <w:tcW w:w="52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ind w:right="199"/>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tcBorders>
              <w:bottom w:val="single" w:sz="8" w:color="2C2C2C"/>
            </w:tcBorders>
            <w:gridSpan w:val="2"/>
          </w:tcPr>
          <w:p>
            <w:pPr>
              <w:jc w:val="center"/>
              <w:ind w:left="313"/>
              <w:spacing w:after="0"/>
              <w:rPr>
                <w:sz w:val="20"/>
                <w:szCs w:val="20"/>
                <w:color w:val="auto"/>
              </w:rPr>
            </w:pPr>
            <w:r>
              <w:rPr>
                <w:rFonts w:ascii="Times New Roman" w:cs="Times New Roman" w:eastAsia="Times New Roman" w:hAnsi="Times New Roman"/>
                <w:sz w:val="16"/>
                <w:szCs w:val="16"/>
                <w:color w:val="0000FF"/>
                <w:w w:val="99"/>
              </w:rPr>
              <w:t>0</w:t>
            </w: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11/07/2025</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vMerge w:val="restart"/>
          </w:tcPr>
          <w:p>
            <w:pPr>
              <w:jc w:val="center"/>
              <w:ind w:right="288"/>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(3)</w:t>
            </w:r>
          </w:p>
        </w:tc>
        <w:tc>
          <w:tcPr>
            <w:tcW w:w="740" w:type="dxa"/>
            <w:vAlign w:val="bottom"/>
            <w:vMerge w:val="restart"/>
          </w:tcPr>
          <w:p>
            <w:pPr>
              <w:jc w:val="center"/>
              <w:ind w:left="35"/>
              <w:spacing w:after="0"/>
              <w:rPr>
                <w:sz w:val="20"/>
                <w:szCs w:val="20"/>
                <w:color w:val="auto"/>
              </w:rPr>
            </w:pPr>
            <w:r>
              <w:rPr>
                <w:rFonts w:ascii="Times New Roman" w:cs="Times New Roman" w:eastAsia="Times New Roman" w:hAnsi="Times New Roman"/>
                <w:sz w:val="16"/>
                <w:szCs w:val="16"/>
                <w:color w:val="0000FF"/>
                <w:w w:val="99"/>
              </w:rPr>
              <w:t>200,000</w:t>
            </w:r>
          </w:p>
        </w:tc>
        <w:tc>
          <w:tcPr>
            <w:tcW w:w="520" w:type="dxa"/>
            <w:vAlign w:val="bottom"/>
            <w:vMerge w:val="restart"/>
          </w:tcPr>
          <w:p>
            <w:pPr>
              <w:jc w:val="center"/>
              <w:ind w:left="136"/>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jc w:val="right"/>
              <w:ind w:right="199"/>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gridSpan w:val="2"/>
            <w:vMerge w:val="restart"/>
          </w:tcPr>
          <w:p>
            <w:pPr>
              <w:jc w:val="center"/>
              <w:ind w:left="313"/>
              <w:spacing w:after="0"/>
              <w:rPr>
                <w:sz w:val="20"/>
                <w:szCs w:val="20"/>
                <w:color w:val="auto"/>
              </w:rPr>
            </w:pPr>
            <w:r>
              <w:rPr>
                <w:rFonts w:ascii="Times New Roman" w:cs="Times New Roman" w:eastAsia="Times New Roman" w:hAnsi="Times New Roman"/>
                <w:sz w:val="16"/>
                <w:szCs w:val="16"/>
                <w:color w:val="0000FF"/>
                <w:w w:val="99"/>
              </w:rPr>
              <w:t>0</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vMerge w:val="restart"/>
          </w:tcPr>
          <w:p>
            <w:pPr>
              <w:jc w:val="center"/>
              <w:ind w:right="354"/>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09"/>
        </w:trPr>
        <w:tc>
          <w:tcPr>
            <w:tcW w:w="144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spouse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44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gridSpan w:val="3"/>
          </w:tcPr>
          <w:p>
            <w:pPr>
              <w:ind w:left="100"/>
              <w:spacing w:after="0"/>
              <w:rPr>
                <w:sz w:val="20"/>
                <w:szCs w:val="20"/>
                <w:color w:val="auto"/>
              </w:rPr>
            </w:pPr>
            <w:r>
              <w:rPr>
                <w:rFonts w:ascii="Times New Roman" w:cs="Times New Roman" w:eastAsia="Times New Roman" w:hAnsi="Times New Roman"/>
                <w:sz w:val="16"/>
                <w:szCs w:val="16"/>
                <w:color w:val="0000FF"/>
                <w:w w:val="98"/>
              </w:rPr>
              <w:t>11/07/2025</w:t>
            </w:r>
          </w:p>
        </w:tc>
        <w:tc>
          <w:tcPr>
            <w:tcW w:w="180" w:type="dxa"/>
            <w:vAlign w:val="bottom"/>
            <w:tcBorders>
              <w:top w:val="single" w:sz="8" w:color="2C2C2C"/>
              <w:bottom w:val="single" w:sz="8" w:color="2C2C2C"/>
            </w:tcBorders>
          </w:tcPr>
          <w:p>
            <w:pPr>
              <w:spacing w:after="0"/>
              <w:rPr>
                <w:sz w:val="24"/>
                <w:szCs w:val="24"/>
                <w:color w:val="auto"/>
              </w:rPr>
            </w:pPr>
          </w:p>
        </w:tc>
        <w:tc>
          <w:tcPr>
            <w:tcW w:w="9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288"/>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(3)</w:t>
            </w:r>
          </w:p>
        </w:tc>
        <w:tc>
          <w:tcPr>
            <w:tcW w:w="740" w:type="dxa"/>
            <w:vAlign w:val="bottom"/>
            <w:tcBorders>
              <w:top w:val="single" w:sz="8" w:color="2C2C2C"/>
              <w:bottom w:val="single" w:sz="8" w:color="2C2C2C"/>
            </w:tcBorders>
          </w:tcPr>
          <w:p>
            <w:pPr>
              <w:jc w:val="center"/>
              <w:ind w:left="35"/>
              <w:spacing w:after="0"/>
              <w:rPr>
                <w:sz w:val="20"/>
                <w:szCs w:val="20"/>
                <w:color w:val="auto"/>
              </w:rPr>
            </w:pPr>
            <w:r>
              <w:rPr>
                <w:rFonts w:ascii="Times New Roman" w:cs="Times New Roman" w:eastAsia="Times New Roman" w:hAnsi="Times New Roman"/>
                <w:sz w:val="16"/>
                <w:szCs w:val="16"/>
                <w:color w:val="0000FF"/>
                <w:w w:val="99"/>
              </w:rPr>
              <w:t>262,434</w:t>
            </w:r>
          </w:p>
        </w:tc>
        <w:tc>
          <w:tcPr>
            <w:tcW w:w="520" w:type="dxa"/>
            <w:vAlign w:val="bottom"/>
            <w:tcBorders>
              <w:top w:val="single" w:sz="8" w:color="2C2C2C"/>
              <w:bottom w:val="single" w:sz="8" w:color="2C2C2C"/>
            </w:tcBorders>
          </w:tcPr>
          <w:p>
            <w:pPr>
              <w:jc w:val="center"/>
              <w:ind w:left="136"/>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top w:val="single" w:sz="8" w:color="2C2C2C"/>
              <w:bottom w:val="single" w:sz="8" w:color="2C2C2C"/>
            </w:tcBorders>
          </w:tcPr>
          <w:p>
            <w:pPr>
              <w:jc w:val="right"/>
              <w:ind w:right="199"/>
              <w:spacing w:after="0"/>
              <w:rPr>
                <w:sz w:val="20"/>
                <w:szCs w:val="20"/>
                <w:color w:val="auto"/>
              </w:rPr>
            </w:pPr>
            <w:r>
              <w:rPr>
                <w:rFonts w:ascii="Times New Roman" w:cs="Times New Roman" w:eastAsia="Times New Roman" w:hAnsi="Times New Roman"/>
                <w:sz w:val="10"/>
                <w:szCs w:val="10"/>
                <w:color w:val="008000"/>
              </w:rPr>
              <w:t>(3)</w:t>
            </w:r>
          </w:p>
        </w:tc>
        <w:tc>
          <w:tcPr>
            <w:tcW w:w="118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262,434</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37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6"/>
                <w:szCs w:val="16"/>
                <w:color w:val="0000FF"/>
                <w:w w:val="98"/>
              </w:rPr>
              <w:t>11/07/2025</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(3)</w:t>
            </w:r>
          </w:p>
        </w:tc>
        <w:tc>
          <w:tcPr>
            <w:tcW w:w="7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6"/>
                <w:szCs w:val="16"/>
                <w:color w:val="0000FF"/>
                <w:w w:val="99"/>
              </w:rPr>
              <w:t>1,965,108</w:t>
            </w:r>
          </w:p>
        </w:tc>
        <w:tc>
          <w:tcPr>
            <w:tcW w:w="52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199"/>
              <w:spacing w:after="0"/>
              <w:rPr>
                <w:sz w:val="20"/>
                <w:szCs w:val="20"/>
                <w:color w:val="auto"/>
              </w:rPr>
            </w:pPr>
            <w:r>
              <w:rPr>
                <w:rFonts w:ascii="Times New Roman" w:cs="Times New Roman" w:eastAsia="Times New Roman" w:hAnsi="Times New Roman"/>
                <w:sz w:val="10"/>
                <w:szCs w:val="10"/>
                <w:color w:val="008000"/>
              </w:rPr>
              <w:t>(3)</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2,227,542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4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Pr>
          <w:p>
            <w:pPr>
              <w:spacing w:after="0"/>
              <w:rPr>
                <w:sz w:val="19"/>
                <w:szCs w:val="19"/>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11/07/2025</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vMerge w:val="restart"/>
          </w:tcPr>
          <w:p>
            <w:pPr>
              <w:jc w:val="center"/>
              <w:ind w:right="288"/>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(3)</w:t>
            </w:r>
          </w:p>
        </w:tc>
        <w:tc>
          <w:tcPr>
            <w:tcW w:w="740" w:type="dxa"/>
            <w:vAlign w:val="bottom"/>
            <w:vMerge w:val="restart"/>
          </w:tcPr>
          <w:p>
            <w:pPr>
              <w:jc w:val="center"/>
              <w:ind w:left="35"/>
              <w:spacing w:after="0"/>
              <w:rPr>
                <w:sz w:val="20"/>
                <w:szCs w:val="20"/>
                <w:color w:val="auto"/>
              </w:rPr>
            </w:pPr>
            <w:r>
              <w:rPr>
                <w:rFonts w:ascii="Times New Roman" w:cs="Times New Roman" w:eastAsia="Times New Roman" w:hAnsi="Times New Roman"/>
                <w:sz w:val="16"/>
                <w:szCs w:val="16"/>
                <w:color w:val="0000FF"/>
                <w:w w:val="99"/>
              </w:rPr>
              <w:t>200,000</w:t>
            </w:r>
          </w:p>
        </w:tc>
        <w:tc>
          <w:tcPr>
            <w:tcW w:w="520" w:type="dxa"/>
            <w:vAlign w:val="bottom"/>
            <w:vMerge w:val="restart"/>
          </w:tcPr>
          <w:p>
            <w:pPr>
              <w:jc w:val="center"/>
              <w:ind w:left="136"/>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right"/>
              <w:ind w:right="199"/>
              <w:spacing w:after="0"/>
              <w:rPr>
                <w:sz w:val="20"/>
                <w:szCs w:val="20"/>
                <w:color w:val="auto"/>
              </w:rPr>
            </w:pPr>
            <w:r>
              <w:rPr>
                <w:rFonts w:ascii="Times New Roman" w:cs="Times New Roman" w:eastAsia="Times New Roman" w:hAnsi="Times New Roman"/>
                <w:sz w:val="10"/>
                <w:szCs w:val="10"/>
                <w:color w:val="008000"/>
              </w:rPr>
              <w:t>(3)</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200,000</w:t>
            </w:r>
          </w:p>
        </w:tc>
        <w:tc>
          <w:tcPr>
            <w:tcW w:w="340" w:type="dxa"/>
            <w:vAlign w:val="bottom"/>
          </w:tcPr>
          <w:p>
            <w:pPr>
              <w:spacing w:after="0"/>
              <w:rPr>
                <w:sz w:val="19"/>
                <w:szCs w:val="19"/>
                <w:color w:val="auto"/>
              </w:rPr>
            </w:pPr>
          </w:p>
        </w:tc>
        <w:tc>
          <w:tcPr>
            <w:tcW w:w="600" w:type="dxa"/>
            <w:vAlign w:val="bottom"/>
            <w:vMerge w:val="restart"/>
          </w:tcPr>
          <w:p>
            <w:pPr>
              <w:jc w:val="center"/>
              <w:ind w:right="354"/>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09"/>
        </w:trPr>
        <w:tc>
          <w:tcPr>
            <w:tcW w:w="24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spouse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244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gridSpan w:val="3"/>
          </w:tcPr>
          <w:p>
            <w:pPr>
              <w:ind w:left="100"/>
              <w:spacing w:after="0"/>
              <w:rPr>
                <w:sz w:val="20"/>
                <w:szCs w:val="20"/>
                <w:color w:val="auto"/>
              </w:rPr>
            </w:pPr>
            <w:r>
              <w:rPr>
                <w:rFonts w:ascii="Times New Roman" w:cs="Times New Roman" w:eastAsia="Times New Roman" w:hAnsi="Times New Roman"/>
                <w:sz w:val="16"/>
                <w:szCs w:val="16"/>
                <w:color w:val="0000FF"/>
                <w:w w:val="98"/>
              </w:rPr>
              <w:t>11/07/2025</w:t>
            </w:r>
          </w:p>
        </w:tc>
        <w:tc>
          <w:tcPr>
            <w:tcW w:w="180" w:type="dxa"/>
            <w:vAlign w:val="bottom"/>
            <w:tcBorders>
              <w:top w:val="single" w:sz="8" w:color="2C2C2C"/>
              <w:bottom w:val="single" w:sz="8" w:color="2C2C2C"/>
            </w:tcBorders>
          </w:tcPr>
          <w:p>
            <w:pPr>
              <w:spacing w:after="0"/>
              <w:rPr>
                <w:sz w:val="24"/>
                <w:szCs w:val="24"/>
                <w:color w:val="auto"/>
              </w:rPr>
            </w:pPr>
          </w:p>
        </w:tc>
        <w:tc>
          <w:tcPr>
            <w:tcW w:w="9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288"/>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(5)</w:t>
            </w:r>
          </w:p>
        </w:tc>
        <w:tc>
          <w:tcPr>
            <w:tcW w:w="740" w:type="dxa"/>
            <w:vAlign w:val="bottom"/>
            <w:tcBorders>
              <w:top w:val="single" w:sz="8" w:color="2C2C2C"/>
              <w:bottom w:val="single" w:sz="8" w:color="2C2C2C"/>
            </w:tcBorders>
          </w:tcPr>
          <w:p>
            <w:pPr>
              <w:jc w:val="center"/>
              <w:ind w:left="35"/>
              <w:spacing w:after="0"/>
              <w:rPr>
                <w:sz w:val="20"/>
                <w:szCs w:val="20"/>
                <w:color w:val="auto"/>
              </w:rPr>
            </w:pPr>
            <w:r>
              <w:rPr>
                <w:rFonts w:ascii="Times New Roman" w:cs="Times New Roman" w:eastAsia="Times New Roman" w:hAnsi="Times New Roman"/>
                <w:sz w:val="16"/>
                <w:szCs w:val="16"/>
                <w:color w:val="0000FF"/>
                <w:w w:val="99"/>
              </w:rPr>
              <w:t>2,227,542</w:t>
            </w:r>
          </w:p>
        </w:tc>
        <w:tc>
          <w:tcPr>
            <w:tcW w:w="520" w:type="dxa"/>
            <w:vAlign w:val="bottom"/>
            <w:tcBorders>
              <w:top w:val="single" w:sz="8" w:color="2C2C2C"/>
              <w:bottom w:val="single" w:sz="8" w:color="2C2C2C"/>
            </w:tcBorders>
          </w:tcPr>
          <w:p>
            <w:pPr>
              <w:jc w:val="center"/>
              <w:ind w:left="136"/>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top w:val="single" w:sz="8" w:color="2C2C2C"/>
              <w:bottom w:val="single" w:sz="8" w:color="2C2C2C"/>
            </w:tcBorders>
          </w:tcPr>
          <w:p>
            <w:pPr>
              <w:jc w:val="right"/>
              <w:ind w:right="199"/>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tcBorders>
              <w:top w:val="single" w:sz="8" w:color="2C2C2C"/>
              <w:bottom w:val="single" w:sz="8" w:color="2C2C2C"/>
            </w:tcBorders>
            <w:gridSpan w:val="2"/>
          </w:tcPr>
          <w:p>
            <w:pPr>
              <w:jc w:val="center"/>
              <w:ind w:left="313"/>
              <w:spacing w:after="0"/>
              <w:rPr>
                <w:sz w:val="20"/>
                <w:szCs w:val="20"/>
                <w:color w:val="auto"/>
              </w:rPr>
            </w:pPr>
            <w:r>
              <w:rPr>
                <w:rFonts w:ascii="Times New Roman" w:cs="Times New Roman" w:eastAsia="Times New Roman" w:hAnsi="Times New Roman"/>
                <w:sz w:val="16"/>
                <w:szCs w:val="16"/>
                <w:color w:val="0000FF"/>
                <w:w w:val="99"/>
              </w:rPr>
              <w:t>0</w:t>
            </w:r>
          </w:p>
        </w:tc>
        <w:tc>
          <w:tcPr>
            <w:tcW w:w="4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37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40" w:type="dxa"/>
            <w:vAlign w:val="bottom"/>
            <w:gridSpan w:val="12"/>
          </w:tcPr>
          <w:p>
            <w:pPr>
              <w:ind w:lef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700" w:type="dxa"/>
            <w:vAlign w:val="bottom"/>
            <w:gridSpan w:val="10"/>
          </w:tcPr>
          <w:p>
            <w:pPr>
              <w:jc w:val="right"/>
              <w:ind w:right="37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 Securities</w:t>
            </w:r>
          </w:p>
        </w:tc>
        <w:tc>
          <w:tcPr>
            <w:tcW w:w="15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9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15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9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3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gridSpan w:val="2"/>
          </w:tcPr>
          <w:p>
            <w:pPr>
              <w:jc w:val="center"/>
              <w:ind w:right="439"/>
              <w:spacing w:after="0" w:line="121" w:lineRule="exact"/>
              <w:rPr>
                <w:sz w:val="20"/>
                <w:szCs w:val="20"/>
                <w:color w:val="auto"/>
              </w:rPr>
            </w:pPr>
            <w:r>
              <w:rPr>
                <w:rFonts w:ascii="Arial" w:cs="Arial" w:eastAsia="Arial" w:hAnsi="Arial"/>
                <w:sz w:val="11"/>
                <w:szCs w:val="11"/>
                <w:b w:val="1"/>
                <w:bCs w:val="1"/>
                <w:color w:val="auto"/>
                <w:w w:val="98"/>
              </w:rPr>
              <w:t>(Instr. 3 and 4)</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jc w:val="center"/>
              <w:ind w:right="288"/>
              <w:spacing w:after="0" w:line="121" w:lineRule="exact"/>
              <w:rPr>
                <w:sz w:val="20"/>
                <w:szCs w:val="20"/>
                <w:color w:val="auto"/>
              </w:rPr>
            </w:pPr>
            <w:r>
              <w:rPr>
                <w:rFonts w:ascii="Arial" w:cs="Arial" w:eastAsia="Arial" w:hAnsi="Arial"/>
                <w:sz w:val="11"/>
                <w:szCs w:val="11"/>
                <w:b w:val="1"/>
                <w:bCs w:val="1"/>
                <w:color w:val="auto"/>
                <w:w w:val="92"/>
              </w:rPr>
              <w:t>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60" w:type="dxa"/>
            <w:vAlign w:val="bottom"/>
          </w:tcPr>
          <w:p>
            <w:pPr>
              <w:ind w:left="4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A-1</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85"/>
              </w:rPr>
              <w:t>(2)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11/07/2025</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color w:val="0000FF"/>
                <w:w w:val="99"/>
              </w:rPr>
              <w:t>C</w:t>
            </w:r>
          </w:p>
        </w:tc>
        <w:tc>
          <w:tcPr>
            <w:tcW w:w="180" w:type="dxa"/>
            <w:vAlign w:val="bottom"/>
          </w:tcPr>
          <w:p>
            <w:pPr>
              <w:spacing w:after="0"/>
              <w:rPr>
                <w:sz w:val="11"/>
                <w:szCs w:val="11"/>
                <w:color w:val="auto"/>
              </w:rPr>
            </w:pPr>
          </w:p>
        </w:tc>
        <w:tc>
          <w:tcPr>
            <w:tcW w:w="960" w:type="dxa"/>
            <w:vAlign w:val="bottom"/>
            <w:vMerge w:val="restart"/>
          </w:tcPr>
          <w:p>
            <w:pPr>
              <w:jc w:val="center"/>
              <w:ind w:left="363"/>
              <w:spacing w:after="0"/>
              <w:rPr>
                <w:sz w:val="20"/>
                <w:szCs w:val="20"/>
                <w:color w:val="auto"/>
              </w:rPr>
            </w:pPr>
            <w:r>
              <w:rPr>
                <w:rFonts w:ascii="Times New Roman" w:cs="Times New Roman" w:eastAsia="Times New Roman" w:hAnsi="Times New Roman"/>
                <w:sz w:val="12"/>
                <w:szCs w:val="12"/>
                <w:color w:val="0000FF"/>
                <w:w w:val="97"/>
              </w:rPr>
              <w:t>262,434</w:t>
            </w: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262,434</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440" w:type="dxa"/>
            <w:vAlign w:val="bottom"/>
            <w:vMerge w:val="restart"/>
          </w:tcPr>
          <w:p>
            <w:pPr>
              <w:jc w:val="center"/>
              <w:ind w:left="24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1"/>
                <w:szCs w:val="11"/>
                <w:color w:val="auto"/>
              </w:rPr>
            </w:pP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4"/>
              </w:rPr>
              <w:t>Stock</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(6)</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(5)</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2,227,542</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0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11/07/2025</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140" w:type="dxa"/>
            <w:vAlign w:val="bottom"/>
            <w:gridSpan w:val="2"/>
          </w:tcPr>
          <w:p>
            <w:pPr>
              <w:jc w:val="center"/>
              <w:ind w:right="563"/>
              <w:spacing w:after="0" w:line="134" w:lineRule="exact"/>
              <w:rPr>
                <w:sz w:val="20"/>
                <w:szCs w:val="20"/>
                <w:color w:val="auto"/>
              </w:rPr>
            </w:pPr>
            <w:r>
              <w:rPr>
                <w:rFonts w:ascii="Times New Roman" w:cs="Times New Roman" w:eastAsia="Times New Roman" w:hAnsi="Times New Roman"/>
                <w:sz w:val="12"/>
                <w:szCs w:val="12"/>
                <w:color w:val="0000FF"/>
                <w:w w:val="99"/>
              </w:rPr>
              <w:t>2,227,542</w:t>
            </w: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740" w:type="dxa"/>
            <w:vAlign w:val="bottom"/>
            <w:gridSpan w:val="2"/>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8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9"/>
              </w:rPr>
              <w:t>2,227,542</w:t>
            </w:r>
          </w:p>
        </w:tc>
        <w:tc>
          <w:tcPr>
            <w:tcW w:w="600" w:type="dxa"/>
            <w:vAlign w:val="bottom"/>
          </w:tcPr>
          <w:p>
            <w:pPr>
              <w:ind w:left="34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11/07/2025</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jc w:val="center"/>
              <w:ind w:right="340"/>
              <w:spacing w:after="0" w:line="265" w:lineRule="exact"/>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(1)</w:t>
            </w:r>
          </w:p>
        </w:tc>
        <w:tc>
          <w:tcPr>
            <w:tcW w:w="180" w:type="dxa"/>
            <w:vAlign w:val="bottom"/>
          </w:tcPr>
          <w:p>
            <w:pPr>
              <w:spacing w:after="0"/>
              <w:rPr>
                <w:sz w:val="11"/>
                <w:szCs w:val="11"/>
                <w:color w:val="auto"/>
              </w:rPr>
            </w:pPr>
          </w:p>
        </w:tc>
        <w:tc>
          <w:tcPr>
            <w:tcW w:w="960" w:type="dxa"/>
            <w:vAlign w:val="bottom"/>
            <w:vMerge w:val="restart"/>
          </w:tcPr>
          <w:p>
            <w:pPr>
              <w:jc w:val="center"/>
              <w:ind w:left="363"/>
              <w:spacing w:after="0"/>
              <w:rPr>
                <w:sz w:val="20"/>
                <w:szCs w:val="20"/>
                <w:color w:val="auto"/>
              </w:rPr>
            </w:pPr>
            <w:r>
              <w:rPr>
                <w:rFonts w:ascii="Times New Roman" w:cs="Times New Roman" w:eastAsia="Times New Roman" w:hAnsi="Times New Roman"/>
                <w:sz w:val="12"/>
                <w:szCs w:val="12"/>
                <w:color w:val="0000FF"/>
                <w:w w:val="97"/>
              </w:rPr>
              <w:t>640,000</w:t>
            </w: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06/07/2031</w:t>
            </w:r>
          </w:p>
        </w:tc>
        <w:tc>
          <w:tcPr>
            <w:tcW w:w="5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640,000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40" w:type="dxa"/>
            <w:vAlign w:val="bottom"/>
            <w:vMerge w:val="restart"/>
          </w:tcPr>
          <w:p>
            <w:pPr>
              <w:jc w:val="center"/>
              <w:ind w:left="24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1"/>
                <w:szCs w:val="11"/>
                <w:color w:val="auto"/>
              </w:rPr>
            </w:pP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4"/>
              </w:rPr>
              <w:t>Stock</w:t>
            </w:r>
          </w:p>
        </w:tc>
        <w:tc>
          <w:tcPr>
            <w:tcW w:w="7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70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restart"/>
          </w:tcPr>
          <w:p>
            <w:pPr>
              <w:jc w:val="center"/>
              <w:ind w:right="340"/>
              <w:spacing w:after="0" w:line="194" w:lineRule="exact"/>
              <w:rPr>
                <w:sz w:val="20"/>
                <w:szCs w:val="20"/>
                <w:color w:val="auto"/>
              </w:rPr>
            </w:pPr>
            <w:r>
              <w:rPr>
                <w:rFonts w:ascii="Times New Roman" w:cs="Times New Roman" w:eastAsia="Times New Roman" w:hAnsi="Times New Roman"/>
                <w:sz w:val="22"/>
                <w:szCs w:val="22"/>
                <w:color w:val="0000FF"/>
                <w:w w:val="91"/>
                <w:vertAlign w:val="subscript"/>
              </w:rPr>
              <w:t>J</w:t>
            </w:r>
            <w:r>
              <w:rPr>
                <w:rFonts w:ascii="Times New Roman" w:cs="Times New Roman" w:eastAsia="Times New Roman" w:hAnsi="Times New Roman"/>
                <w:sz w:val="10"/>
                <w:szCs w:val="10"/>
                <w:color w:val="008000"/>
                <w:w w:val="91"/>
              </w:rPr>
              <w:t>(1)</w:t>
            </w: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640,000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00" w:type="dxa"/>
            <w:vAlign w:val="bottom"/>
            <w:gridSpan w:val="2"/>
            <w:vMerge w:val="continue"/>
          </w:tcPr>
          <w:p>
            <w:pPr>
              <w:spacing w:after="0"/>
              <w:rPr>
                <w:sz w:val="6"/>
                <w:szCs w:val="6"/>
                <w:color w:val="auto"/>
              </w:rPr>
            </w:pPr>
          </w:p>
        </w:tc>
        <w:tc>
          <w:tcPr>
            <w:tcW w:w="740" w:type="dxa"/>
            <w:vAlign w:val="bottom"/>
            <w:vMerge w:val="restart"/>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w:t>
            </w:r>
          </w:p>
        </w:tc>
        <w:tc>
          <w:tcPr>
            <w:tcW w:w="100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11/07/2025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40" w:type="dxa"/>
            <w:vAlign w:val="bottom"/>
            <w:gridSpan w:val="2"/>
            <w:vMerge w:val="restart"/>
          </w:tcPr>
          <w:p>
            <w:pPr>
              <w:jc w:val="center"/>
              <w:ind w:right="563"/>
              <w:spacing w:after="0" w:line="134" w:lineRule="exact"/>
              <w:rPr>
                <w:sz w:val="20"/>
                <w:szCs w:val="20"/>
                <w:color w:val="auto"/>
              </w:rPr>
            </w:pPr>
            <w:r>
              <w:rPr>
                <w:rFonts w:ascii="Times New Roman" w:cs="Times New Roman" w:eastAsia="Times New Roman" w:hAnsi="Times New Roman"/>
                <w:sz w:val="12"/>
                <w:szCs w:val="12"/>
                <w:color w:val="0000FF"/>
              </w:rPr>
              <w:t>640,000</w:t>
            </w:r>
          </w:p>
        </w:tc>
        <w:tc>
          <w:tcPr>
            <w:tcW w:w="760" w:type="dxa"/>
            <w:vAlign w:val="bottom"/>
            <w:vMerge w:val="continue"/>
          </w:tcPr>
          <w:p>
            <w:pPr>
              <w:spacing w:after="0"/>
              <w:rPr>
                <w:sz w:val="6"/>
                <w:szCs w:val="6"/>
                <w:color w:val="auto"/>
              </w:rPr>
            </w:pPr>
          </w:p>
        </w:tc>
        <w:tc>
          <w:tcPr>
            <w:tcW w:w="74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06/07/2031</w:t>
            </w:r>
          </w:p>
        </w:tc>
        <w:tc>
          <w:tcPr>
            <w:tcW w:w="52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640,000</w:t>
            </w:r>
          </w:p>
        </w:tc>
        <w:tc>
          <w:tcPr>
            <w:tcW w:w="60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20.04</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11/07/2025</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jc w:val="center"/>
              <w:ind w:right="340"/>
              <w:spacing w:after="0" w:line="265" w:lineRule="exact"/>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(1)</w:t>
            </w:r>
          </w:p>
        </w:tc>
        <w:tc>
          <w:tcPr>
            <w:tcW w:w="180" w:type="dxa"/>
            <w:vAlign w:val="bottom"/>
          </w:tcPr>
          <w:p>
            <w:pPr>
              <w:spacing w:after="0"/>
              <w:rPr>
                <w:sz w:val="11"/>
                <w:szCs w:val="11"/>
                <w:color w:val="auto"/>
              </w:rPr>
            </w:pPr>
          </w:p>
        </w:tc>
        <w:tc>
          <w:tcPr>
            <w:tcW w:w="960" w:type="dxa"/>
            <w:vAlign w:val="bottom"/>
            <w:vMerge w:val="restart"/>
          </w:tcPr>
          <w:p>
            <w:pPr>
              <w:jc w:val="center"/>
              <w:ind w:left="343"/>
              <w:spacing w:after="0"/>
              <w:rPr>
                <w:sz w:val="20"/>
                <w:szCs w:val="20"/>
                <w:color w:val="auto"/>
              </w:rPr>
            </w:pPr>
            <w:r>
              <w:rPr>
                <w:rFonts w:ascii="Times New Roman" w:cs="Times New Roman" w:eastAsia="Times New Roman" w:hAnsi="Times New Roman"/>
                <w:sz w:val="12"/>
                <w:szCs w:val="12"/>
                <w:color w:val="0000FF"/>
                <w:w w:val="99"/>
              </w:rPr>
              <w:t>1,003,102</w:t>
            </w: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06/18/2035</w:t>
            </w:r>
          </w:p>
        </w:tc>
        <w:tc>
          <w:tcPr>
            <w:tcW w:w="5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1,003,102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40" w:type="dxa"/>
            <w:vAlign w:val="bottom"/>
            <w:vMerge w:val="restart"/>
          </w:tcPr>
          <w:p>
            <w:pPr>
              <w:jc w:val="center"/>
              <w:ind w:left="24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1"/>
                <w:szCs w:val="11"/>
                <w:color w:val="auto"/>
              </w:rPr>
            </w:pP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4"/>
              </w:rPr>
              <w:t>Stock</w:t>
            </w:r>
          </w:p>
        </w:tc>
        <w:tc>
          <w:tcPr>
            <w:tcW w:w="7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70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restart"/>
          </w:tcPr>
          <w:p>
            <w:pPr>
              <w:jc w:val="center"/>
              <w:ind w:right="340"/>
              <w:spacing w:after="0" w:line="194" w:lineRule="exact"/>
              <w:rPr>
                <w:sz w:val="20"/>
                <w:szCs w:val="20"/>
                <w:color w:val="auto"/>
              </w:rPr>
            </w:pPr>
            <w:r>
              <w:rPr>
                <w:rFonts w:ascii="Times New Roman" w:cs="Times New Roman" w:eastAsia="Times New Roman" w:hAnsi="Times New Roman"/>
                <w:sz w:val="22"/>
                <w:szCs w:val="22"/>
                <w:color w:val="0000FF"/>
                <w:w w:val="91"/>
                <w:vertAlign w:val="subscript"/>
              </w:rPr>
              <w:t>J</w:t>
            </w:r>
            <w:r>
              <w:rPr>
                <w:rFonts w:ascii="Times New Roman" w:cs="Times New Roman" w:eastAsia="Times New Roman" w:hAnsi="Times New Roman"/>
                <w:sz w:val="10"/>
                <w:szCs w:val="10"/>
                <w:color w:val="008000"/>
                <w:w w:val="91"/>
              </w:rPr>
              <w:t>(1)</w:t>
            </w: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(8)</w:t>
            </w: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1,003,102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00" w:type="dxa"/>
            <w:vAlign w:val="bottom"/>
            <w:gridSpan w:val="2"/>
            <w:vMerge w:val="continue"/>
          </w:tcPr>
          <w:p>
            <w:pPr>
              <w:spacing w:after="0"/>
              <w:rPr>
                <w:sz w:val="6"/>
                <w:szCs w:val="6"/>
                <w:color w:val="auto"/>
              </w:rPr>
            </w:pPr>
          </w:p>
        </w:tc>
        <w:tc>
          <w:tcPr>
            <w:tcW w:w="740" w:type="dxa"/>
            <w:vAlign w:val="bottom"/>
            <w:vMerge w:val="restart"/>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20.04</w:t>
            </w:r>
          </w:p>
        </w:tc>
        <w:tc>
          <w:tcPr>
            <w:tcW w:w="100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11/07/2025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40" w:type="dxa"/>
            <w:vAlign w:val="bottom"/>
            <w:gridSpan w:val="2"/>
            <w:vMerge w:val="restart"/>
          </w:tcPr>
          <w:p>
            <w:pPr>
              <w:jc w:val="center"/>
              <w:ind w:right="563"/>
              <w:spacing w:after="0" w:line="134" w:lineRule="exact"/>
              <w:rPr>
                <w:sz w:val="20"/>
                <w:szCs w:val="20"/>
                <w:color w:val="auto"/>
              </w:rPr>
            </w:pPr>
            <w:r>
              <w:rPr>
                <w:rFonts w:ascii="Times New Roman" w:cs="Times New Roman" w:eastAsia="Times New Roman" w:hAnsi="Times New Roman"/>
                <w:sz w:val="12"/>
                <w:szCs w:val="12"/>
                <w:color w:val="0000FF"/>
                <w:w w:val="99"/>
              </w:rPr>
              <w:t>1,003,102</w:t>
            </w:r>
          </w:p>
        </w:tc>
        <w:tc>
          <w:tcPr>
            <w:tcW w:w="760" w:type="dxa"/>
            <w:vAlign w:val="bottom"/>
            <w:vMerge w:val="continue"/>
          </w:tcPr>
          <w:p>
            <w:pPr>
              <w:spacing w:after="0"/>
              <w:rPr>
                <w:sz w:val="6"/>
                <w:szCs w:val="6"/>
                <w:color w:val="auto"/>
              </w:rPr>
            </w:pPr>
          </w:p>
        </w:tc>
        <w:tc>
          <w:tcPr>
            <w:tcW w:w="74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06/18/2035</w:t>
            </w:r>
          </w:p>
        </w:tc>
        <w:tc>
          <w:tcPr>
            <w:tcW w:w="52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9"/>
              </w:rPr>
              <w:t>1,003,102</w:t>
            </w:r>
          </w:p>
        </w:tc>
        <w:tc>
          <w:tcPr>
            <w:tcW w:w="60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-3492500</wp:posOffset>
            </wp:positionV>
            <wp:extent cx="27940" cy="3498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349821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160" w:hanging="127"/>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total represents shares received upon conversion of shares of Series A-1 Convertible Preferred Stock.</w:t>
      </w:r>
    </w:p>
    <w:p>
      <w:pPr>
        <w:spacing w:after="0" w:line="43" w:lineRule="exact"/>
        <w:rPr>
          <w:rFonts w:ascii="Times New Roman" w:cs="Times New Roman" w:eastAsia="Times New Roman" w:hAnsi="Times New Roman"/>
          <w:sz w:val="12"/>
          <w:szCs w:val="12"/>
          <w:color w:val="008000"/>
        </w:rPr>
      </w:pPr>
    </w:p>
    <w:p>
      <w:pPr>
        <w:ind w:left="40" w:right="220" w:hanging="7"/>
        <w:spacing w:after="0" w:line="265"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security converted into the Issuer's Common Stock on a one-for-one basis automatically immediately prior to the closing of the Issuer's initial public offering of Class A common stock (the "Offering") without payment of further consideration. The shares have no expiration date.</w:t>
      </w:r>
    </w:p>
    <w:p>
      <w:pPr>
        <w:spacing w:after="0" w:line="9"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a reclassification exempt under Rule 16b-7, each share of Common Stock was automatically reclassified into one share of Class A common stock immediately prior to the completion of the Offering.</w:t>
      </w:r>
    </w:p>
    <w:p>
      <w:pPr>
        <w:spacing w:after="0" w:line="43"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held by the Reporting Person's spouse.</w:t>
      </w:r>
    </w:p>
    <w:p>
      <w:pPr>
        <w:spacing w:after="0" w:line="43" w:lineRule="exact"/>
        <w:rPr>
          <w:rFonts w:ascii="Times New Roman" w:cs="Times New Roman" w:eastAsia="Times New Roman" w:hAnsi="Times New Roman"/>
          <w:sz w:val="12"/>
          <w:szCs w:val="12"/>
          <w:color w:val="008000"/>
        </w:rPr>
      </w:pPr>
    </w:p>
    <w:p>
      <w:pPr>
        <w:ind w:left="40" w:right="240" w:hanging="7"/>
        <w:spacing w:after="0" w:line="265"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reclassification of Common Stock into Class A Common Stock, these shares of Class A common stock were exchanged at a 1:1 ratio for shares of Class B common stock in a transaction previously approved by the Issuer's board of directors.</w:t>
      </w:r>
    </w:p>
    <w:p>
      <w:pPr>
        <w:spacing w:after="0" w:line="9" w:lineRule="exact"/>
        <w:rPr>
          <w:rFonts w:ascii="Times New Roman" w:cs="Times New Roman" w:eastAsia="Times New Roman" w:hAnsi="Times New Roman"/>
          <w:sz w:val="12"/>
          <w:szCs w:val="12"/>
          <w:color w:val="008000"/>
        </w:rPr>
      </w:pPr>
    </w:p>
    <w:p>
      <w:pPr>
        <w:jc w:val="both"/>
        <w:ind w:left="40" w:right="300" w:hanging="7"/>
        <w:spacing w:after="0" w:line="265"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into one share of Class A common stock at the option of the holder. Class B common stock will convert automatically on a one-for-one basis into shares of the Issuer's Class A common stock upon the earliest of (i) seven years from the date of filing of the amended and restated certificate of incorporation, in connection with the Offering and (ii) the date specified by a vote of the holders of</w:t>
      </w:r>
    </w:p>
    <w:p>
      <w:pPr>
        <w:sectPr>
          <w:pgSz w:w="11900" w:h="16895" w:orient="portrait"/>
          <w:cols w:equalWidth="0" w:num="1">
            <w:col w:w="11080"/>
          </w:cols>
          <w:pgMar w:left="460" w:top="211" w:right="359" w:bottom="0" w:gutter="0" w:footer="0" w:header="0"/>
          <w:type w:val="continuous"/>
        </w:sectPr>
      </w:pPr>
    </w:p>
    <w:bookmarkStart w:id="1" w:name="page2"/>
    <w:bookmarkEnd w:id="1"/>
    <w:p>
      <w:pPr>
        <w:ind w:left="7"/>
        <w:spacing w:after="0"/>
        <w:rPr>
          <w:sz w:val="20"/>
          <w:szCs w:val="20"/>
          <w:color w:val="auto"/>
        </w:rPr>
      </w:pPr>
      <w:r>
        <w:rPr>
          <w:rFonts w:ascii="Times New Roman" w:cs="Times New Roman" w:eastAsia="Times New Roman" w:hAnsi="Times New Roman"/>
          <w:sz w:val="12"/>
          <w:szCs w:val="12"/>
          <w:color w:val="008000"/>
        </w:rPr>
        <w:t>Class B common stock representing a majority of the outstanding shares of Class B common stock.</w:t>
      </w:r>
    </w:p>
    <w:p>
      <w:pPr>
        <w:spacing w:after="0" w:line="43" w:lineRule="exact"/>
        <w:rPr>
          <w:sz w:val="20"/>
          <w:szCs w:val="20"/>
          <w:color w:val="auto"/>
        </w:rPr>
      </w:pPr>
    </w:p>
    <w:p>
      <w:pPr>
        <w:ind w:left="127" w:hanging="127"/>
        <w:spacing w:after="0"/>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options are fully vested and exercisable.</w:t>
      </w:r>
    </w:p>
    <w:p>
      <w:pPr>
        <w:spacing w:after="0" w:line="43" w:lineRule="exact"/>
        <w:rPr>
          <w:rFonts w:ascii="Times New Roman" w:cs="Times New Roman" w:eastAsia="Times New Roman" w:hAnsi="Times New Roman"/>
          <w:sz w:val="12"/>
          <w:szCs w:val="12"/>
          <w:color w:val="008000"/>
        </w:rPr>
      </w:pPr>
    </w:p>
    <w:p>
      <w:pPr>
        <w:ind w:left="7" w:hanging="7"/>
        <w:spacing w:after="0" w:line="265"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options are subject to a service-based vesting requirement, which shall be satisfied over a six-year period. The options vest and become exercisable in equal monthly installments commencing on June 11, 2025, subject to the Reporting Person's continuous service with the Issuer through each such vesting date.</w:t>
      </w:r>
    </w:p>
    <w:p>
      <w:pPr>
        <w:spacing w:after="0" w:line="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008000"/>
        </w:rPr>
        <w:t>Chairman and Chief Executive Officer</w:t>
      </w:r>
    </w:p>
    <w:p>
      <w:pPr>
        <w:ind w:left="6567"/>
        <w:spacing w:after="0" w:line="187" w:lineRule="auto"/>
        <w:rPr>
          <w:sz w:val="20"/>
          <w:szCs w:val="20"/>
          <w:color w:val="auto"/>
        </w:rPr>
      </w:pPr>
      <w:r>
        <w:rPr>
          <w:rFonts w:ascii="Times New Roman" w:cs="Times New Roman" w:eastAsia="Times New Roman" w:hAnsi="Times New Roman"/>
          <w:sz w:val="16"/>
          <w:szCs w:val="16"/>
          <w:color w:val="0000FF"/>
        </w:rPr>
        <w:t xml:space="preserve">/s/ Thomas P. Lynch, Attorney-in- </w:t>
      </w:r>
      <w:r>
        <w:rPr>
          <w:rFonts w:ascii="Times New Roman" w:cs="Times New Roman" w:eastAsia="Times New Roman" w:hAnsi="Times New Roman"/>
          <w:sz w:val="31"/>
          <w:szCs w:val="31"/>
          <w:color w:val="0000FF"/>
          <w:vertAlign w:val="subscript"/>
        </w:rPr>
        <w:t>11/12/2025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-25400</wp:posOffset>
            </wp:positionV>
            <wp:extent cx="13563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-19685</wp:posOffset>
            </wp:positionV>
            <wp:extent cx="1714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1450" cy="762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-81280</wp:posOffset>
            </wp:positionV>
            <wp:extent cx="4502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0215" cy="7620"/>
                    </a:xfrm>
                    <a:prstGeom prst="rect">
                      <a:avLst/>
                    </a:prstGeom>
                    <a:noFill/>
                  </pic:spPr>
                </pic:pic>
              </a:graphicData>
            </a:graphic>
          </wp:anchor>
        </w:drawing>
      </w:r>
    </w:p>
    <w:p>
      <w:pPr>
        <w:spacing w:after="0" w:line="20" w:lineRule="exact"/>
        <w:rPr>
          <w:sz w:val="20"/>
          <w:szCs w:val="20"/>
          <w:color w:val="auto"/>
        </w:rPr>
      </w:pPr>
    </w:p>
    <w:p>
      <w:pPr>
        <w:ind w:left="6567"/>
        <w:spacing w:after="0"/>
        <w:tabs>
          <w:tab w:leader="none" w:pos="8747"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7" w:right="3860" w:hanging="7"/>
        <w:spacing w:after="0" w:line="314"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7"/>
      </w:cols>
      <w:pgMar w:left="493"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8549" TargetMode="External"/><Relationship Id="rId14" Type="http://schemas.openxmlformats.org/officeDocument/2006/relationships/hyperlink" Target="http://www.sec.gov/cgi-bin/browse-edgar?action=getcompany&amp;CIK=00020708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2025-11-12T17:17:29Z</dcterms:created>
  <dcterms:modified xsi:type="dcterms:W3CDTF">2025-11-12T17:17:29Z</dcterms:modified>
</cp:coreProperties>
</file>