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4686.xml.htm"/>
      <w:bookmarkStart w:id="1" w:name="kswkform4_17833846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Nancy JoAnn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BILLIONTOONE,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BillionToOne, Inc.</w:t>
              </w:r>
            </w:hyperlink>
            <w:r>
              <w:rPr/>
              <w:t xml:space="preserve"> [ </w:t>
            </w:r>
            <w:r>
              <w:rPr>
                <w:rFonts w:ascii="Times;serif" w:hAnsi="Times;serif"/>
                <w:color w:val="0000FF"/>
                <w:sz w:val="24"/>
                <w:shd w:fill="FFFFFF" w:val="clear"/>
              </w:rPr>
              <w:t>BLLN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124.9137</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21,099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adopted by the reporting person on March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$124.900 to $124.940 per share, inclusive. The holder undertakes to provide, upon written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of Sales and Commercial Operations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Lynch,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7387" TargetMode="External"/><Relationship Id="rId5" Type="http://schemas.openxmlformats.org/officeDocument/2006/relationships/hyperlink" Target="http://www.sec.gov/cgi-bin/browse-edgar?action=getcompany&amp;CIK=00020708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3549</Characters>
  <CharactersWithSpaces>4142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